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68" w:firstLineChars="50"/>
        <w:jc w:val="center"/>
        <w:rPr>
          <w:rFonts w:ascii="宋体" w:hAnsi="宋体" w:eastAsia="宋体" w:cs="宋体"/>
          <w:color w:val="auto"/>
          <w:spacing w:val="-12"/>
          <w:sz w:val="36"/>
          <w:szCs w:val="36"/>
        </w:rPr>
      </w:pPr>
    </w:p>
    <w:p>
      <w:pPr>
        <w:spacing w:line="360" w:lineRule="auto"/>
        <w:ind w:firstLine="168" w:firstLineChars="50"/>
        <w:jc w:val="center"/>
        <w:rPr>
          <w:rFonts w:ascii="宋体" w:hAnsi="宋体" w:eastAsia="宋体" w:cs="宋体"/>
          <w:color w:val="auto"/>
          <w:spacing w:val="-12"/>
          <w:sz w:val="36"/>
          <w:szCs w:val="36"/>
        </w:rPr>
      </w:pPr>
    </w:p>
    <w:p>
      <w:pPr>
        <w:spacing w:line="360" w:lineRule="auto"/>
        <w:ind w:firstLine="169" w:firstLineChars="50"/>
        <w:jc w:val="center"/>
        <w:rPr>
          <w:rFonts w:ascii="宋体" w:hAnsi="宋体" w:eastAsia="宋体" w:cs="宋体"/>
          <w:b/>
          <w:color w:val="auto"/>
          <w:spacing w:val="-12"/>
          <w:sz w:val="36"/>
          <w:szCs w:val="36"/>
        </w:rPr>
      </w:pPr>
      <w:r>
        <w:rPr>
          <w:rFonts w:hint="eastAsia" w:ascii="宋体" w:hAnsi="宋体" w:eastAsia="宋体" w:cs="宋体"/>
          <w:b/>
          <w:color w:val="auto"/>
          <w:spacing w:val="-12"/>
          <w:sz w:val="36"/>
          <w:szCs w:val="36"/>
        </w:rPr>
        <w:t>《新疆交投资源开发有限责任公司新疆哈密市</w:t>
      </w:r>
      <w:r>
        <w:rPr>
          <w:rFonts w:hint="eastAsia" w:ascii="宋体" w:hAnsi="宋体" w:eastAsia="宋体" w:cs="宋体"/>
          <w:b/>
          <w:color w:val="auto"/>
          <w:spacing w:val="-12"/>
          <w:sz w:val="36"/>
          <w:szCs w:val="36"/>
          <w:lang w:eastAsia="zh-CN"/>
        </w:rPr>
        <w:t>伊州区一碗泉砂石矿</w:t>
      </w:r>
      <w:r>
        <w:rPr>
          <w:rFonts w:hint="eastAsia" w:ascii="宋体" w:hAnsi="宋体" w:eastAsia="宋体" w:cs="宋体"/>
          <w:b/>
          <w:color w:val="auto"/>
          <w:spacing w:val="-12"/>
          <w:sz w:val="36"/>
          <w:szCs w:val="36"/>
        </w:rPr>
        <w:t>矿产资源开发利用与生态保护修复方案》</w:t>
      </w:r>
    </w:p>
    <w:p>
      <w:pPr>
        <w:pStyle w:val="2"/>
        <w:ind w:left="0" w:leftChars="0" w:firstLine="0" w:firstLineChars="0"/>
        <w:jc w:val="center"/>
        <w:rPr>
          <w:rFonts w:eastAsia="宋体"/>
          <w:color w:val="auto"/>
        </w:rPr>
      </w:pPr>
      <w:r>
        <w:rPr>
          <w:rFonts w:hint="eastAsia" w:ascii="宋体" w:hAnsi="宋体" w:eastAsia="宋体" w:cs="宋体"/>
          <w:b/>
          <w:spacing w:val="-12"/>
          <w:sz w:val="36"/>
          <w:szCs w:val="36"/>
        </w:rPr>
        <w:t>评审意见书</w:t>
      </w:r>
    </w:p>
    <w:p>
      <w:pPr>
        <w:pStyle w:val="2"/>
        <w:ind w:left="0" w:leftChars="0" w:firstLine="0" w:firstLineChars="0"/>
        <w:jc w:val="center"/>
        <w:rPr>
          <w:rFonts w:eastAsia="宋体"/>
          <w:color w:val="auto"/>
        </w:rPr>
      </w:pPr>
    </w:p>
    <w:p>
      <w:pPr>
        <w:ind w:firstLine="640"/>
        <w:jc w:val="center"/>
        <w:rPr>
          <w:rFonts w:ascii="宋体" w:hAnsi="宋体" w:eastAsia="宋体" w:cs="宋体"/>
          <w:color w:val="auto"/>
          <w:sz w:val="32"/>
          <w:szCs w:val="32"/>
        </w:rPr>
      </w:pPr>
    </w:p>
    <w:p>
      <w:pPr>
        <w:ind w:firstLine="640"/>
        <w:jc w:val="center"/>
        <w:rPr>
          <w:rFonts w:ascii="宋体" w:hAnsi="宋体" w:eastAsia="宋体" w:cs="宋体"/>
          <w:color w:val="auto"/>
          <w:sz w:val="32"/>
          <w:szCs w:val="32"/>
        </w:rPr>
      </w:pPr>
    </w:p>
    <w:p>
      <w:pPr>
        <w:ind w:firstLine="640"/>
        <w:jc w:val="center"/>
        <w:rPr>
          <w:rFonts w:ascii="宋体" w:hAnsi="宋体" w:eastAsia="宋体" w:cs="宋体"/>
          <w:color w:val="auto"/>
          <w:sz w:val="32"/>
          <w:szCs w:val="32"/>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8" w:lineRule="auto"/>
        <w:ind w:firstLine="560"/>
        <w:rPr>
          <w:rFonts w:ascii="宋体" w:hAnsi="宋体" w:eastAsia="宋体" w:cs="宋体"/>
          <w:color w:val="auto"/>
        </w:rPr>
      </w:pPr>
    </w:p>
    <w:p>
      <w:pPr>
        <w:spacing w:line="249" w:lineRule="auto"/>
        <w:ind w:firstLine="560"/>
        <w:rPr>
          <w:rFonts w:ascii="宋体" w:hAnsi="宋体" w:eastAsia="宋体" w:cs="宋体"/>
          <w:color w:val="auto"/>
        </w:rPr>
      </w:pPr>
    </w:p>
    <w:p>
      <w:pPr>
        <w:spacing w:line="249" w:lineRule="auto"/>
        <w:ind w:firstLine="560"/>
        <w:rPr>
          <w:rFonts w:ascii="宋体" w:hAnsi="宋体" w:eastAsia="宋体" w:cs="宋体"/>
          <w:color w:val="auto"/>
        </w:rPr>
      </w:pPr>
    </w:p>
    <w:p>
      <w:pPr>
        <w:spacing w:line="249" w:lineRule="auto"/>
        <w:ind w:firstLine="560"/>
        <w:rPr>
          <w:rFonts w:ascii="宋体" w:hAnsi="宋体" w:eastAsia="宋体" w:cs="宋体"/>
          <w:color w:val="auto"/>
        </w:rPr>
      </w:pPr>
    </w:p>
    <w:p>
      <w:pPr>
        <w:spacing w:line="249" w:lineRule="auto"/>
        <w:ind w:firstLine="560"/>
        <w:rPr>
          <w:rFonts w:ascii="宋体" w:hAnsi="宋体" w:eastAsia="宋体" w:cs="宋体"/>
          <w:color w:val="auto"/>
        </w:rPr>
      </w:pPr>
    </w:p>
    <w:p>
      <w:pPr>
        <w:spacing w:line="249" w:lineRule="auto"/>
        <w:ind w:firstLine="560"/>
        <w:rPr>
          <w:rFonts w:ascii="宋体" w:hAnsi="宋体" w:eastAsia="宋体" w:cs="宋体"/>
          <w:color w:val="auto"/>
        </w:rPr>
      </w:pPr>
    </w:p>
    <w:p>
      <w:pPr>
        <w:spacing w:line="360" w:lineRule="auto"/>
        <w:ind w:firstLine="0" w:firstLineChars="0"/>
        <w:jc w:val="center"/>
        <w:rPr>
          <w:rFonts w:ascii="宋体" w:hAnsi="宋体" w:eastAsia="宋体" w:cs="宋体"/>
          <w:color w:val="auto"/>
          <w:sz w:val="32"/>
          <w:szCs w:val="32"/>
        </w:rPr>
      </w:pPr>
      <w:r>
        <w:rPr>
          <w:rFonts w:hint="eastAsia" w:ascii="宋体" w:hAnsi="宋体" w:eastAsia="宋体" w:cs="宋体"/>
          <w:color w:val="auto"/>
          <w:sz w:val="32"/>
          <w:szCs w:val="32"/>
        </w:rPr>
        <w:t>二○二四年三月七日</w:t>
      </w:r>
    </w:p>
    <w:p>
      <w:pPr>
        <w:ind w:firstLine="560"/>
        <w:rPr>
          <w:rFonts w:ascii="宋体" w:hAnsi="宋体" w:eastAsia="宋体" w:cs="宋体"/>
          <w:color w:val="auto"/>
        </w:rPr>
        <w:sectPr>
          <w:headerReference r:id="rId7" w:type="first"/>
          <w:footerReference r:id="rId10" w:type="first"/>
          <w:headerReference r:id="rId5" w:type="default"/>
          <w:footerReference r:id="rId8" w:type="default"/>
          <w:headerReference r:id="rId6" w:type="even"/>
          <w:footerReference r:id="rId9" w:type="even"/>
          <w:pgSz w:w="11907" w:h="16839"/>
          <w:pgMar w:top="1431" w:right="1074" w:bottom="1070" w:left="1622" w:header="0" w:footer="875" w:gutter="0"/>
          <w:cols w:space="720" w:num="1"/>
        </w:sectPr>
      </w:pP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送审单位：</w:t>
      </w:r>
      <w:r>
        <w:rPr>
          <w:rFonts w:hint="eastAsia" w:ascii="宋体" w:hAnsi="宋体" w:eastAsia="宋体" w:cs="宋体"/>
          <w:bCs/>
          <w:color w:val="auto"/>
          <w:szCs w:val="24"/>
        </w:rPr>
        <w:t>新疆交投资源开发有限责任公司</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编制单位：</w:t>
      </w:r>
      <w:r>
        <w:rPr>
          <w:rFonts w:hint="eastAsia" w:ascii="宋体" w:hAnsi="宋体" w:eastAsia="宋体" w:cs="宋体"/>
          <w:bCs/>
          <w:color w:val="auto"/>
          <w:szCs w:val="24"/>
        </w:rPr>
        <w:t>中化地质矿山总局新疆地质调查院</w:t>
      </w:r>
    </w:p>
    <w:p>
      <w:pPr>
        <w:ind w:firstLine="564"/>
        <w:rPr>
          <w:rFonts w:hint="eastAsia" w:ascii="宋体" w:hAnsi="宋体" w:eastAsia="宋体" w:cs="宋体"/>
          <w:color w:val="auto"/>
          <w:spacing w:val="1"/>
          <w:szCs w:val="28"/>
          <w:lang w:eastAsia="zh-CN"/>
        </w:rPr>
      </w:pPr>
      <w:r>
        <w:rPr>
          <w:rFonts w:hint="eastAsia" w:ascii="宋体" w:hAnsi="宋体" w:eastAsia="宋体" w:cs="宋体"/>
          <w:color w:val="auto"/>
          <w:spacing w:val="1"/>
          <w:szCs w:val="28"/>
        </w:rPr>
        <w:t>项目负责人：</w:t>
      </w:r>
      <w:r>
        <w:rPr>
          <w:rFonts w:hint="eastAsia" w:ascii="宋体" w:hAnsi="宋体" w:eastAsia="宋体" w:cs="宋体"/>
          <w:color w:val="auto"/>
          <w:spacing w:val="1"/>
          <w:szCs w:val="28"/>
          <w:lang w:val="en-US" w:eastAsia="zh-CN"/>
        </w:rPr>
        <w:t>潘双</w:t>
      </w:r>
    </w:p>
    <w:p>
      <w:pPr>
        <w:ind w:firstLine="564"/>
        <w:rPr>
          <w:rFonts w:hint="eastAsia" w:ascii="宋体" w:hAnsi="宋体" w:eastAsia="宋体" w:cs="宋体"/>
          <w:color w:val="auto"/>
          <w:spacing w:val="1"/>
          <w:szCs w:val="28"/>
          <w:lang w:eastAsia="zh-CN"/>
        </w:rPr>
      </w:pPr>
      <w:r>
        <w:rPr>
          <w:rFonts w:hint="eastAsia" w:ascii="宋体" w:hAnsi="宋体" w:eastAsia="宋体" w:cs="宋体"/>
          <w:color w:val="auto"/>
          <w:spacing w:val="1"/>
          <w:szCs w:val="28"/>
        </w:rPr>
        <w:t>编制人员：</w:t>
      </w:r>
      <w:r>
        <w:rPr>
          <w:rFonts w:hint="eastAsia" w:ascii="宋体" w:hAnsi="宋体" w:eastAsia="宋体" w:cs="宋体"/>
          <w:color w:val="auto"/>
          <w:spacing w:val="1"/>
          <w:szCs w:val="28"/>
          <w:lang w:val="en-US" w:eastAsia="zh-CN"/>
        </w:rPr>
        <w:t>潘双</w:t>
      </w:r>
      <w:r>
        <w:rPr>
          <w:rFonts w:hint="eastAsia" w:ascii="宋体" w:hAnsi="宋体" w:eastAsia="宋体" w:cs="宋体"/>
          <w:color w:val="auto"/>
          <w:spacing w:val="1"/>
          <w:szCs w:val="28"/>
        </w:rPr>
        <w:t xml:space="preserve">  王进宝  王家林  </w:t>
      </w:r>
      <w:r>
        <w:rPr>
          <w:rFonts w:hint="eastAsia" w:ascii="宋体" w:hAnsi="宋体" w:eastAsia="宋体" w:cs="宋体"/>
          <w:color w:val="auto"/>
          <w:spacing w:val="1"/>
          <w:szCs w:val="28"/>
          <w:lang w:val="en-US" w:eastAsia="zh-CN"/>
        </w:rPr>
        <w:t>刘芳</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评审专家组长：卢东亚</w:t>
      </w:r>
    </w:p>
    <w:p>
      <w:pPr>
        <w:ind w:firstLine="564"/>
        <w:rPr>
          <w:rFonts w:hint="default" w:ascii="宋体" w:hAnsi="宋体" w:eastAsia="宋体" w:cs="宋体"/>
          <w:color w:val="auto"/>
          <w:spacing w:val="1"/>
          <w:szCs w:val="28"/>
          <w:lang w:val="en-US" w:eastAsia="zh-CN"/>
        </w:rPr>
      </w:pPr>
      <w:r>
        <w:rPr>
          <w:rFonts w:hint="eastAsia" w:ascii="宋体" w:hAnsi="宋体" w:eastAsia="宋体" w:cs="宋体"/>
          <w:color w:val="auto"/>
          <w:spacing w:val="1"/>
          <w:szCs w:val="28"/>
        </w:rPr>
        <w:t>评审专家组成员：</w:t>
      </w:r>
      <w:bookmarkStart w:id="0" w:name="_Hlk100068033"/>
      <w:bookmarkStart w:id="1" w:name="_Hlk91929016"/>
      <w:r>
        <w:rPr>
          <w:rFonts w:hint="eastAsia" w:ascii="宋体" w:hAnsi="宋体" w:eastAsia="宋体" w:cs="宋体"/>
          <w:color w:val="auto"/>
          <w:spacing w:val="1"/>
          <w:szCs w:val="28"/>
        </w:rPr>
        <w:t xml:space="preserve">卢东亚 吴煜 </w:t>
      </w:r>
      <w:r>
        <w:rPr>
          <w:rFonts w:hint="eastAsia" w:ascii="宋体" w:hAnsi="宋体" w:eastAsia="宋体" w:cs="宋体"/>
          <w:color w:val="auto"/>
          <w:spacing w:val="1"/>
          <w:szCs w:val="28"/>
          <w:lang w:val="en-US" w:eastAsia="zh-CN"/>
        </w:rPr>
        <w:t>宋利睿 张大志 赵银鹏</w:t>
      </w:r>
    </w:p>
    <w:bookmarkEnd w:id="0"/>
    <w:bookmarkEnd w:id="1"/>
    <w:p>
      <w:pPr>
        <w:ind w:firstLine="560"/>
        <w:rPr>
          <w:rFonts w:cs="微软雅黑" w:asciiTheme="minorEastAsia" w:hAnsiTheme="minorEastAsia" w:eastAsiaTheme="minorEastAsia"/>
          <w:color w:val="auto"/>
          <w:szCs w:val="28"/>
        </w:rPr>
      </w:pPr>
      <w:r>
        <w:rPr>
          <w:rFonts w:hint="eastAsia" w:ascii="宋体" w:hAnsi="宋体" w:eastAsia="宋体" w:cs="宋体"/>
          <w:color w:val="auto"/>
          <w:szCs w:val="28"/>
        </w:rPr>
        <w:t>认</w:t>
      </w:r>
      <w:r>
        <w:rPr>
          <w:rFonts w:hint="eastAsia" w:ascii="宋体" w:hAnsi="宋体"/>
          <w:color w:val="auto"/>
          <w:szCs w:val="28"/>
        </w:rPr>
        <w:t xml:space="preserve"> 定 单 位：</w:t>
      </w:r>
      <w:r>
        <w:rPr>
          <w:rFonts w:hint="eastAsia" w:cs="微软雅黑" w:asciiTheme="minorEastAsia" w:hAnsiTheme="minorEastAsia" w:eastAsiaTheme="minorEastAsia"/>
          <w:color w:val="auto"/>
          <w:szCs w:val="28"/>
        </w:rPr>
        <w:t>哈密市自然资源局伊州</w:t>
      </w:r>
      <w:r>
        <w:rPr>
          <w:rFonts w:hint="eastAsia" w:cs="微软雅黑" w:asciiTheme="minorEastAsia" w:hAnsiTheme="minorEastAsia" w:eastAsiaTheme="minorEastAsia"/>
          <w:color w:val="auto"/>
          <w:szCs w:val="28"/>
          <w:lang w:val="en-US" w:eastAsia="zh-CN"/>
        </w:rPr>
        <w:t>区</w:t>
      </w:r>
      <w:r>
        <w:rPr>
          <w:rFonts w:hint="eastAsia" w:cs="微软雅黑" w:asciiTheme="minorEastAsia" w:hAnsiTheme="minorEastAsia" w:eastAsiaTheme="minorEastAsia"/>
          <w:color w:val="auto"/>
          <w:szCs w:val="28"/>
        </w:rPr>
        <w:t>分局</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评审方式：线上会审</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评审时间：202</w:t>
      </w:r>
      <w:r>
        <w:rPr>
          <w:rFonts w:ascii="宋体" w:hAnsi="宋体" w:eastAsia="宋体" w:cs="宋体"/>
          <w:color w:val="auto"/>
          <w:spacing w:val="1"/>
          <w:szCs w:val="28"/>
        </w:rPr>
        <w:t>4</w:t>
      </w:r>
      <w:r>
        <w:rPr>
          <w:rFonts w:hint="eastAsia" w:ascii="宋体" w:hAnsi="宋体" w:eastAsia="宋体" w:cs="宋体"/>
          <w:color w:val="auto"/>
          <w:spacing w:val="1"/>
          <w:szCs w:val="28"/>
        </w:rPr>
        <w:t>年1月18日</w:t>
      </w:r>
    </w:p>
    <w:p>
      <w:pPr>
        <w:ind w:firstLine="564"/>
        <w:rPr>
          <w:rFonts w:ascii="宋体" w:hAnsi="宋体" w:eastAsia="宋体" w:cs="宋体"/>
          <w:color w:val="auto"/>
          <w:spacing w:val="1"/>
          <w:szCs w:val="28"/>
        </w:rPr>
      </w:pPr>
    </w:p>
    <w:p>
      <w:pPr>
        <w:spacing w:line="204" w:lineRule="auto"/>
        <w:ind w:firstLine="560"/>
        <w:rPr>
          <w:rFonts w:ascii="宋体" w:hAnsi="宋体" w:eastAsia="宋体" w:cs="宋体"/>
          <w:color w:val="auto"/>
          <w:szCs w:val="28"/>
        </w:rPr>
      </w:pPr>
    </w:p>
    <w:p>
      <w:pPr>
        <w:ind w:firstLine="560"/>
        <w:rPr>
          <w:rFonts w:ascii="宋体" w:hAnsi="宋体" w:eastAsia="宋体" w:cs="宋体"/>
          <w:color w:val="auto"/>
        </w:rPr>
        <w:sectPr>
          <w:footerReference r:id="rId11" w:type="default"/>
          <w:pgSz w:w="11907" w:h="16839"/>
          <w:pgMar w:top="1431" w:right="1785" w:bottom="1070" w:left="1661" w:header="0" w:footer="875" w:gutter="0"/>
          <w:pgNumType w:start="1"/>
          <w:cols w:space="720" w:num="1"/>
        </w:sectPr>
      </w:pPr>
    </w:p>
    <w:p>
      <w:pPr>
        <w:spacing w:line="440" w:lineRule="exact"/>
        <w:ind w:firstLine="560"/>
        <w:rPr>
          <w:rFonts w:ascii="宋体" w:hAnsi="宋体" w:eastAsia="宋体"/>
          <w:color w:val="auto"/>
          <w:szCs w:val="28"/>
        </w:rPr>
      </w:pPr>
      <w:r>
        <w:rPr>
          <w:rFonts w:hint="eastAsia" w:ascii="宋体" w:hAnsi="宋体" w:eastAsia="宋体"/>
          <w:color w:val="auto"/>
          <w:szCs w:val="28"/>
        </w:rPr>
        <w:t>附注：</w:t>
      </w:r>
    </w:p>
    <w:p>
      <w:pPr>
        <w:spacing w:line="500" w:lineRule="exact"/>
        <w:ind w:left="280" w:hanging="280" w:hangingChars="100"/>
        <w:jc w:val="left"/>
        <w:rPr>
          <w:rFonts w:ascii="宋体" w:hAnsi="宋体" w:eastAsia="宋体"/>
          <w:color w:val="auto"/>
          <w:szCs w:val="28"/>
        </w:rPr>
      </w:pPr>
      <w:r>
        <w:rPr>
          <w:rFonts w:hint="eastAsia" w:ascii="宋体" w:hAnsi="宋体" w:eastAsia="宋体"/>
          <w:color w:val="auto"/>
          <w:szCs w:val="28"/>
        </w:rPr>
        <w:t>1、矿区范围拐点坐标</w:t>
      </w:r>
    </w:p>
    <w:p>
      <w:pPr>
        <w:spacing w:line="440" w:lineRule="exact"/>
        <w:ind w:firstLine="560"/>
        <w:jc w:val="center"/>
        <w:rPr>
          <w:rFonts w:ascii="宋体" w:hAnsi="宋体" w:eastAsia="宋体"/>
          <w:color w:val="auto"/>
          <w:szCs w:val="28"/>
        </w:rPr>
      </w:pPr>
      <w:r>
        <w:rPr>
          <w:rFonts w:hint="eastAsia" w:ascii="宋体" w:hAnsi="宋体" w:eastAsia="宋体"/>
          <w:color w:val="auto"/>
          <w:szCs w:val="28"/>
        </w:rPr>
        <w:t>矿区范围拐点坐标表</w:t>
      </w:r>
    </w:p>
    <w:tbl>
      <w:tblPr>
        <w:tblStyle w:val="17"/>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160"/>
        <w:gridCol w:w="2171"/>
        <w:gridCol w:w="1462"/>
        <w:gridCol w:w="1527"/>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Merge w:val="restart"/>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拐点</w:t>
            </w:r>
          </w:p>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编号</w:t>
            </w:r>
          </w:p>
        </w:tc>
        <w:tc>
          <w:tcPr>
            <w:tcW w:w="4331" w:type="dxa"/>
            <w:gridSpan w:val="2"/>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地理坐标（CSCS2000）</w:t>
            </w:r>
          </w:p>
        </w:tc>
        <w:tc>
          <w:tcPr>
            <w:tcW w:w="2989" w:type="dxa"/>
            <w:gridSpan w:val="2"/>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CGCS2000坐标(3°带)</w:t>
            </w:r>
          </w:p>
        </w:tc>
        <w:tc>
          <w:tcPr>
            <w:tcW w:w="765" w:type="dxa"/>
            <w:vMerge w:val="restart"/>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Merge w:val="continue"/>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p>
        </w:tc>
        <w:tc>
          <w:tcPr>
            <w:tcW w:w="2160"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经度</w:t>
            </w:r>
          </w:p>
        </w:tc>
        <w:tc>
          <w:tcPr>
            <w:tcW w:w="2171"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纬度</w:t>
            </w:r>
          </w:p>
        </w:tc>
        <w:tc>
          <w:tcPr>
            <w:tcW w:w="1462"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X</w:t>
            </w:r>
          </w:p>
        </w:tc>
        <w:tc>
          <w:tcPr>
            <w:tcW w:w="1527"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Y</w:t>
            </w:r>
          </w:p>
        </w:tc>
        <w:tc>
          <w:tcPr>
            <w:tcW w:w="765" w:type="dxa"/>
            <w:vMerge w:val="continue"/>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2160" w:type="dxa"/>
            <w:noWrap w:val="0"/>
            <w:vAlign w:val="center"/>
          </w:tcPr>
          <w:p>
            <w:pPr>
              <w:widowControl/>
              <w:adjustRightInd w:val="0"/>
              <w:snapToGrid w:val="0"/>
              <w:spacing w:line="240" w:lineRule="auto"/>
              <w:ind w:firstLine="0" w:firstLineChars="0"/>
              <w:jc w:val="both"/>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92°07′27.50437″</w:t>
            </w:r>
          </w:p>
        </w:tc>
        <w:tc>
          <w:tcPr>
            <w:tcW w:w="2171" w:type="dxa"/>
            <w:noWrap w:val="0"/>
            <w:vAlign w:val="center"/>
          </w:tcPr>
          <w:p>
            <w:pPr>
              <w:widowControl/>
              <w:adjustRightInd w:val="0"/>
              <w:snapToGrid w:val="0"/>
              <w:spacing w:line="240" w:lineRule="auto"/>
              <w:ind w:firstLine="0" w:firstLineChars="0"/>
              <w:jc w:val="both"/>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43°23′29.20585″</w:t>
            </w:r>
          </w:p>
        </w:tc>
        <w:tc>
          <w:tcPr>
            <w:tcW w:w="1462"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4806580.681</w:t>
            </w:r>
          </w:p>
        </w:tc>
        <w:tc>
          <w:tcPr>
            <w:tcW w:w="152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31429049.923</w:t>
            </w:r>
          </w:p>
        </w:tc>
        <w:tc>
          <w:tcPr>
            <w:tcW w:w="765" w:type="dxa"/>
            <w:vMerge w:val="restart"/>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0.42平方千米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2160"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92°07′50.10826″</w:t>
            </w:r>
          </w:p>
        </w:tc>
        <w:tc>
          <w:tcPr>
            <w:tcW w:w="2171" w:type="dxa"/>
            <w:noWrap w:val="0"/>
            <w:vAlign w:val="center"/>
          </w:tcPr>
          <w:p>
            <w:pPr>
              <w:widowControl/>
              <w:adjustRightInd w:val="0"/>
              <w:snapToGrid w:val="0"/>
              <w:spacing w:line="240" w:lineRule="auto"/>
              <w:ind w:firstLine="0" w:firstLineChars="0"/>
              <w:jc w:val="both"/>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43°23′28.66993″</w:t>
            </w:r>
          </w:p>
        </w:tc>
        <w:tc>
          <w:tcPr>
            <w:tcW w:w="1462"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4806558.819</w:t>
            </w:r>
          </w:p>
        </w:tc>
        <w:tc>
          <w:tcPr>
            <w:tcW w:w="152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31429558.476</w:t>
            </w:r>
          </w:p>
        </w:tc>
        <w:tc>
          <w:tcPr>
            <w:tcW w:w="765" w:type="dxa"/>
            <w:vMerge w:val="continue"/>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2160"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92°07′48.71573″</w:t>
            </w:r>
          </w:p>
        </w:tc>
        <w:tc>
          <w:tcPr>
            <w:tcW w:w="2171" w:type="dxa"/>
            <w:noWrap w:val="0"/>
            <w:vAlign w:val="center"/>
          </w:tcPr>
          <w:p>
            <w:pPr>
              <w:widowControl/>
              <w:adjustRightInd w:val="0"/>
              <w:snapToGrid w:val="0"/>
              <w:spacing w:line="240" w:lineRule="auto"/>
              <w:ind w:firstLine="0" w:firstLineChars="0"/>
              <w:jc w:val="both"/>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43°23′02.45159″</w:t>
            </w:r>
          </w:p>
        </w:tc>
        <w:tc>
          <w:tcPr>
            <w:tcW w:w="1462"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4805750.011</w:t>
            </w:r>
          </w:p>
        </w:tc>
        <w:tc>
          <w:tcPr>
            <w:tcW w:w="152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31429518.697</w:t>
            </w:r>
          </w:p>
        </w:tc>
        <w:tc>
          <w:tcPr>
            <w:tcW w:w="765" w:type="dxa"/>
            <w:vMerge w:val="continue"/>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w:t>
            </w:r>
          </w:p>
        </w:tc>
        <w:tc>
          <w:tcPr>
            <w:tcW w:w="2160" w:type="dxa"/>
            <w:noWrap w:val="0"/>
            <w:vAlign w:val="center"/>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92°07′25.64789″</w:t>
            </w:r>
          </w:p>
        </w:tc>
        <w:tc>
          <w:tcPr>
            <w:tcW w:w="2171" w:type="dxa"/>
            <w:noWrap w:val="0"/>
            <w:vAlign w:val="center"/>
          </w:tcPr>
          <w:p>
            <w:pPr>
              <w:widowControl/>
              <w:adjustRightInd w:val="0"/>
              <w:snapToGrid w:val="0"/>
              <w:spacing w:line="240" w:lineRule="auto"/>
              <w:ind w:firstLine="0" w:firstLineChars="0"/>
              <w:jc w:val="both"/>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43°23′02.98745″</w:t>
            </w:r>
          </w:p>
        </w:tc>
        <w:tc>
          <w:tcPr>
            <w:tcW w:w="1462"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4805771.983</w:t>
            </w:r>
          </w:p>
        </w:tc>
        <w:tc>
          <w:tcPr>
            <w:tcW w:w="1527" w:type="dxa"/>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31428999.640</w:t>
            </w:r>
          </w:p>
        </w:tc>
        <w:tc>
          <w:tcPr>
            <w:tcW w:w="765" w:type="dxa"/>
            <w:vMerge w:val="continue"/>
            <w:noWrap w:val="0"/>
            <w:vAlign w:val="top"/>
          </w:tcPr>
          <w:p>
            <w:pPr>
              <w:widowControl/>
              <w:adjustRightInd w:val="0"/>
              <w:snapToGrid w:val="0"/>
              <w:spacing w:line="240" w:lineRule="auto"/>
              <w:ind w:firstLine="0" w:firstLineChars="0"/>
              <w:jc w:val="center"/>
              <w:textAlignment w:val="center"/>
              <w:rPr>
                <w:rFonts w:hint="eastAsia" w:ascii="宋体" w:hAnsi="宋体" w:cs="宋体"/>
                <w:color w:val="000000"/>
                <w:kern w:val="0"/>
                <w:sz w:val="21"/>
                <w:szCs w:val="21"/>
                <w:lang w:bidi="ar"/>
              </w:rPr>
            </w:pPr>
          </w:p>
        </w:tc>
      </w:tr>
    </w:tbl>
    <w:p>
      <w:pPr>
        <w:spacing w:line="500" w:lineRule="exact"/>
        <w:ind w:left="280" w:hanging="280" w:hangingChars="100"/>
        <w:jc w:val="left"/>
        <w:rPr>
          <w:rFonts w:ascii="宋体" w:hAnsi="宋体" w:eastAsia="宋体"/>
          <w:color w:val="auto"/>
          <w:szCs w:val="28"/>
        </w:rPr>
      </w:pPr>
      <w:r>
        <w:rPr>
          <w:rFonts w:hint="eastAsia" w:ascii="宋体" w:hAnsi="宋体" w:eastAsia="宋体"/>
          <w:color w:val="auto"/>
          <w:szCs w:val="28"/>
        </w:rPr>
        <w:t>2、普查报告估算标高为：</w:t>
      </w:r>
      <w:r>
        <w:rPr>
          <w:rFonts w:hint="eastAsia" w:ascii="宋体" w:hAnsi="宋体" w:eastAsia="宋体" w:cs="宋体"/>
          <w:color w:val="auto"/>
          <w:lang w:bidi="ar"/>
        </w:rPr>
        <w:t>最高标高+1670～+1667m，最低标高+1626～+1623</w:t>
      </w:r>
      <w:r>
        <w:rPr>
          <w:rFonts w:hint="eastAsia" w:ascii="宋体" w:hAnsi="宋体" w:eastAsia="宋体" w:cs="宋体"/>
          <w:color w:val="auto"/>
          <w:lang w:val="en-US" w:eastAsia="zh-CN" w:bidi="ar"/>
        </w:rPr>
        <w:t>m</w:t>
      </w:r>
      <w:r>
        <w:rPr>
          <w:rFonts w:hint="eastAsia" w:ascii="宋体" w:hAnsi="宋体" w:eastAsia="宋体"/>
          <w:color w:val="auto"/>
          <w:szCs w:val="28"/>
        </w:rPr>
        <w:t>。</w:t>
      </w:r>
    </w:p>
    <w:p>
      <w:pPr>
        <w:spacing w:line="500" w:lineRule="exact"/>
        <w:ind w:firstLine="0" w:firstLineChars="0"/>
        <w:jc w:val="left"/>
        <w:rPr>
          <w:rFonts w:ascii="宋体" w:hAnsi="宋体" w:eastAsia="宋体"/>
          <w:color w:val="auto"/>
          <w:szCs w:val="28"/>
        </w:rPr>
      </w:pPr>
      <w:r>
        <w:rPr>
          <w:rFonts w:hint="eastAsia" w:ascii="宋体" w:hAnsi="宋体" w:eastAsia="宋体"/>
          <w:color w:val="auto"/>
          <w:szCs w:val="28"/>
        </w:rPr>
        <w:t>3、矿区范围内地表最高标高：+</w:t>
      </w:r>
      <w:r>
        <w:rPr>
          <w:rFonts w:hint="eastAsia" w:ascii="宋体" w:hAnsi="宋体" w:eastAsia="宋体"/>
          <w:color w:val="auto"/>
          <w:szCs w:val="28"/>
          <w:lang w:val="en-US" w:eastAsia="zh-CN"/>
        </w:rPr>
        <w:t>1670</w:t>
      </w:r>
      <w:r>
        <w:rPr>
          <w:rFonts w:hint="eastAsia" w:ascii="宋体" w:hAnsi="宋体" w:eastAsia="宋体"/>
          <w:color w:val="auto"/>
          <w:szCs w:val="28"/>
        </w:rPr>
        <w:t>m。</w:t>
      </w:r>
    </w:p>
    <w:p>
      <w:pPr>
        <w:spacing w:line="500" w:lineRule="exact"/>
        <w:ind w:firstLine="0" w:firstLineChars="0"/>
        <w:jc w:val="left"/>
        <w:rPr>
          <w:rFonts w:ascii="宋体" w:hAnsi="宋体" w:eastAsia="宋体"/>
          <w:color w:val="auto"/>
          <w:szCs w:val="28"/>
        </w:rPr>
      </w:pPr>
      <w:r>
        <w:rPr>
          <w:rFonts w:hint="eastAsia" w:ascii="宋体" w:hAnsi="宋体" w:eastAsia="宋体"/>
          <w:color w:val="auto"/>
          <w:szCs w:val="28"/>
        </w:rPr>
        <w:t>4、设计生产规模为</w:t>
      </w:r>
      <w:r>
        <w:rPr>
          <w:rFonts w:hint="eastAsia" w:ascii="宋体" w:hAnsi="宋体" w:eastAsia="宋体"/>
          <w:color w:val="auto"/>
          <w:szCs w:val="28"/>
          <w:lang w:val="en-US" w:eastAsia="zh-CN"/>
        </w:rPr>
        <w:t>60</w:t>
      </w:r>
      <w:r>
        <w:rPr>
          <w:rFonts w:hint="eastAsia" w:ascii="宋体" w:hAnsi="宋体" w:eastAsia="宋体"/>
          <w:color w:val="auto"/>
          <w:szCs w:val="28"/>
        </w:rPr>
        <w:t>万m</w:t>
      </w:r>
      <w:r>
        <w:rPr>
          <w:rFonts w:hint="eastAsia" w:ascii="宋体" w:hAnsi="宋体" w:eastAsia="宋体"/>
          <w:color w:val="auto"/>
          <w:szCs w:val="28"/>
          <w:vertAlign w:val="superscript"/>
        </w:rPr>
        <w:t>3</w:t>
      </w:r>
      <w:r>
        <w:rPr>
          <w:rFonts w:hint="eastAsia" w:ascii="宋体" w:hAnsi="宋体" w:eastAsia="宋体"/>
          <w:color w:val="auto"/>
          <w:szCs w:val="28"/>
        </w:rPr>
        <w:t>/年。</w:t>
      </w:r>
    </w:p>
    <w:p>
      <w:pPr>
        <w:spacing w:line="500" w:lineRule="exact"/>
        <w:ind w:firstLine="0" w:firstLineChars="0"/>
        <w:jc w:val="left"/>
        <w:rPr>
          <w:rFonts w:ascii="宋体" w:hAnsi="宋体" w:eastAsia="宋体"/>
          <w:color w:val="auto"/>
          <w:szCs w:val="28"/>
        </w:rPr>
      </w:pPr>
      <w:r>
        <w:rPr>
          <w:rFonts w:hint="eastAsia" w:ascii="宋体" w:hAnsi="宋体" w:eastAsia="宋体"/>
          <w:color w:val="auto"/>
          <w:szCs w:val="28"/>
        </w:rPr>
        <w:t>5、开采矿种：建筑用砂矿。</w:t>
      </w:r>
    </w:p>
    <w:p>
      <w:pPr>
        <w:spacing w:line="500" w:lineRule="exact"/>
        <w:ind w:firstLine="0" w:firstLineChars="0"/>
        <w:jc w:val="left"/>
        <w:rPr>
          <w:rFonts w:ascii="宋体" w:hAnsi="宋体" w:eastAsia="宋体"/>
          <w:color w:val="auto"/>
          <w:szCs w:val="28"/>
        </w:rPr>
      </w:pPr>
      <w:r>
        <w:rPr>
          <w:rFonts w:ascii="宋体" w:hAnsi="宋体" w:eastAsia="宋体"/>
          <w:color w:val="auto"/>
          <w:szCs w:val="28"/>
        </w:rPr>
        <w:t>6</w:t>
      </w:r>
      <w:r>
        <w:rPr>
          <w:rFonts w:hint="eastAsia" w:ascii="宋体" w:hAnsi="宋体" w:eastAsia="宋体"/>
          <w:color w:val="auto"/>
          <w:szCs w:val="28"/>
        </w:rPr>
        <w:t>、开采服务年限：</w:t>
      </w:r>
      <w:r>
        <w:rPr>
          <w:rFonts w:ascii="宋体" w:hAnsi="宋体" w:eastAsia="宋体"/>
          <w:color w:val="auto"/>
          <w:szCs w:val="28"/>
        </w:rPr>
        <w:t>2</w:t>
      </w:r>
      <w:r>
        <w:rPr>
          <w:rFonts w:hint="eastAsia" w:ascii="宋体" w:hAnsi="宋体" w:eastAsia="宋体"/>
          <w:color w:val="auto"/>
          <w:szCs w:val="28"/>
        </w:rPr>
        <w:t>年。</w:t>
      </w:r>
    </w:p>
    <w:p>
      <w:pPr>
        <w:spacing w:line="500" w:lineRule="exact"/>
        <w:ind w:left="560" w:hanging="560" w:hangingChars="200"/>
        <w:jc w:val="left"/>
        <w:rPr>
          <w:rFonts w:ascii="宋体" w:hAnsi="宋体" w:eastAsia="宋体"/>
          <w:color w:val="auto"/>
          <w:szCs w:val="28"/>
        </w:rPr>
      </w:pPr>
      <w:r>
        <w:rPr>
          <w:rFonts w:ascii="宋体" w:hAnsi="宋体" w:eastAsia="宋体"/>
          <w:color w:val="auto"/>
          <w:szCs w:val="28"/>
        </w:rPr>
        <w:t>7</w:t>
      </w:r>
      <w:r>
        <w:rPr>
          <w:rFonts w:hint="eastAsia" w:ascii="宋体" w:hAnsi="宋体" w:eastAsia="宋体"/>
          <w:color w:val="auto"/>
          <w:szCs w:val="28"/>
        </w:rPr>
        <w:t>、开采方式与开拓方案：采用</w:t>
      </w:r>
      <w:r>
        <w:rPr>
          <w:rFonts w:hint="eastAsia" w:ascii="宋体" w:hAnsi="宋体" w:eastAsia="宋体" w:cs="宋体"/>
          <w:bCs/>
          <w:color w:val="auto"/>
          <w:szCs w:val="24"/>
          <w:lang w:val="zh-CN"/>
        </w:rPr>
        <w:t>凹陷露</w:t>
      </w:r>
      <w:r>
        <w:rPr>
          <w:rFonts w:hint="eastAsia" w:ascii="宋体" w:hAnsi="宋体" w:eastAsia="宋体" w:cs="宋体"/>
          <w:bCs/>
          <w:color w:val="auto"/>
          <w:szCs w:val="24"/>
        </w:rPr>
        <w:t>天开采</w:t>
      </w:r>
      <w:r>
        <w:rPr>
          <w:rFonts w:hint="eastAsia" w:ascii="宋体" w:hAnsi="宋体" w:eastAsia="宋体"/>
          <w:color w:val="auto"/>
          <w:szCs w:val="28"/>
        </w:rPr>
        <w:t>方式，</w:t>
      </w:r>
      <w:r>
        <w:rPr>
          <w:rFonts w:hint="eastAsia" w:ascii="宋体" w:hAnsi="宋体" w:eastAsia="宋体"/>
          <w:color w:val="auto"/>
          <w:szCs w:val="28"/>
          <w:lang w:val="zh-CN"/>
        </w:rPr>
        <w:t>公路开拓-汽车运输方案</w:t>
      </w:r>
      <w:r>
        <w:rPr>
          <w:rFonts w:hint="eastAsia" w:ascii="宋体" w:hAnsi="宋体" w:eastAsia="宋体"/>
          <w:color w:val="auto"/>
          <w:szCs w:val="28"/>
        </w:rPr>
        <w:t>。</w:t>
      </w:r>
    </w:p>
    <w:p>
      <w:pPr>
        <w:spacing w:line="500" w:lineRule="exact"/>
        <w:ind w:left="280" w:hanging="280" w:hangingChars="100"/>
        <w:jc w:val="left"/>
        <w:rPr>
          <w:rFonts w:ascii="宋体" w:hAnsi="宋体" w:eastAsia="宋体"/>
          <w:color w:val="auto"/>
          <w:szCs w:val="28"/>
        </w:rPr>
      </w:pPr>
      <w:r>
        <w:rPr>
          <w:rFonts w:ascii="宋体" w:hAnsi="宋体" w:eastAsia="宋体"/>
          <w:color w:val="auto"/>
          <w:szCs w:val="28"/>
        </w:rPr>
        <w:t>8</w:t>
      </w:r>
      <w:r>
        <w:rPr>
          <w:rFonts w:hint="eastAsia" w:ascii="宋体" w:hAnsi="宋体" w:eastAsia="宋体"/>
          <w:color w:val="auto"/>
          <w:szCs w:val="28"/>
        </w:rPr>
        <w:t>、采矿方法：</w:t>
      </w:r>
      <w:r>
        <w:rPr>
          <w:rFonts w:hint="eastAsia" w:ascii="宋体" w:hAnsi="宋体" w:eastAsia="宋体" w:cs="宋体"/>
          <w:bCs/>
          <w:color w:val="auto"/>
          <w:szCs w:val="24"/>
        </w:rPr>
        <w:t>单台阶开采、一次性采全高</w:t>
      </w:r>
      <w:r>
        <w:rPr>
          <w:rFonts w:ascii="宋体" w:hAnsi="宋体" w:eastAsia="宋体"/>
          <w:color w:val="auto"/>
          <w:szCs w:val="28"/>
        </w:rPr>
        <w:t>的采矿方法</w:t>
      </w:r>
      <w:r>
        <w:rPr>
          <w:rFonts w:hint="eastAsia" w:ascii="宋体" w:hAnsi="宋体" w:eastAsia="宋体"/>
          <w:color w:val="auto"/>
          <w:szCs w:val="28"/>
        </w:rPr>
        <w:t>。</w:t>
      </w:r>
    </w:p>
    <w:p>
      <w:pPr>
        <w:spacing w:line="500" w:lineRule="exact"/>
        <w:ind w:left="280" w:hanging="280" w:hangingChars="100"/>
        <w:jc w:val="left"/>
        <w:rPr>
          <w:rFonts w:ascii="宋体" w:hAnsi="宋体" w:eastAsia="宋体"/>
          <w:color w:val="auto"/>
          <w:szCs w:val="28"/>
        </w:rPr>
      </w:pPr>
      <w:r>
        <w:rPr>
          <w:rFonts w:hint="eastAsia" w:ascii="宋体" w:hAnsi="宋体" w:eastAsia="宋体"/>
          <w:color w:val="auto"/>
          <w:szCs w:val="28"/>
        </w:rPr>
        <w:t>9、设计回采率</w:t>
      </w:r>
      <w:r>
        <w:rPr>
          <w:rFonts w:ascii="宋体" w:hAnsi="宋体" w:eastAsia="宋体"/>
          <w:color w:val="auto"/>
          <w:szCs w:val="28"/>
        </w:rPr>
        <w:t>9</w:t>
      </w:r>
      <w:r>
        <w:rPr>
          <w:rFonts w:hint="eastAsia" w:ascii="宋体" w:hAnsi="宋体" w:eastAsia="宋体"/>
          <w:color w:val="auto"/>
          <w:szCs w:val="28"/>
        </w:rPr>
        <w:t>8%，采矿损失率2%。</w:t>
      </w:r>
    </w:p>
    <w:p>
      <w:pPr>
        <w:pStyle w:val="2"/>
        <w:spacing w:line="500" w:lineRule="exact"/>
        <w:ind w:left="0" w:leftChars="0" w:firstLine="0" w:firstLineChars="0"/>
        <w:rPr>
          <w:rFonts w:eastAsia="宋体"/>
          <w:color w:val="auto"/>
          <w:sz w:val="28"/>
          <w:szCs w:val="28"/>
        </w:rPr>
      </w:pPr>
      <w:r>
        <w:rPr>
          <w:rFonts w:hint="eastAsia" w:ascii="宋体" w:hAnsi="宋体" w:eastAsia="宋体"/>
          <w:color w:val="auto"/>
          <w:sz w:val="28"/>
          <w:szCs w:val="28"/>
        </w:rPr>
        <w:t>10、矿山在实际采选开发生产建设活动中，要以正式设计单位编制并审核通过的采选等设计为准执行。</w:t>
      </w:r>
    </w:p>
    <w:p>
      <w:pPr>
        <w:spacing w:line="480" w:lineRule="exact"/>
        <w:ind w:left="280" w:hanging="280" w:hangingChars="100"/>
        <w:rPr>
          <w:rFonts w:ascii="宋体" w:hAnsi="宋体" w:eastAsia="宋体"/>
          <w:color w:val="auto"/>
          <w:szCs w:val="28"/>
        </w:rPr>
      </w:pPr>
      <w:r>
        <w:rPr>
          <w:rFonts w:hint="eastAsia" w:ascii="宋体" w:hAnsi="宋体" w:eastAsia="宋体"/>
          <w:color w:val="auto"/>
          <w:szCs w:val="28"/>
        </w:rPr>
        <w:t xml:space="preserve"> 附件：《新疆交投资源开发有限责任公司新疆哈密市</w:t>
      </w:r>
      <w:r>
        <w:rPr>
          <w:rFonts w:hint="eastAsia" w:ascii="宋体" w:hAnsi="宋体" w:eastAsia="宋体"/>
          <w:color w:val="auto"/>
          <w:szCs w:val="28"/>
          <w:lang w:eastAsia="zh-CN"/>
        </w:rPr>
        <w:t>伊州区一碗泉砂石矿</w:t>
      </w:r>
      <w:r>
        <w:rPr>
          <w:rFonts w:hint="eastAsia" w:ascii="宋体" w:hAnsi="宋体" w:eastAsia="宋体"/>
          <w:color w:val="auto"/>
          <w:szCs w:val="28"/>
        </w:rPr>
        <w:t>矿产资源开发利用与生态保护修复方案》专家审查意见</w:t>
      </w:r>
    </w:p>
    <w:p>
      <w:pPr>
        <w:spacing w:line="480" w:lineRule="exact"/>
        <w:ind w:left="280" w:hanging="280" w:hangingChars="100"/>
        <w:rPr>
          <w:rFonts w:ascii="宋体" w:hAnsi="宋体" w:eastAsia="宋体"/>
          <w:color w:val="auto"/>
          <w:szCs w:val="28"/>
        </w:rPr>
      </w:pPr>
      <w:r>
        <w:rPr>
          <w:rFonts w:hint="eastAsia" w:ascii="宋体" w:hAnsi="宋体" w:eastAsia="宋体"/>
          <w:color w:val="auto"/>
          <w:szCs w:val="28"/>
        </w:rPr>
        <w:t xml:space="preserve"> </w:t>
      </w:r>
    </w:p>
    <w:p>
      <w:pPr>
        <w:spacing w:line="480" w:lineRule="exact"/>
        <w:ind w:firstLine="560"/>
        <w:rPr>
          <w:rFonts w:ascii="宋体" w:hAnsi="宋体" w:eastAsia="宋体"/>
          <w:color w:val="auto"/>
          <w:szCs w:val="28"/>
        </w:rPr>
      </w:pPr>
      <w:r>
        <w:rPr>
          <w:rFonts w:hint="eastAsia" w:ascii="宋体" w:hAnsi="宋体" w:eastAsia="宋体"/>
          <w:color w:val="auto"/>
          <w:szCs w:val="28"/>
        </w:rPr>
        <w:t>主  送：新疆交投资源开发有限责任公司</w:t>
      </w:r>
    </w:p>
    <w:p>
      <w:pPr>
        <w:spacing w:line="480" w:lineRule="exact"/>
        <w:ind w:firstLine="560"/>
        <w:rPr>
          <w:rFonts w:ascii="宋体" w:hAnsi="宋体" w:eastAsia="宋体"/>
          <w:color w:val="auto"/>
          <w:szCs w:val="28"/>
        </w:rPr>
      </w:pPr>
      <w:r>
        <w:rPr>
          <w:rFonts w:hint="eastAsia" w:ascii="宋体" w:hAnsi="宋体" w:eastAsia="宋体"/>
          <w:color w:val="auto"/>
          <w:szCs w:val="28"/>
        </w:rPr>
        <w:t>抄  送：哈密市自然资源局、哈密市自然资源局伊州分局</w:t>
      </w:r>
    </w:p>
    <w:p>
      <w:pPr>
        <w:spacing w:line="480" w:lineRule="exact"/>
        <w:ind w:firstLine="560"/>
        <w:rPr>
          <w:rFonts w:ascii="宋体" w:hAnsi="宋体" w:eastAsia="宋体"/>
          <w:color w:val="auto"/>
          <w:szCs w:val="28"/>
        </w:rPr>
      </w:pPr>
      <w:r>
        <w:rPr>
          <w:rFonts w:hint="eastAsia" w:ascii="宋体" w:hAnsi="宋体" w:eastAsia="宋体"/>
          <w:color w:val="auto"/>
          <w:szCs w:val="28"/>
        </w:rPr>
        <w:t>印  数：12份</w:t>
      </w:r>
    </w:p>
    <w:p>
      <w:pPr>
        <w:spacing w:line="520" w:lineRule="exact"/>
        <w:ind w:firstLine="560"/>
        <w:rPr>
          <w:rFonts w:ascii="宋体" w:hAnsi="宋体" w:eastAsia="宋体"/>
          <w:color w:val="auto"/>
          <w:szCs w:val="28"/>
        </w:rPr>
        <w:sectPr>
          <w:footerReference r:id="rId12" w:type="default"/>
          <w:pgSz w:w="12240" w:h="15840"/>
          <w:pgMar w:top="1440" w:right="1800" w:bottom="1440" w:left="1800" w:header="720" w:footer="720" w:gutter="0"/>
          <w:cols w:space="720" w:num="1"/>
        </w:sectPr>
      </w:pPr>
    </w:p>
    <w:p>
      <w:pPr>
        <w:ind w:firstLine="0" w:firstLineChars="0"/>
        <w:jc w:val="center"/>
        <w:rPr>
          <w:rFonts w:ascii="宋体" w:hAnsi="宋体" w:eastAsia="宋体" w:cs="宋体"/>
          <w:color w:val="auto"/>
          <w:spacing w:val="1"/>
          <w:szCs w:val="28"/>
        </w:rPr>
      </w:pPr>
      <w:r>
        <w:rPr>
          <w:rFonts w:hint="eastAsia" w:ascii="宋体" w:hAnsi="宋体" w:eastAsia="宋体"/>
          <w:b/>
          <w:color w:val="auto"/>
          <w:sz w:val="30"/>
          <w:szCs w:val="30"/>
        </w:rPr>
        <w:t>《新疆交投资源开发有限责任公司新疆哈密市</w:t>
      </w:r>
      <w:r>
        <w:rPr>
          <w:rFonts w:hint="eastAsia" w:ascii="宋体" w:hAnsi="宋体" w:eastAsia="宋体"/>
          <w:b/>
          <w:color w:val="auto"/>
          <w:sz w:val="30"/>
          <w:szCs w:val="30"/>
          <w:lang w:eastAsia="zh-CN"/>
        </w:rPr>
        <w:t>伊州区一碗泉砂石矿</w:t>
      </w:r>
      <w:r>
        <w:rPr>
          <w:rFonts w:hint="eastAsia" w:ascii="宋体" w:hAnsi="宋体" w:eastAsia="宋体"/>
          <w:b/>
          <w:color w:val="auto"/>
          <w:sz w:val="30"/>
          <w:szCs w:val="30"/>
        </w:rPr>
        <w:t>矿产资源开发利用与生态保护修复方案》专家审查意见</w:t>
      </w:r>
    </w:p>
    <w:p>
      <w:pPr>
        <w:ind w:firstLine="560"/>
        <w:rPr>
          <w:rFonts w:ascii="宋体" w:hAnsi="宋体" w:eastAsia="宋体" w:cs="宋体"/>
          <w:color w:val="auto"/>
        </w:rPr>
      </w:pPr>
      <w:bookmarkStart w:id="2" w:name="_Hlk100067958"/>
    </w:p>
    <w:p>
      <w:pPr>
        <w:ind w:firstLine="560"/>
        <w:rPr>
          <w:color w:val="auto"/>
        </w:rPr>
      </w:pPr>
      <w:r>
        <w:rPr>
          <w:rFonts w:hint="eastAsia" w:ascii="宋体" w:hAnsi="宋体" w:eastAsia="宋体" w:cs="宋体"/>
          <w:color w:val="auto"/>
        </w:rPr>
        <w:t>《新疆交投资源开发有限责任公司新疆哈密市</w:t>
      </w:r>
      <w:r>
        <w:rPr>
          <w:rFonts w:hint="eastAsia" w:ascii="宋体" w:hAnsi="宋体" w:eastAsia="宋体" w:cs="宋体"/>
          <w:color w:val="auto"/>
          <w:lang w:eastAsia="zh-CN"/>
        </w:rPr>
        <w:t>伊州区一碗泉砂石矿</w:t>
      </w:r>
      <w:r>
        <w:rPr>
          <w:rFonts w:hint="eastAsia" w:ascii="宋体" w:hAnsi="宋体" w:eastAsia="宋体" w:cs="宋体"/>
          <w:color w:val="auto"/>
        </w:rPr>
        <w:t>矿产资源开发利用与生态保护修复方案》</w:t>
      </w:r>
      <w:bookmarkEnd w:id="2"/>
      <w:r>
        <w:rPr>
          <w:rFonts w:hint="eastAsia" w:ascii="宋体" w:hAnsi="宋体" w:eastAsia="宋体" w:cs="宋体"/>
          <w:color w:val="auto"/>
        </w:rPr>
        <w:t>（以下简称</w:t>
      </w:r>
      <w:bookmarkStart w:id="3" w:name="_Hlk91835451"/>
      <w:r>
        <w:rPr>
          <w:rFonts w:hint="eastAsia" w:ascii="宋体" w:hAnsi="宋体" w:eastAsia="宋体" w:cs="宋体"/>
          <w:color w:val="auto"/>
        </w:rPr>
        <w:t>《方案》</w:t>
      </w:r>
      <w:bookmarkEnd w:id="3"/>
      <w:r>
        <w:rPr>
          <w:rFonts w:hint="eastAsia" w:ascii="宋体" w:hAnsi="宋体" w:eastAsia="宋体" w:cs="宋体"/>
          <w:color w:val="auto"/>
        </w:rPr>
        <w:t>）由中化地质矿山总局新疆地质调查院编制完成。哈密市伊州区自然资源局组织有关专家对该《方案》进行视频会审。</w:t>
      </w:r>
      <w:r>
        <w:rPr>
          <w:rFonts w:hint="eastAsia" w:ascii="宋体" w:hAnsi="宋体" w:eastAsia="宋体" w:cs="宋体"/>
          <w:color w:val="auto"/>
          <w:spacing w:val="1"/>
          <w:szCs w:val="28"/>
        </w:rPr>
        <w:t>202</w:t>
      </w:r>
      <w:r>
        <w:rPr>
          <w:rFonts w:ascii="宋体" w:hAnsi="宋体" w:eastAsia="宋体" w:cs="宋体"/>
          <w:color w:val="auto"/>
          <w:spacing w:val="1"/>
          <w:szCs w:val="28"/>
        </w:rPr>
        <w:t>4</w:t>
      </w:r>
      <w:r>
        <w:rPr>
          <w:rFonts w:hint="eastAsia" w:ascii="宋体" w:hAnsi="宋体" w:eastAsia="宋体" w:cs="宋体"/>
          <w:color w:val="auto"/>
          <w:spacing w:val="1"/>
          <w:szCs w:val="28"/>
        </w:rPr>
        <w:t>年1月18日，</w:t>
      </w:r>
      <w:r>
        <w:rPr>
          <w:rFonts w:hint="eastAsia" w:ascii="宋体" w:hAnsi="宋体" w:eastAsia="宋体" w:cs="宋体"/>
          <w:color w:val="auto"/>
        </w:rPr>
        <w:t>哈密市自然资源局伊州分局</w:t>
      </w:r>
      <w:r>
        <w:rPr>
          <w:rFonts w:hint="eastAsia" w:ascii="宋体" w:hAnsi="宋体" w:eastAsia="宋体" w:cs="宋体"/>
          <w:color w:val="auto"/>
          <w:spacing w:val="1"/>
          <w:szCs w:val="28"/>
        </w:rPr>
        <w:t>聘请了地质、采矿、经济、地环、土地复垦等专业的专家组成专家组（名单附后）在腾讯会议进行了线上会审。该《方案》经专家组充分讨论和评议，提出了修改意见。会后，编制单位对《方案》进行修改完善，经专家组复核，《方案》符合规范要求，现形成评审意见如下：</w:t>
      </w:r>
    </w:p>
    <w:p>
      <w:pPr>
        <w:ind w:firstLine="538"/>
        <w:jc w:val="left"/>
        <w:outlineLvl w:val="0"/>
        <w:rPr>
          <w:rFonts w:ascii="宋体" w:hAnsi="宋体" w:eastAsia="宋体" w:cs="宋体"/>
          <w:b/>
          <w:bCs/>
          <w:color w:val="auto"/>
          <w:spacing w:val="-3"/>
          <w:szCs w:val="28"/>
        </w:rPr>
      </w:pPr>
      <w:r>
        <w:rPr>
          <w:rFonts w:hint="eastAsia" w:ascii="宋体" w:hAnsi="宋体" w:eastAsia="宋体" w:cs="宋体"/>
          <w:b/>
          <w:bCs/>
          <w:color w:val="auto"/>
          <w:spacing w:val="-6"/>
          <w:szCs w:val="28"/>
        </w:rPr>
        <w:t>一、采矿权基本情况及编制目的</w:t>
      </w:r>
    </w:p>
    <w:p>
      <w:pPr>
        <w:ind w:firstLine="560"/>
        <w:rPr>
          <w:rFonts w:ascii="宋体" w:hAnsi="宋体" w:eastAsia="宋体" w:cs="宋体"/>
          <w:color w:val="auto"/>
          <w:szCs w:val="28"/>
        </w:rPr>
      </w:pPr>
      <w:r>
        <w:rPr>
          <w:rFonts w:hint="eastAsia" w:ascii="宋体" w:hAnsi="宋体" w:eastAsia="宋体" w:cs="宋体"/>
          <w:color w:val="auto"/>
          <w:szCs w:val="28"/>
        </w:rPr>
        <w:t>新疆交投资源开发有限责任公司新疆哈密市</w:t>
      </w:r>
      <w:r>
        <w:rPr>
          <w:rFonts w:hint="eastAsia" w:ascii="宋体" w:hAnsi="宋体" w:eastAsia="宋体" w:cs="宋体"/>
          <w:color w:val="auto"/>
          <w:szCs w:val="28"/>
          <w:lang w:eastAsia="zh-CN"/>
        </w:rPr>
        <w:t>伊州区一碗泉砂石矿</w:t>
      </w:r>
      <w:r>
        <w:rPr>
          <w:rFonts w:hint="eastAsia" w:ascii="宋体" w:hAnsi="宋体" w:eastAsia="宋体" w:cs="宋体"/>
          <w:color w:val="auto"/>
          <w:szCs w:val="28"/>
        </w:rPr>
        <w:t>隶属于新疆交投资源开发有限责任公司，本矿山属于新建矿山，为新疆交投资源开发有限责任公司通过招拍挂取得的采矿权，矿区由四个坐标拐点组成，面积0.</w:t>
      </w:r>
      <w:r>
        <w:rPr>
          <w:rFonts w:hint="eastAsia" w:ascii="宋体" w:hAnsi="宋体" w:eastAsia="宋体" w:cs="宋体"/>
          <w:color w:val="auto"/>
          <w:szCs w:val="28"/>
          <w:lang w:val="en-US" w:eastAsia="zh-CN"/>
        </w:rPr>
        <w:t>42</w:t>
      </w:r>
      <w:r>
        <w:rPr>
          <w:rFonts w:hint="eastAsia" w:ascii="宋体" w:hAnsi="宋体" w:eastAsia="宋体" w:cs="宋体"/>
          <w:color w:val="auto"/>
          <w:szCs w:val="28"/>
        </w:rPr>
        <w:t>km</w:t>
      </w:r>
      <w:r>
        <w:rPr>
          <w:rFonts w:hint="eastAsia" w:ascii="宋体" w:hAnsi="宋体" w:eastAsia="宋体" w:cs="宋体"/>
          <w:color w:val="auto"/>
          <w:szCs w:val="28"/>
          <w:vertAlign w:val="superscript"/>
        </w:rPr>
        <w:t>2</w:t>
      </w:r>
      <w:r>
        <w:rPr>
          <w:rFonts w:hint="eastAsia" w:ascii="宋体" w:hAnsi="宋体" w:eastAsia="宋体" w:cs="宋体"/>
          <w:color w:val="auto"/>
          <w:szCs w:val="28"/>
        </w:rPr>
        <w:t>。开采矿种为建筑用砂矿，</w:t>
      </w:r>
      <w:r>
        <w:rPr>
          <w:rFonts w:hint="eastAsia" w:ascii="宋体" w:hAnsi="宋体" w:eastAsia="宋体"/>
          <w:color w:val="auto"/>
          <w:szCs w:val="28"/>
        </w:rPr>
        <w:t>露天凹陷开采方式</w:t>
      </w:r>
      <w:r>
        <w:rPr>
          <w:rFonts w:hint="eastAsia" w:ascii="宋体" w:hAnsi="宋体" w:eastAsia="宋体" w:cs="宋体"/>
          <w:color w:val="auto"/>
          <w:szCs w:val="28"/>
        </w:rPr>
        <w:t>，开采标高为</w:t>
      </w:r>
      <w:r>
        <w:rPr>
          <w:rFonts w:hint="eastAsia" w:ascii="宋体" w:hAnsi="宋体" w:eastAsia="宋体" w:cs="宋体"/>
          <w:color w:val="auto"/>
          <w:lang w:bidi="ar"/>
        </w:rPr>
        <w:t>最高标高+1670～+1667m，最低标高+1626～+1623</w:t>
      </w:r>
      <w:r>
        <w:rPr>
          <w:rFonts w:hint="eastAsia" w:ascii="宋体" w:hAnsi="宋体" w:eastAsia="宋体" w:cs="宋体"/>
          <w:color w:val="auto"/>
          <w:lang w:val="en-US" w:eastAsia="zh-CN" w:bidi="ar"/>
        </w:rPr>
        <w:t>m</w:t>
      </w:r>
      <w:r>
        <w:rPr>
          <w:rFonts w:hint="eastAsia" w:ascii="宋体" w:hAnsi="宋体" w:eastAsia="宋体" w:cs="宋体"/>
          <w:color w:val="auto"/>
          <w:szCs w:val="28"/>
        </w:rPr>
        <w:t>，生产规模为</w:t>
      </w:r>
      <w:r>
        <w:rPr>
          <w:rFonts w:hint="eastAsia" w:ascii="宋体" w:hAnsi="宋体" w:eastAsia="宋体" w:cs="宋体"/>
          <w:color w:val="auto"/>
          <w:szCs w:val="28"/>
          <w:lang w:val="en-US" w:eastAsia="zh-CN"/>
        </w:rPr>
        <w:t>60</w:t>
      </w:r>
      <w:r>
        <w:rPr>
          <w:rFonts w:hint="eastAsia" w:ascii="宋体" w:hAnsi="宋体" w:eastAsia="宋体" w:cs="宋体"/>
          <w:color w:val="auto"/>
          <w:szCs w:val="28"/>
        </w:rPr>
        <w:t>万m</w:t>
      </w:r>
      <w:r>
        <w:rPr>
          <w:rFonts w:hint="eastAsia" w:ascii="宋体" w:hAnsi="宋体" w:eastAsia="宋体" w:cs="宋体"/>
          <w:color w:val="auto"/>
          <w:szCs w:val="28"/>
          <w:vertAlign w:val="superscript"/>
        </w:rPr>
        <w:t>3</w:t>
      </w:r>
      <w:r>
        <w:rPr>
          <w:rFonts w:hint="eastAsia" w:ascii="宋体" w:hAnsi="宋体" w:eastAsia="宋体" w:cs="宋体"/>
          <w:color w:val="auto"/>
          <w:szCs w:val="28"/>
        </w:rPr>
        <w:t>/年。</w:t>
      </w:r>
    </w:p>
    <w:p>
      <w:pPr>
        <w:ind w:firstLine="560"/>
        <w:rPr>
          <w:rFonts w:ascii="宋体" w:hAnsi="宋体" w:eastAsia="宋体" w:cs="宋体"/>
          <w:color w:val="auto"/>
          <w:szCs w:val="28"/>
        </w:rPr>
      </w:pPr>
      <w:r>
        <w:rPr>
          <w:rFonts w:hint="eastAsia" w:ascii="宋体" w:hAnsi="宋体" w:eastAsia="宋体" w:cs="宋体"/>
          <w:color w:val="auto"/>
          <w:szCs w:val="28"/>
        </w:rPr>
        <w:t>本次设计编制</w:t>
      </w:r>
      <w:bookmarkStart w:id="4" w:name="_Hlk91836438"/>
      <w:r>
        <w:rPr>
          <w:rFonts w:hint="eastAsia" w:ascii="宋体" w:hAnsi="宋体" w:eastAsia="宋体" w:cs="宋体"/>
          <w:color w:val="auto"/>
          <w:szCs w:val="28"/>
        </w:rPr>
        <w:t>《方案》</w:t>
      </w:r>
      <w:bookmarkEnd w:id="4"/>
      <w:r>
        <w:rPr>
          <w:rFonts w:hint="eastAsia" w:ascii="宋体" w:hAnsi="宋体" w:eastAsia="宋体" w:cs="宋体"/>
          <w:color w:val="auto"/>
          <w:szCs w:val="28"/>
        </w:rPr>
        <w:t>目的：为办理采矿许可证；为本矿山的采矿权出让收益评估、矿产资源开发利用、环境评价提供依据；为自然资源管理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管理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p>
    <w:p>
      <w:pPr>
        <w:ind w:firstLine="538"/>
        <w:jc w:val="left"/>
        <w:outlineLvl w:val="0"/>
        <w:rPr>
          <w:rFonts w:ascii="宋体" w:hAnsi="宋体" w:eastAsia="宋体" w:cs="宋体"/>
          <w:b/>
          <w:bCs/>
          <w:color w:val="auto"/>
          <w:spacing w:val="-6"/>
          <w:szCs w:val="28"/>
        </w:rPr>
      </w:pPr>
      <w:r>
        <w:rPr>
          <w:rFonts w:hint="eastAsia" w:ascii="宋体" w:hAnsi="宋体" w:eastAsia="宋体" w:cs="宋体"/>
          <w:b/>
          <w:bCs/>
          <w:color w:val="auto"/>
          <w:spacing w:val="-6"/>
          <w:szCs w:val="28"/>
        </w:rPr>
        <w:t>二、资源储量转换及其评述</w:t>
      </w:r>
    </w:p>
    <w:p>
      <w:pPr>
        <w:pStyle w:val="2"/>
        <w:spacing w:after="0" w:line="560" w:lineRule="exact"/>
        <w:ind w:left="0" w:leftChars="0" w:firstLine="560"/>
        <w:rPr>
          <w:rFonts w:ascii="宋体" w:hAnsi="宋体" w:eastAsia="宋体" w:cs="宋体"/>
          <w:color w:val="auto"/>
          <w:sz w:val="28"/>
          <w:szCs w:val="28"/>
        </w:rPr>
      </w:pPr>
      <w:r>
        <w:rPr>
          <w:rFonts w:hint="eastAsia" w:ascii="宋体" w:hAnsi="宋体" w:eastAsia="宋体" w:cs="宋体"/>
          <w:color w:val="auto"/>
          <w:sz w:val="28"/>
          <w:szCs w:val="28"/>
        </w:rPr>
        <w:t>（一）设计利用资源量</w:t>
      </w:r>
    </w:p>
    <w:p>
      <w:pPr>
        <w:ind w:firstLine="560"/>
        <w:rPr>
          <w:rFonts w:ascii="宋体" w:hAnsi="宋体" w:eastAsia="宋体" w:cs="宋体"/>
          <w:color w:val="auto"/>
          <w:szCs w:val="28"/>
        </w:rPr>
      </w:pPr>
      <w:r>
        <w:rPr>
          <w:rFonts w:hint="eastAsia" w:ascii="宋体" w:hAnsi="宋体" w:eastAsia="宋体" w:cs="宋体"/>
          <w:color w:val="auto"/>
          <w:szCs w:val="28"/>
        </w:rPr>
        <w:t>根据《新疆交投资源开发有限责任公司新疆哈密市</w:t>
      </w:r>
      <w:r>
        <w:rPr>
          <w:rFonts w:hint="eastAsia" w:ascii="宋体" w:hAnsi="宋体" w:eastAsia="宋体" w:cs="宋体"/>
          <w:color w:val="auto"/>
          <w:szCs w:val="28"/>
          <w:lang w:eastAsia="zh-CN"/>
        </w:rPr>
        <w:t>伊州区一碗泉砂石矿</w:t>
      </w:r>
      <w:r>
        <w:rPr>
          <w:rFonts w:hint="eastAsia" w:ascii="宋体" w:hAnsi="宋体" w:eastAsia="宋体" w:cs="宋体"/>
          <w:color w:val="auto"/>
          <w:szCs w:val="28"/>
        </w:rPr>
        <w:t>普查报告》评审意见书（伊自然资复〔2023〕1</w:t>
      </w:r>
      <w:r>
        <w:rPr>
          <w:rFonts w:hint="eastAsia" w:ascii="宋体" w:hAnsi="宋体" w:eastAsia="宋体" w:cs="宋体"/>
          <w:color w:val="auto"/>
          <w:szCs w:val="28"/>
          <w:lang w:val="en-US" w:eastAsia="zh-CN"/>
        </w:rPr>
        <w:t>12</w:t>
      </w:r>
      <w:r>
        <w:rPr>
          <w:rFonts w:hint="eastAsia" w:ascii="宋体" w:hAnsi="宋体" w:eastAsia="宋体" w:cs="宋体"/>
          <w:color w:val="auto"/>
          <w:szCs w:val="28"/>
        </w:rPr>
        <w:t>号），截止时间为2023年</w:t>
      </w:r>
      <w:r>
        <w:rPr>
          <w:rFonts w:ascii="宋体" w:hAnsi="宋体" w:eastAsia="宋体" w:cs="宋体"/>
          <w:color w:val="auto"/>
          <w:szCs w:val="28"/>
        </w:rPr>
        <w:t>7</w:t>
      </w:r>
      <w:r>
        <w:rPr>
          <w:rFonts w:hint="eastAsia" w:ascii="宋体" w:hAnsi="宋体" w:eastAsia="宋体" w:cs="宋体"/>
          <w:color w:val="auto"/>
          <w:szCs w:val="28"/>
        </w:rPr>
        <w:t>月</w:t>
      </w:r>
      <w:r>
        <w:rPr>
          <w:rFonts w:ascii="宋体" w:hAnsi="宋体" w:eastAsia="宋体" w:cs="宋体"/>
          <w:color w:val="auto"/>
          <w:szCs w:val="28"/>
        </w:rPr>
        <w:t>1</w:t>
      </w:r>
      <w:r>
        <w:rPr>
          <w:rFonts w:hint="eastAsia" w:ascii="宋体" w:hAnsi="宋体" w:eastAsia="宋体" w:cs="宋体"/>
          <w:color w:val="auto"/>
          <w:szCs w:val="28"/>
        </w:rPr>
        <w:t>日，普查区范围内（</w:t>
      </w:r>
      <w:r>
        <w:rPr>
          <w:rFonts w:hint="eastAsia" w:ascii="宋体" w:hAnsi="宋体" w:eastAsia="宋体" w:cs="宋体"/>
          <w:color w:val="auto"/>
          <w:lang w:bidi="ar"/>
        </w:rPr>
        <w:t>最高标高+1670～+1667m，最低标高+1626～+1623</w:t>
      </w:r>
      <w:r>
        <w:rPr>
          <w:rFonts w:hint="eastAsia" w:ascii="宋体" w:hAnsi="宋体" w:eastAsia="宋体" w:cs="宋体"/>
          <w:color w:val="auto"/>
          <w:lang w:val="en-US" w:eastAsia="zh-CN" w:bidi="ar"/>
        </w:rPr>
        <w:t>m</w:t>
      </w:r>
      <w:r>
        <w:rPr>
          <w:rFonts w:hint="eastAsia" w:ascii="宋体" w:hAnsi="宋体" w:eastAsia="宋体" w:cs="宋体"/>
          <w:color w:val="auto"/>
          <w:szCs w:val="28"/>
        </w:rPr>
        <w:t>）共求得换填用砂石料矿推断资源量124.95万m</w:t>
      </w:r>
      <w:r>
        <w:rPr>
          <w:rFonts w:hint="eastAsia" w:ascii="宋体" w:hAnsi="宋体" w:eastAsia="宋体" w:cs="宋体"/>
          <w:color w:val="auto"/>
          <w:szCs w:val="28"/>
          <w:vertAlign w:val="superscript"/>
        </w:rPr>
        <w:t>3</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hint="eastAsia" w:ascii="宋体" w:hAnsi="宋体" w:eastAsia="宋体" w:cs="宋体"/>
          <w:color w:val="auto"/>
          <w:szCs w:val="28"/>
        </w:rPr>
        <w:t>确定本次方案设计利用的资源量为矿区范围内截止2023年</w:t>
      </w:r>
      <w:r>
        <w:rPr>
          <w:rFonts w:ascii="宋体" w:hAnsi="宋体" w:eastAsia="宋体" w:cs="宋体"/>
          <w:color w:val="auto"/>
          <w:szCs w:val="28"/>
        </w:rPr>
        <w:t>7</w:t>
      </w:r>
      <w:r>
        <w:rPr>
          <w:rFonts w:hint="eastAsia" w:ascii="宋体" w:hAnsi="宋体" w:eastAsia="宋体" w:cs="宋体"/>
          <w:color w:val="auto"/>
          <w:szCs w:val="28"/>
        </w:rPr>
        <w:t>月</w:t>
      </w:r>
      <w:r>
        <w:rPr>
          <w:rFonts w:ascii="宋体" w:hAnsi="宋体" w:eastAsia="宋体" w:cs="宋体"/>
          <w:color w:val="auto"/>
          <w:szCs w:val="28"/>
        </w:rPr>
        <w:t>1</w:t>
      </w:r>
      <w:r>
        <w:rPr>
          <w:rFonts w:hint="eastAsia" w:ascii="宋体" w:hAnsi="宋体" w:eastAsia="宋体" w:cs="宋体"/>
          <w:color w:val="auto"/>
          <w:szCs w:val="28"/>
        </w:rPr>
        <w:t>日经评审备案的全部保有资源量。</w:t>
      </w:r>
    </w:p>
    <w:p>
      <w:pPr>
        <w:ind w:firstLine="560"/>
        <w:rPr>
          <w:rFonts w:ascii="宋体" w:hAnsi="宋体" w:eastAsia="宋体" w:cs="宋体"/>
          <w:color w:val="auto"/>
          <w:szCs w:val="28"/>
        </w:rPr>
      </w:pPr>
      <w:r>
        <w:rPr>
          <w:rFonts w:hint="eastAsia" w:ascii="宋体" w:hAnsi="宋体" w:eastAsia="宋体" w:cs="宋体"/>
          <w:color w:val="auto"/>
          <w:szCs w:val="28"/>
        </w:rPr>
        <w:t>（二）可采资源储量</w:t>
      </w:r>
    </w:p>
    <w:p>
      <w:pPr>
        <w:ind w:firstLine="560"/>
        <w:rPr>
          <w:rFonts w:ascii="宋体" w:hAnsi="宋体" w:eastAsia="宋体" w:cs="宋体"/>
          <w:color w:val="auto"/>
          <w:szCs w:val="28"/>
        </w:rPr>
      </w:pPr>
      <w:r>
        <w:rPr>
          <w:rFonts w:hint="eastAsia" w:ascii="宋体" w:hAnsi="宋体" w:eastAsia="宋体" w:cs="宋体"/>
          <w:color w:val="auto"/>
          <w:szCs w:val="28"/>
        </w:rPr>
        <w:t>本次方案设计露天采矿场境界范围内共圈定资源量123.76万m</w:t>
      </w:r>
      <w:r>
        <w:rPr>
          <w:rFonts w:hint="eastAsia" w:ascii="宋体" w:hAnsi="宋体" w:eastAsia="宋体" w:cs="宋体"/>
          <w:color w:val="auto"/>
          <w:szCs w:val="28"/>
          <w:vertAlign w:val="superscript"/>
        </w:rPr>
        <w:t>3</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hint="eastAsia" w:ascii="宋体" w:hAnsi="宋体" w:eastAsia="宋体" w:cs="宋体"/>
          <w:color w:val="auto"/>
          <w:szCs w:val="28"/>
        </w:rPr>
        <w:t>根据矿体赋存条件并参照、类比邻近矿山，设计采矿回采率为98.00%，故本矿山</w:t>
      </w:r>
      <w:r>
        <w:rPr>
          <w:rFonts w:hint="eastAsia" w:ascii="宋体" w:hAnsi="宋体" w:eastAsia="宋体" w:cs="宋体"/>
          <w:color w:val="auto"/>
          <w:szCs w:val="28"/>
          <w:lang w:val="zh-CN"/>
        </w:rPr>
        <w:t>采出矿</w:t>
      </w:r>
      <w:r>
        <w:rPr>
          <w:rFonts w:hint="eastAsia" w:ascii="宋体" w:hAnsi="宋体" w:eastAsia="宋体" w:cs="宋体"/>
          <w:color w:val="auto"/>
          <w:szCs w:val="28"/>
        </w:rPr>
        <w:t>量计算如下：</w:t>
      </w:r>
    </w:p>
    <w:p>
      <w:pPr>
        <w:ind w:firstLine="560"/>
        <w:rPr>
          <w:rFonts w:ascii="宋体" w:hAnsi="宋体" w:eastAsia="宋体" w:cs="宋体"/>
          <w:color w:val="auto"/>
          <w:szCs w:val="28"/>
        </w:rPr>
      </w:pPr>
      <w:r>
        <w:rPr>
          <w:rFonts w:hint="eastAsia" w:ascii="宋体" w:hAnsi="宋体" w:eastAsia="宋体" w:cs="宋体"/>
          <w:color w:val="auto"/>
          <w:szCs w:val="28"/>
        </w:rPr>
        <w:t>本矿山服务年限内</w:t>
      </w:r>
      <w:r>
        <w:rPr>
          <w:rFonts w:hint="eastAsia" w:ascii="宋体" w:hAnsi="宋体" w:eastAsia="宋体" w:cs="宋体"/>
          <w:color w:val="auto"/>
          <w:szCs w:val="28"/>
          <w:lang w:val="zh-CN"/>
        </w:rPr>
        <w:t>采出矿</w:t>
      </w:r>
      <w:r>
        <w:rPr>
          <w:rFonts w:hint="eastAsia" w:ascii="宋体" w:hAnsi="宋体" w:eastAsia="宋体" w:cs="宋体"/>
          <w:color w:val="auto"/>
          <w:szCs w:val="28"/>
        </w:rPr>
        <w:t>量＝设计利用储量×设计采矿回采率</w:t>
      </w:r>
    </w:p>
    <w:p>
      <w:pPr>
        <w:ind w:firstLine="3920" w:firstLineChars="1400"/>
        <w:rPr>
          <w:rFonts w:ascii="宋体" w:hAnsi="宋体" w:eastAsia="宋体" w:cs="宋体"/>
          <w:color w:val="auto"/>
          <w:szCs w:val="28"/>
        </w:rPr>
      </w:pPr>
      <w:r>
        <w:rPr>
          <w:rFonts w:hint="eastAsia" w:ascii="宋体" w:hAnsi="宋体" w:eastAsia="宋体" w:cs="宋体"/>
          <w:color w:val="auto"/>
          <w:szCs w:val="28"/>
        </w:rPr>
        <w:t>＝123.76万m</w:t>
      </w:r>
      <w:r>
        <w:rPr>
          <w:rFonts w:hint="eastAsia" w:ascii="宋体" w:hAnsi="宋体" w:eastAsia="宋体" w:cs="宋体"/>
          <w:color w:val="auto"/>
          <w:szCs w:val="28"/>
          <w:vertAlign w:val="superscript"/>
        </w:rPr>
        <w:t>3</w:t>
      </w:r>
      <w:r>
        <w:rPr>
          <w:rFonts w:hint="eastAsia" w:ascii="宋体" w:hAnsi="宋体" w:eastAsia="宋体" w:cs="宋体"/>
          <w:color w:val="auto"/>
          <w:szCs w:val="28"/>
        </w:rPr>
        <w:t>×98%＝121.28万m</w:t>
      </w:r>
      <w:r>
        <w:rPr>
          <w:rFonts w:hint="eastAsia" w:ascii="宋体" w:hAnsi="宋体" w:eastAsia="宋体" w:cs="宋体"/>
          <w:color w:val="auto"/>
          <w:szCs w:val="28"/>
          <w:vertAlign w:val="superscript"/>
        </w:rPr>
        <w:t>3</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hint="eastAsia" w:ascii="宋体" w:hAnsi="宋体" w:eastAsia="宋体" w:cs="宋体"/>
          <w:color w:val="auto"/>
          <w:szCs w:val="28"/>
        </w:rPr>
        <w:t>（三）资源储量确定符合性</w:t>
      </w:r>
    </w:p>
    <w:p>
      <w:pPr>
        <w:ind w:firstLine="560"/>
        <w:rPr>
          <w:rFonts w:ascii="宋体" w:hAnsi="宋体" w:eastAsia="宋体" w:cs="宋体"/>
          <w:color w:val="auto"/>
          <w:szCs w:val="28"/>
        </w:rPr>
      </w:pPr>
      <w:r>
        <w:rPr>
          <w:rFonts w:hint="eastAsia" w:ascii="宋体" w:hAnsi="宋体" w:eastAsia="宋体" w:cs="宋体"/>
          <w:color w:val="auto"/>
          <w:szCs w:val="28"/>
        </w:rPr>
        <w:t>《方案》资源储量类型确定合理，设计利用资源量、可采资源储量的确定符合自治区自然资源厅相关政策要求。</w:t>
      </w:r>
    </w:p>
    <w:p>
      <w:pPr>
        <w:ind w:firstLine="546"/>
        <w:outlineLvl w:val="0"/>
        <w:rPr>
          <w:rFonts w:ascii="宋体" w:hAnsi="宋体" w:eastAsia="宋体" w:cs="宋体"/>
          <w:b/>
          <w:bCs/>
          <w:color w:val="auto"/>
          <w:spacing w:val="-4"/>
          <w:szCs w:val="28"/>
        </w:rPr>
      </w:pPr>
      <w:r>
        <w:rPr>
          <w:rFonts w:hint="eastAsia" w:ascii="宋体" w:hAnsi="宋体" w:eastAsia="宋体" w:cs="宋体"/>
          <w:b/>
          <w:bCs/>
          <w:color w:val="auto"/>
          <w:spacing w:val="-4"/>
          <w:szCs w:val="28"/>
        </w:rPr>
        <w:t>三、设计开采规模及服务年限</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该矿为建筑用砂矿，矿产品为路基换填料，矿石主要用于连霍高速（G30）新疆境内星星峡至吐峪沟段改扩建工程公路路基铺设，该工程工期约为</w:t>
      </w:r>
      <w:r>
        <w:rPr>
          <w:rFonts w:ascii="宋体" w:hAnsi="宋体" w:eastAsia="宋体" w:cs="宋体"/>
          <w:color w:val="auto"/>
          <w:spacing w:val="1"/>
          <w:szCs w:val="28"/>
        </w:rPr>
        <w:t>2.5</w:t>
      </w:r>
      <w:r>
        <w:rPr>
          <w:rFonts w:hint="eastAsia" w:ascii="宋体" w:hAnsi="宋体" w:eastAsia="宋体" w:cs="宋体"/>
          <w:color w:val="auto"/>
          <w:spacing w:val="1"/>
          <w:szCs w:val="28"/>
        </w:rPr>
        <w:t>年。根据矿区范围内估算保有资源量、改扩建工程工期相关要求，推荐矿山建设规模为年采建筑用砂</w:t>
      </w:r>
      <w:r>
        <w:rPr>
          <w:rFonts w:hint="eastAsia" w:ascii="宋体" w:hAnsi="宋体" w:eastAsia="宋体" w:cs="宋体"/>
          <w:color w:val="auto"/>
          <w:spacing w:val="1"/>
          <w:szCs w:val="28"/>
          <w:lang w:val="en-US" w:eastAsia="zh-CN"/>
        </w:rPr>
        <w:t>60</w:t>
      </w:r>
      <w:r>
        <w:rPr>
          <w:rFonts w:hint="eastAsia" w:ascii="宋体" w:hAnsi="宋体" w:eastAsia="宋体" w:cs="宋体"/>
          <w:color w:val="auto"/>
          <w:spacing w:val="1"/>
          <w:szCs w:val="28"/>
        </w:rPr>
        <w:t>万m</w:t>
      </w:r>
      <w:r>
        <w:rPr>
          <w:rFonts w:hint="eastAsia" w:ascii="宋体" w:hAnsi="宋体" w:eastAsia="宋体" w:cs="宋体"/>
          <w:color w:val="auto"/>
          <w:spacing w:val="1"/>
          <w:szCs w:val="28"/>
          <w:vertAlign w:val="superscript"/>
        </w:rPr>
        <w:t>3</w:t>
      </w:r>
      <w:r>
        <w:rPr>
          <w:rFonts w:hint="eastAsia" w:ascii="宋体" w:hAnsi="宋体" w:eastAsia="宋体" w:cs="宋体"/>
          <w:color w:val="auto"/>
          <w:spacing w:val="1"/>
          <w:szCs w:val="28"/>
        </w:rPr>
        <w:t>,设计服务年限为2年</w:t>
      </w:r>
      <w:r>
        <w:rPr>
          <w:rFonts w:hint="eastAsia" w:ascii="宋体" w:hAnsi="宋体" w:eastAsia="宋体" w:cs="宋体"/>
          <w:color w:val="auto"/>
          <w:spacing w:val="1"/>
          <w:szCs w:val="28"/>
          <w:lang w:val="zh-CN"/>
        </w:rPr>
        <w:t>。</w:t>
      </w:r>
    </w:p>
    <w:p>
      <w:pPr>
        <w:ind w:firstLine="562"/>
        <w:outlineLvl w:val="0"/>
        <w:rPr>
          <w:rFonts w:ascii="宋体" w:hAnsi="宋体" w:eastAsia="宋体" w:cs="宋体"/>
          <w:b/>
          <w:bCs/>
          <w:color w:val="auto"/>
          <w:szCs w:val="28"/>
        </w:rPr>
      </w:pPr>
      <w:r>
        <w:rPr>
          <w:rFonts w:hint="eastAsia" w:ascii="宋体" w:hAnsi="宋体" w:eastAsia="宋体" w:cs="宋体"/>
          <w:b/>
          <w:bCs/>
          <w:color w:val="auto"/>
          <w:szCs w:val="28"/>
        </w:rPr>
        <w:t>四、采矿及选矿方案</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矿山采用</w:t>
      </w:r>
      <w:r>
        <w:rPr>
          <w:rFonts w:hint="eastAsia" w:ascii="宋体" w:hAnsi="宋体" w:eastAsia="宋体"/>
          <w:color w:val="auto"/>
          <w:szCs w:val="28"/>
        </w:rPr>
        <w:t>露天凹陷开采方式，</w:t>
      </w:r>
      <w:r>
        <w:rPr>
          <w:rFonts w:hint="eastAsia" w:ascii="宋体" w:hAnsi="宋体" w:eastAsia="宋体"/>
          <w:color w:val="auto"/>
          <w:szCs w:val="28"/>
          <w:lang w:val="zh-CN"/>
        </w:rPr>
        <w:t>公路开拓-汽车运输方案</w:t>
      </w:r>
      <w:r>
        <w:rPr>
          <w:rFonts w:hint="eastAsia" w:ascii="宋体" w:hAnsi="宋体" w:eastAsia="宋体" w:cs="宋体"/>
          <w:color w:val="auto"/>
          <w:spacing w:val="1"/>
          <w:szCs w:val="28"/>
        </w:rPr>
        <w:t>，</w:t>
      </w:r>
      <w:r>
        <w:rPr>
          <w:rFonts w:hint="eastAsia" w:ascii="宋体" w:hAnsi="宋体" w:eastAsia="宋体" w:cs="宋体"/>
          <w:bCs/>
          <w:color w:val="auto"/>
          <w:szCs w:val="24"/>
        </w:rPr>
        <w:t>单台阶开采、一次性采全高</w:t>
      </w:r>
      <w:r>
        <w:rPr>
          <w:rFonts w:ascii="宋体" w:hAnsi="宋体" w:eastAsia="宋体"/>
          <w:color w:val="auto"/>
          <w:szCs w:val="28"/>
        </w:rPr>
        <w:t>的采矿方法</w:t>
      </w:r>
      <w:r>
        <w:rPr>
          <w:rFonts w:hint="eastAsia" w:ascii="宋体" w:hAnsi="宋体" w:eastAsia="宋体" w:cs="宋体"/>
          <w:color w:val="auto"/>
          <w:spacing w:val="1"/>
          <w:szCs w:val="28"/>
        </w:rPr>
        <w:t>，选择合理参数圈定露天开采境界，设计采矿回采率98%，采矿损失率2%。</w:t>
      </w:r>
      <w:r>
        <w:rPr>
          <w:rFonts w:hint="eastAsia" w:ascii="宋体" w:hAnsi="宋体" w:eastAsia="宋体" w:cs="宋体"/>
          <w:color w:val="auto"/>
          <w:spacing w:val="-4"/>
          <w:szCs w:val="28"/>
        </w:rPr>
        <w:t>无选矿。</w:t>
      </w:r>
    </w:p>
    <w:p>
      <w:pPr>
        <w:ind w:firstLine="558"/>
        <w:outlineLvl w:val="0"/>
        <w:rPr>
          <w:rFonts w:ascii="宋体" w:hAnsi="宋体" w:eastAsia="宋体" w:cs="宋体"/>
          <w:b/>
          <w:bCs/>
          <w:color w:val="auto"/>
          <w:spacing w:val="-1"/>
          <w:szCs w:val="28"/>
        </w:rPr>
      </w:pPr>
      <w:r>
        <w:rPr>
          <w:rFonts w:hint="eastAsia" w:ascii="宋体" w:hAnsi="宋体" w:eastAsia="宋体" w:cs="宋体"/>
          <w:b/>
          <w:bCs/>
          <w:color w:val="auto"/>
          <w:spacing w:val="-1"/>
          <w:szCs w:val="28"/>
        </w:rPr>
        <w:t>五、产品方案</w:t>
      </w:r>
    </w:p>
    <w:p>
      <w:pPr>
        <w:ind w:firstLine="544"/>
        <w:rPr>
          <w:rFonts w:ascii="宋体" w:hAnsi="宋体" w:cs="宋体"/>
          <w:bCs/>
          <w:color w:val="auto"/>
          <w:szCs w:val="24"/>
          <w:lang w:val="zh-CN"/>
        </w:rPr>
      </w:pPr>
      <w:r>
        <w:rPr>
          <w:rFonts w:hint="eastAsia" w:ascii="宋体" w:hAnsi="宋体" w:eastAsia="宋体" w:cs="宋体"/>
          <w:color w:val="auto"/>
          <w:spacing w:val="-4"/>
          <w:szCs w:val="28"/>
        </w:rPr>
        <w:t>该矿为建筑用砂石，矿石主要用于连霍高速（G30）新疆境内星星峡至吐峪沟段改扩建工程公路路基铺设，</w:t>
      </w:r>
      <w:r>
        <w:rPr>
          <w:rFonts w:hint="eastAsia" w:ascii="宋体" w:hAnsi="宋体" w:eastAsia="宋体" w:cs="宋体"/>
          <w:bCs/>
          <w:color w:val="auto"/>
          <w:szCs w:val="24"/>
          <w:lang w:val="zh-CN"/>
        </w:rPr>
        <w:t>根据市场对砂石料的需求，本矿山产品规格确定为</w:t>
      </w:r>
      <w:r>
        <w:rPr>
          <w:rFonts w:hint="eastAsia" w:ascii="宋体" w:hAnsi="宋体" w:eastAsia="宋体" w:cs="宋体"/>
          <w:bCs/>
          <w:color w:val="auto"/>
          <w:szCs w:val="24"/>
          <w:lang w:val="en-US" w:eastAsia="zh-CN"/>
        </w:rPr>
        <w:t>建筑用砂矿原矿（戈壁料）</w:t>
      </w:r>
      <w:r>
        <w:rPr>
          <w:rFonts w:hint="eastAsia" w:ascii="宋体" w:hAnsi="宋体" w:eastAsia="宋体" w:cs="宋体"/>
          <w:bCs/>
          <w:color w:val="auto"/>
          <w:szCs w:val="24"/>
          <w:lang w:val="zh-CN"/>
        </w:rPr>
        <w:t>。</w:t>
      </w:r>
    </w:p>
    <w:p>
      <w:pPr>
        <w:ind w:firstLine="550"/>
        <w:rPr>
          <w:rFonts w:ascii="宋体" w:hAnsi="宋体" w:eastAsia="宋体" w:cs="宋体"/>
          <w:b/>
          <w:bCs/>
          <w:color w:val="auto"/>
          <w:spacing w:val="-1"/>
          <w:szCs w:val="28"/>
        </w:rPr>
      </w:pPr>
      <w:r>
        <w:rPr>
          <w:rFonts w:hint="eastAsia" w:ascii="宋体" w:hAnsi="宋体" w:eastAsia="宋体" w:cs="宋体"/>
          <w:b/>
          <w:bCs/>
          <w:color w:val="auto"/>
          <w:spacing w:val="-3"/>
          <w:szCs w:val="28"/>
        </w:rPr>
        <w:t>六、</w:t>
      </w:r>
      <w:r>
        <w:rPr>
          <w:rFonts w:hint="eastAsia" w:ascii="宋体" w:hAnsi="宋体" w:eastAsia="宋体" w:cs="宋体"/>
          <w:b/>
          <w:bCs/>
          <w:color w:val="auto"/>
          <w:spacing w:val="-4"/>
          <w:szCs w:val="28"/>
        </w:rPr>
        <w:t>绿色矿山建设</w:t>
      </w:r>
    </w:p>
    <w:p>
      <w:pPr>
        <w:ind w:firstLine="544"/>
        <w:rPr>
          <w:rFonts w:ascii="宋体" w:hAnsi="宋体" w:eastAsia="宋体" w:cs="宋体"/>
          <w:color w:val="auto"/>
          <w:spacing w:val="-2"/>
          <w:szCs w:val="28"/>
        </w:rPr>
      </w:pPr>
      <w:r>
        <w:rPr>
          <w:rFonts w:hint="eastAsia" w:ascii="宋体" w:hAnsi="宋体" w:eastAsia="宋体" w:cs="宋体"/>
          <w:color w:val="auto"/>
          <w:spacing w:val="-4"/>
          <w:szCs w:val="28"/>
        </w:rPr>
        <w:t>设计采取的开采工艺以及选矿工艺符合本行业绿色矿山建设规范和节约与综合</w:t>
      </w:r>
      <w:r>
        <w:rPr>
          <w:rFonts w:hint="eastAsia" w:ascii="宋体" w:hAnsi="宋体" w:eastAsia="宋体" w:cs="宋体"/>
          <w:color w:val="auto"/>
          <w:spacing w:val="-2"/>
          <w:szCs w:val="28"/>
        </w:rPr>
        <w:t>利用要求。设计</w:t>
      </w:r>
      <w:r>
        <w:rPr>
          <w:rFonts w:hint="eastAsia" w:ascii="宋体" w:hAnsi="宋体" w:eastAsia="宋体" w:cs="宋体"/>
          <w:color w:val="auto"/>
          <w:spacing w:val="1"/>
          <w:szCs w:val="28"/>
        </w:rPr>
        <w:t>采矿回采率、选矿回收率、综合利用率指标为：</w:t>
      </w:r>
    </w:p>
    <w:p>
      <w:pPr>
        <w:ind w:firstLine="544"/>
        <w:rPr>
          <w:rFonts w:ascii="宋体" w:hAnsi="宋体" w:eastAsia="宋体" w:cs="宋体"/>
          <w:color w:val="auto"/>
          <w:spacing w:val="-4"/>
          <w:szCs w:val="28"/>
        </w:rPr>
      </w:pPr>
      <w:r>
        <w:rPr>
          <w:rFonts w:hint="eastAsia" w:ascii="宋体" w:hAnsi="宋体" w:eastAsia="宋体" w:cs="宋体"/>
          <w:color w:val="auto"/>
          <w:spacing w:val="-4"/>
          <w:szCs w:val="28"/>
        </w:rPr>
        <w:t>采矿回采率：</w:t>
      </w:r>
      <w:r>
        <w:rPr>
          <w:rFonts w:hint="eastAsia" w:ascii="宋体" w:hAnsi="宋体" w:eastAsia="宋体" w:cs="宋体"/>
          <w:color w:val="auto"/>
          <w:spacing w:val="-4"/>
          <w:szCs w:val="28"/>
          <w:lang w:val="zh-CN"/>
        </w:rPr>
        <w:t>根据《非金属矿行业绿色矿山建设规范》（DZ/T0312-2018）以及</w:t>
      </w:r>
      <w:r>
        <w:rPr>
          <w:rFonts w:hint="eastAsia" w:ascii="宋体" w:hAnsi="宋体" w:eastAsia="宋体" w:cs="宋体"/>
          <w:color w:val="auto"/>
          <w:spacing w:val="-4"/>
          <w:szCs w:val="28"/>
        </w:rPr>
        <w:t>《砂石行业绿色矿山建设规范》（DZ/T0316-2018）</w:t>
      </w:r>
      <w:r>
        <w:rPr>
          <w:rFonts w:hint="eastAsia" w:ascii="宋体" w:hAnsi="宋体" w:eastAsia="宋体" w:cs="宋体"/>
          <w:color w:val="auto"/>
          <w:spacing w:val="-4"/>
          <w:szCs w:val="28"/>
          <w:lang w:val="zh-CN"/>
        </w:rPr>
        <w:t>，建筑石料露天开采回采率不小于95%。该矿设计采用露天开采方式，采矿回采率</w:t>
      </w:r>
      <w:r>
        <w:rPr>
          <w:rFonts w:hint="eastAsia" w:ascii="宋体" w:hAnsi="宋体" w:eastAsia="宋体" w:cs="宋体"/>
          <w:color w:val="auto"/>
          <w:spacing w:val="-4"/>
          <w:szCs w:val="28"/>
        </w:rPr>
        <w:t>98</w:t>
      </w:r>
      <w:r>
        <w:rPr>
          <w:rFonts w:hint="eastAsia" w:ascii="宋体" w:hAnsi="宋体" w:eastAsia="宋体" w:cs="宋体"/>
          <w:color w:val="auto"/>
          <w:spacing w:val="-4"/>
          <w:szCs w:val="28"/>
          <w:lang w:val="zh-CN"/>
        </w:rPr>
        <w:t>%，满足指标要求</w:t>
      </w:r>
      <w:r>
        <w:rPr>
          <w:rFonts w:hint="eastAsia" w:ascii="宋体" w:hAnsi="宋体" w:eastAsia="宋体" w:cs="宋体"/>
          <w:color w:val="auto"/>
          <w:spacing w:val="-4"/>
          <w:szCs w:val="28"/>
        </w:rPr>
        <w:t>。</w:t>
      </w:r>
    </w:p>
    <w:p>
      <w:pPr>
        <w:ind w:firstLine="564"/>
        <w:rPr>
          <w:rFonts w:ascii="宋体" w:hAnsi="宋体" w:eastAsia="宋体" w:cs="宋体"/>
          <w:color w:val="auto"/>
          <w:spacing w:val="1"/>
          <w:szCs w:val="28"/>
        </w:rPr>
      </w:pPr>
      <w:r>
        <w:rPr>
          <w:rFonts w:hint="eastAsia" w:ascii="宋体" w:hAnsi="宋体" w:eastAsia="宋体" w:cs="宋体"/>
          <w:color w:val="auto"/>
          <w:spacing w:val="1"/>
          <w:szCs w:val="28"/>
        </w:rPr>
        <w:t>选矿回收率：无选矿设计。</w:t>
      </w:r>
    </w:p>
    <w:p>
      <w:pPr>
        <w:ind w:firstLine="564"/>
        <w:rPr>
          <w:rFonts w:ascii="宋体" w:hAnsi="宋体" w:eastAsia="宋体" w:cs="宋体"/>
          <w:color w:val="auto"/>
          <w:spacing w:val="1"/>
          <w:szCs w:val="28"/>
        </w:rPr>
      </w:pPr>
      <w:bookmarkStart w:id="5" w:name="_Hlk91925669"/>
      <w:r>
        <w:rPr>
          <w:rFonts w:hint="eastAsia" w:ascii="宋体" w:hAnsi="宋体" w:eastAsia="宋体" w:cs="宋体"/>
          <w:color w:val="auto"/>
          <w:spacing w:val="1"/>
          <w:szCs w:val="28"/>
        </w:rPr>
        <w:t>综合利用率：</w:t>
      </w:r>
      <w:bookmarkEnd w:id="5"/>
      <w:r>
        <w:rPr>
          <w:rFonts w:hint="eastAsia" w:ascii="宋体" w:hAnsi="宋体" w:eastAsia="宋体" w:cs="宋体"/>
          <w:color w:val="auto"/>
          <w:spacing w:val="1"/>
          <w:szCs w:val="28"/>
        </w:rPr>
        <w:t>本矿无共伴生矿，采出后进行筛分选矿，矿石利用率</w:t>
      </w:r>
      <w:r>
        <w:rPr>
          <w:rFonts w:hint="eastAsia" w:ascii="宋体" w:hAnsi="宋体" w:eastAsia="宋体" w:cs="宋体"/>
          <w:color w:val="auto"/>
          <w:spacing w:val="1"/>
          <w:szCs w:val="28"/>
          <w:lang w:val="en-US" w:eastAsia="zh-CN"/>
        </w:rPr>
        <w:t>98</w:t>
      </w:r>
      <w:r>
        <w:rPr>
          <w:rFonts w:ascii="宋体" w:hAnsi="宋体" w:eastAsia="宋体" w:cs="宋体"/>
          <w:color w:val="auto"/>
          <w:spacing w:val="1"/>
          <w:szCs w:val="28"/>
        </w:rPr>
        <w:t>%</w:t>
      </w:r>
      <w:r>
        <w:rPr>
          <w:rFonts w:hint="eastAsia" w:ascii="宋体" w:hAnsi="宋体" w:eastAsia="宋体" w:cs="宋体"/>
          <w:color w:val="auto"/>
          <w:spacing w:val="1"/>
          <w:szCs w:val="28"/>
        </w:rPr>
        <w:t>，满足指标要求。</w:t>
      </w:r>
    </w:p>
    <w:p>
      <w:pPr>
        <w:ind w:firstLine="546"/>
        <w:outlineLvl w:val="0"/>
        <w:rPr>
          <w:rFonts w:ascii="宋体" w:hAnsi="宋体" w:eastAsia="宋体" w:cs="宋体"/>
          <w:b/>
          <w:bCs/>
          <w:color w:val="auto"/>
          <w:spacing w:val="-2"/>
          <w:szCs w:val="28"/>
        </w:rPr>
      </w:pPr>
      <w:r>
        <w:rPr>
          <w:rFonts w:hint="eastAsia" w:ascii="宋体" w:hAnsi="宋体" w:eastAsia="宋体" w:cs="宋体"/>
          <w:b/>
          <w:bCs/>
          <w:color w:val="auto"/>
          <w:spacing w:val="-4"/>
          <w:szCs w:val="28"/>
        </w:rPr>
        <w:t>七、矿区地质环境</w:t>
      </w:r>
      <w:bookmarkStart w:id="6" w:name="_Hlk91925963"/>
      <w:r>
        <w:rPr>
          <w:rFonts w:hint="eastAsia" w:ascii="宋体" w:hAnsi="宋体" w:eastAsia="宋体" w:cs="宋体"/>
          <w:b/>
          <w:bCs/>
          <w:color w:val="auto"/>
          <w:spacing w:val="-4"/>
          <w:szCs w:val="28"/>
        </w:rPr>
        <w:t>治</w:t>
      </w:r>
      <w:r>
        <w:rPr>
          <w:rFonts w:hint="eastAsia" w:ascii="宋体" w:hAnsi="宋体" w:eastAsia="宋体" w:cs="宋体"/>
          <w:b/>
          <w:bCs/>
          <w:color w:val="auto"/>
          <w:spacing w:val="-11"/>
          <w:szCs w:val="28"/>
        </w:rPr>
        <w:t>理恢复</w:t>
      </w:r>
      <w:bookmarkEnd w:id="6"/>
    </w:p>
    <w:p>
      <w:pPr>
        <w:ind w:firstLine="560"/>
        <w:rPr>
          <w:rFonts w:ascii="宋体" w:hAnsi="宋体" w:eastAsia="宋体" w:cs="宋体"/>
          <w:color w:val="auto"/>
          <w:szCs w:val="28"/>
        </w:rPr>
      </w:pPr>
      <w:r>
        <w:rPr>
          <w:rFonts w:hint="eastAsia" w:ascii="宋体" w:hAnsi="宋体" w:eastAsia="宋体" w:cs="宋体"/>
          <w:color w:val="auto"/>
          <w:szCs w:val="28"/>
        </w:rPr>
        <w:t>（一）本次工作查明了矿山环境现状，分析了矿山环境发展趋势，其论述内容基本全面，结论基本正确。</w:t>
      </w:r>
    </w:p>
    <w:p>
      <w:pPr>
        <w:ind w:firstLine="560"/>
        <w:rPr>
          <w:rFonts w:ascii="宋体" w:hAnsi="宋体" w:eastAsia="宋体" w:cs="宋体"/>
          <w:color w:val="auto"/>
          <w:szCs w:val="28"/>
        </w:rPr>
      </w:pPr>
      <w:r>
        <w:rPr>
          <w:rFonts w:hint="eastAsia" w:ascii="宋体" w:hAnsi="宋体" w:eastAsia="宋体" w:cs="宋体"/>
          <w:color w:val="auto"/>
          <w:szCs w:val="28"/>
        </w:rPr>
        <w:t>（二）确定评估级别为一级，评估区面积</w:t>
      </w:r>
      <w:r>
        <w:rPr>
          <w:rFonts w:hint="eastAsia" w:ascii="宋体" w:hAnsi="宋体" w:eastAsia="宋体" w:cs="宋体"/>
          <w:color w:val="auto"/>
          <w:szCs w:val="28"/>
          <w:lang w:eastAsia="zh-CN"/>
        </w:rPr>
        <w:t>49.9586</w:t>
      </w:r>
      <w:r>
        <w:rPr>
          <w:rFonts w:hint="eastAsia" w:ascii="宋体" w:hAnsi="宋体" w:eastAsia="宋体" w:cs="宋体"/>
          <w:color w:val="auto"/>
          <w:szCs w:val="28"/>
        </w:rPr>
        <w:t>hm</w:t>
      </w:r>
      <w:r>
        <w:rPr>
          <w:rFonts w:hint="eastAsia" w:ascii="宋体" w:hAnsi="宋体" w:eastAsia="宋体" w:cs="宋体"/>
          <w:color w:val="auto"/>
          <w:szCs w:val="28"/>
          <w:vertAlign w:val="superscript"/>
        </w:rPr>
        <w:t>2</w:t>
      </w:r>
      <w:r>
        <w:rPr>
          <w:rFonts w:hint="eastAsia" w:ascii="宋体" w:hAnsi="宋体" w:eastAsia="宋体" w:cs="宋体"/>
          <w:color w:val="auto"/>
          <w:szCs w:val="28"/>
        </w:rPr>
        <w:t>，评估等级划分正确，评估范围确定合理。</w:t>
      </w:r>
    </w:p>
    <w:p>
      <w:pPr>
        <w:kinsoku/>
        <w:topLinePunct/>
        <w:ind w:firstLine="560"/>
        <w:rPr>
          <w:rFonts w:ascii="宋体" w:hAnsi="宋体" w:eastAsia="宋体" w:cs="宋体"/>
          <w:color w:val="auto"/>
          <w:szCs w:val="28"/>
        </w:rPr>
      </w:pPr>
      <w:r>
        <w:rPr>
          <w:rFonts w:hint="eastAsia" w:ascii="宋体" w:hAnsi="宋体" w:eastAsia="宋体" w:cs="宋体"/>
          <w:color w:val="auto"/>
          <w:szCs w:val="28"/>
        </w:rPr>
        <w:t>（三）对矿山地质环境影响进行了现状分析评估，根据评估区内地质灾害、含水层破坏、地形地貌景观影响、水土环境污染、大气污染等五方面的现状评估结果，考虑各方面影响情况和影响面积的叠加，矿山地质环境影响现状评估划分为较轻区1个区，为整个评估区区域，面积</w:t>
      </w:r>
      <w:r>
        <w:rPr>
          <w:rFonts w:hint="eastAsia" w:ascii="宋体" w:hAnsi="宋体" w:eastAsia="宋体" w:cs="宋体"/>
          <w:color w:val="auto"/>
          <w:szCs w:val="28"/>
          <w:lang w:eastAsia="zh-CN"/>
        </w:rPr>
        <w:t>49.9586</w:t>
      </w:r>
      <w:r>
        <w:rPr>
          <w:rFonts w:hint="eastAsia" w:ascii="宋体" w:hAnsi="宋体" w:eastAsia="宋体" w:cs="宋体"/>
          <w:color w:val="auto"/>
          <w:szCs w:val="28"/>
        </w:rPr>
        <w:t>hm</w:t>
      </w:r>
      <w:r>
        <w:rPr>
          <w:rFonts w:hint="eastAsia" w:ascii="宋体" w:hAnsi="宋体" w:eastAsia="宋体" w:cs="宋体"/>
          <w:color w:val="auto"/>
          <w:szCs w:val="28"/>
          <w:vertAlign w:val="superscript"/>
        </w:rPr>
        <w:t>2</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hint="eastAsia" w:ascii="宋体" w:hAnsi="宋体" w:eastAsia="宋体" w:cs="宋体"/>
          <w:color w:val="auto"/>
          <w:szCs w:val="28"/>
        </w:rPr>
        <w:t>（四）对采矿活动对矿山地质环境的影响进行了预测评估，根据评估区内地质灾害、含水层破坏、地形地貌景观影响、水土环境污染、大气污染等五方面的预测评估结果，考虑各方面影响情况和影响面积的叠加，将评估区内矿山地质环境影响预测评估区划分为严重区、较严重区和较轻区3个区，评估区总面积</w:t>
      </w:r>
      <w:r>
        <w:rPr>
          <w:rFonts w:hint="eastAsia" w:ascii="宋体" w:hAnsi="宋体" w:eastAsia="宋体" w:cs="宋体"/>
          <w:color w:val="auto"/>
          <w:szCs w:val="28"/>
          <w:lang w:eastAsia="zh-CN"/>
        </w:rPr>
        <w:t>49.9586</w:t>
      </w:r>
      <w:r>
        <w:rPr>
          <w:rFonts w:hint="eastAsia" w:ascii="宋体" w:hAnsi="宋体" w:eastAsia="宋体" w:cs="宋体"/>
          <w:color w:val="auto"/>
          <w:szCs w:val="28"/>
        </w:rPr>
        <w:t>hm</w:t>
      </w:r>
      <w:r>
        <w:rPr>
          <w:rFonts w:hint="eastAsia" w:ascii="宋体" w:hAnsi="宋体" w:eastAsia="宋体" w:cs="宋体"/>
          <w:color w:val="auto"/>
          <w:szCs w:val="28"/>
          <w:vertAlign w:val="superscript"/>
        </w:rPr>
        <w:t>2</w:t>
      </w:r>
      <w:r>
        <w:rPr>
          <w:rFonts w:hint="eastAsia" w:ascii="宋体" w:hAnsi="宋体" w:eastAsia="宋体" w:cs="宋体"/>
          <w:color w:val="auto"/>
          <w:szCs w:val="28"/>
        </w:rPr>
        <w:t>，其中：严重区：面积41.6386公顷，包括露天采矿场。较严重区：面积4.0492公顷，包括采场内道路、矿部生活区、废料堆放场。较轻区：为以上区域以外的区域，较轻区面积8.32公顷。预测区内地质灾害不发育，危害程度较轻；矿山开采对含水层、地形地貌景观、水土环境污染及大气环境污染程度较轻。</w:t>
      </w:r>
    </w:p>
    <w:p>
      <w:pPr>
        <w:ind w:firstLine="560"/>
        <w:rPr>
          <w:rFonts w:ascii="宋体" w:hAnsi="宋体" w:eastAsia="宋体" w:cs="宋体"/>
          <w:color w:val="auto"/>
          <w:szCs w:val="28"/>
        </w:rPr>
      </w:pPr>
      <w:r>
        <w:rPr>
          <w:rFonts w:hint="eastAsia" w:ascii="宋体" w:hAnsi="宋体" w:eastAsia="宋体" w:cs="宋体"/>
          <w:color w:val="auto"/>
          <w:szCs w:val="28"/>
        </w:rPr>
        <w:t>（五）确定了矿山环境保护与治理恢复的原则、目标和任务，对矿区进行了矿山环境保护与治理恢复分区，并提出了具体的保护、治理以及监测方案，并进行了经费概算。</w:t>
      </w:r>
    </w:p>
    <w:p>
      <w:pPr>
        <w:ind w:firstLine="560"/>
        <w:rPr>
          <w:rFonts w:ascii="宋体" w:hAnsi="宋体" w:eastAsia="宋体" w:cs="宋体"/>
          <w:color w:val="auto"/>
          <w:szCs w:val="28"/>
        </w:rPr>
      </w:pPr>
      <w:r>
        <w:rPr>
          <w:rFonts w:hint="eastAsia" w:ascii="宋体" w:hAnsi="宋体" w:eastAsia="宋体" w:cs="宋体"/>
          <w:color w:val="auto"/>
          <w:szCs w:val="28"/>
        </w:rPr>
        <w:t>1、矿山环境保护与综合治理分区</w:t>
      </w:r>
    </w:p>
    <w:p>
      <w:pPr>
        <w:pStyle w:val="9"/>
        <w:spacing w:line="560" w:lineRule="exact"/>
        <w:ind w:firstLine="560" w:firstLineChars="200"/>
        <w:jc w:val="both"/>
        <w:rPr>
          <w:rFonts w:hAnsi="宋体"/>
          <w:color w:val="auto"/>
          <w:sz w:val="28"/>
          <w:szCs w:val="28"/>
        </w:rPr>
      </w:pPr>
      <w:r>
        <w:rPr>
          <w:rFonts w:hint="eastAsia" w:hAnsi="宋体"/>
          <w:color w:val="auto"/>
          <w:sz w:val="28"/>
          <w:szCs w:val="28"/>
        </w:rPr>
        <w:t>矿山地质环境保护与恢复治理分区划分为矿山地质环境重点防治区（Ⅰ）、次重点防治区（Ⅱ）和矿山地质环境一般防治区（Ⅲ），分区总面积</w:t>
      </w:r>
      <w:r>
        <w:rPr>
          <w:rFonts w:hint="eastAsia" w:hAnsi="宋体"/>
          <w:color w:val="auto"/>
          <w:sz w:val="28"/>
          <w:szCs w:val="28"/>
          <w:lang w:eastAsia="zh-CN"/>
        </w:rPr>
        <w:t>49.9586</w:t>
      </w:r>
      <w:r>
        <w:rPr>
          <w:rFonts w:hint="eastAsia" w:hAnsi="宋体"/>
          <w:color w:val="auto"/>
          <w:sz w:val="28"/>
          <w:szCs w:val="28"/>
        </w:rPr>
        <w:t>hm</w:t>
      </w:r>
      <w:r>
        <w:rPr>
          <w:rFonts w:hint="eastAsia" w:hAnsi="宋体"/>
          <w:color w:val="auto"/>
          <w:sz w:val="28"/>
          <w:szCs w:val="28"/>
          <w:vertAlign w:val="superscript"/>
        </w:rPr>
        <w:t>2</w:t>
      </w:r>
      <w:r>
        <w:rPr>
          <w:rFonts w:hint="eastAsia" w:hAnsi="宋体"/>
          <w:color w:val="auto"/>
          <w:sz w:val="28"/>
          <w:szCs w:val="28"/>
        </w:rPr>
        <w:t>，其中：重点防治区（Ⅰ）面积</w:t>
      </w:r>
      <w:r>
        <w:rPr>
          <w:rFonts w:hint="eastAsia" w:hAnsi="宋体"/>
          <w:color w:val="auto"/>
          <w:sz w:val="28"/>
          <w:szCs w:val="28"/>
          <w:lang w:eastAsia="zh-CN"/>
        </w:rPr>
        <w:t>41.6386</w:t>
      </w:r>
      <w:r>
        <w:rPr>
          <w:rFonts w:hint="eastAsia" w:hAnsi="宋体"/>
          <w:color w:val="auto"/>
          <w:sz w:val="28"/>
          <w:szCs w:val="28"/>
        </w:rPr>
        <w:t>hm</w:t>
      </w:r>
      <w:r>
        <w:rPr>
          <w:rFonts w:hint="eastAsia" w:hAnsi="宋体"/>
          <w:color w:val="auto"/>
          <w:sz w:val="28"/>
          <w:szCs w:val="28"/>
          <w:vertAlign w:val="superscript"/>
        </w:rPr>
        <w:t>2</w:t>
      </w:r>
      <w:r>
        <w:rPr>
          <w:rFonts w:hint="eastAsia" w:hAnsi="宋体"/>
          <w:color w:val="auto"/>
          <w:sz w:val="28"/>
          <w:szCs w:val="28"/>
        </w:rPr>
        <w:t>，包括拟建露天采场区域；次重点防治区（Ⅱ）面积</w:t>
      </w:r>
      <w:r>
        <w:rPr>
          <w:rFonts w:hint="eastAsia" w:hAnsi="宋体"/>
          <w:color w:val="auto"/>
          <w:sz w:val="28"/>
          <w:szCs w:val="28"/>
          <w:lang w:eastAsia="zh-CN"/>
        </w:rPr>
        <w:t>4.0492</w:t>
      </w:r>
      <w:r>
        <w:rPr>
          <w:rFonts w:hint="eastAsia" w:hAnsi="宋体"/>
          <w:color w:val="auto"/>
          <w:sz w:val="28"/>
          <w:szCs w:val="28"/>
        </w:rPr>
        <w:t>hm</w:t>
      </w:r>
      <w:r>
        <w:rPr>
          <w:rFonts w:hint="eastAsia" w:hAnsi="宋体"/>
          <w:color w:val="auto"/>
          <w:sz w:val="28"/>
          <w:szCs w:val="28"/>
          <w:vertAlign w:val="superscript"/>
        </w:rPr>
        <w:t>2</w:t>
      </w:r>
      <w:r>
        <w:rPr>
          <w:rFonts w:hint="eastAsia" w:hAnsi="宋体"/>
          <w:color w:val="auto"/>
          <w:sz w:val="28"/>
          <w:szCs w:val="28"/>
        </w:rPr>
        <w:t>，包括拟建矿山道路</w:t>
      </w:r>
      <w:r>
        <w:rPr>
          <w:rFonts w:hint="eastAsia" w:hAnsi="宋体"/>
          <w:color w:val="auto"/>
          <w:sz w:val="28"/>
          <w:szCs w:val="28"/>
          <w:lang w:eastAsia="zh-CN"/>
        </w:rPr>
        <w:t>、</w:t>
      </w:r>
      <w:r>
        <w:rPr>
          <w:rFonts w:hint="eastAsia" w:hAnsi="宋体"/>
          <w:color w:val="auto"/>
          <w:sz w:val="28"/>
          <w:szCs w:val="28"/>
          <w:lang w:val="en-US" w:eastAsia="zh-CN"/>
        </w:rPr>
        <w:t>废料堆放场</w:t>
      </w:r>
      <w:r>
        <w:rPr>
          <w:rFonts w:hint="eastAsia" w:hAnsi="宋体"/>
          <w:color w:val="auto"/>
          <w:sz w:val="28"/>
          <w:szCs w:val="28"/>
          <w:lang w:eastAsia="zh-CN"/>
        </w:rPr>
        <w:t>、</w:t>
      </w:r>
      <w:r>
        <w:rPr>
          <w:rFonts w:hint="eastAsia" w:hAnsi="宋体"/>
          <w:color w:val="auto"/>
          <w:sz w:val="28"/>
          <w:szCs w:val="28"/>
          <w:lang w:val="en-US" w:eastAsia="zh-CN"/>
        </w:rPr>
        <w:t>办公生活</w:t>
      </w:r>
      <w:r>
        <w:rPr>
          <w:rFonts w:hint="eastAsia" w:hAnsi="宋体"/>
          <w:color w:val="auto"/>
          <w:sz w:val="28"/>
          <w:szCs w:val="28"/>
        </w:rPr>
        <w:t>区域；一般防治区（Ⅲ）面积</w:t>
      </w:r>
      <w:r>
        <w:rPr>
          <w:rFonts w:hint="eastAsia" w:hAnsi="宋体"/>
          <w:color w:val="auto"/>
          <w:sz w:val="28"/>
          <w:szCs w:val="28"/>
          <w:lang w:eastAsia="zh-CN"/>
        </w:rPr>
        <w:t>8.32</w:t>
      </w:r>
      <w:r>
        <w:rPr>
          <w:rFonts w:hint="eastAsia" w:hAnsi="宋体"/>
          <w:color w:val="auto"/>
          <w:sz w:val="28"/>
          <w:szCs w:val="28"/>
        </w:rPr>
        <w:t>hm</w:t>
      </w:r>
      <w:r>
        <w:rPr>
          <w:rFonts w:hint="eastAsia" w:hAnsi="宋体"/>
          <w:color w:val="auto"/>
          <w:sz w:val="28"/>
          <w:szCs w:val="28"/>
          <w:vertAlign w:val="superscript"/>
        </w:rPr>
        <w:t>2</w:t>
      </w:r>
      <w:r>
        <w:rPr>
          <w:rFonts w:hint="eastAsia" w:hAnsi="宋体"/>
          <w:color w:val="auto"/>
          <w:sz w:val="28"/>
          <w:szCs w:val="28"/>
        </w:rPr>
        <w:t>，包括评估区除上述以外其他区域。</w:t>
      </w:r>
    </w:p>
    <w:p>
      <w:pPr>
        <w:ind w:firstLine="560"/>
        <w:rPr>
          <w:rFonts w:ascii="宋体" w:hAnsi="宋体" w:eastAsia="宋体" w:cs="宋体"/>
          <w:color w:val="auto"/>
          <w:szCs w:val="28"/>
        </w:rPr>
      </w:pPr>
      <w:r>
        <w:rPr>
          <w:rFonts w:hint="eastAsia" w:ascii="宋体" w:hAnsi="宋体" w:eastAsia="宋体" w:cs="宋体"/>
          <w:color w:val="auto"/>
          <w:szCs w:val="28"/>
        </w:rPr>
        <w:t>2、地质环境治理工程</w:t>
      </w:r>
    </w:p>
    <w:p>
      <w:pPr>
        <w:ind w:firstLine="560"/>
        <w:rPr>
          <w:rFonts w:ascii="宋体" w:hAnsi="宋体" w:eastAsia="宋体" w:cs="宋体"/>
          <w:color w:val="auto"/>
          <w:szCs w:val="28"/>
        </w:rPr>
      </w:pPr>
      <w:r>
        <w:rPr>
          <w:rFonts w:hint="eastAsia" w:ascii="宋体" w:hAnsi="宋体" w:eastAsia="宋体" w:cs="宋体"/>
          <w:color w:val="auto"/>
          <w:szCs w:val="28"/>
        </w:rPr>
        <w:t>（1）矿山地质灾害防治及监测：基建期在规划露天采场外围设置铁丝围栏</w:t>
      </w:r>
      <w:r>
        <w:rPr>
          <w:rFonts w:hint="eastAsia" w:ascii="宋体" w:hAnsi="宋体" w:eastAsia="宋体" w:cs="宋体"/>
          <w:color w:val="auto"/>
          <w:szCs w:val="28"/>
          <w:lang w:val="en-US" w:eastAsia="zh-CN"/>
        </w:rPr>
        <w:t>2673</w:t>
      </w:r>
      <w:r>
        <w:rPr>
          <w:rFonts w:hint="eastAsia" w:ascii="宋体" w:hAnsi="宋体" w:eastAsia="宋体" w:cs="宋体"/>
          <w:color w:val="auto"/>
          <w:szCs w:val="28"/>
        </w:rPr>
        <w:t>m、警示牌</w:t>
      </w:r>
      <w:r>
        <w:rPr>
          <w:rFonts w:hint="eastAsia" w:ascii="宋体" w:hAnsi="宋体" w:eastAsia="宋体" w:cs="宋体"/>
          <w:color w:val="auto"/>
          <w:szCs w:val="28"/>
          <w:lang w:val="en-US" w:eastAsia="zh-CN"/>
        </w:rPr>
        <w:t>27</w:t>
      </w:r>
      <w:r>
        <w:rPr>
          <w:rFonts w:hint="eastAsia" w:ascii="宋体" w:hAnsi="宋体" w:eastAsia="宋体" w:cs="宋体"/>
          <w:color w:val="auto"/>
          <w:szCs w:val="28"/>
        </w:rPr>
        <w:t>块；开采期间如开采面边坡出现危岩体或不稳定斜坡，及时采用机械定点清除，因工程量具不可预见性，清理工程量计入开采成本。对露天采场边坡稳定性和围栏、警示牌加强监测与巡视，发现损毁及时修复，以提升预防功效，保留铁丝网围栏、警示牌，根据实际情况采取相应的措施。</w:t>
      </w:r>
    </w:p>
    <w:p>
      <w:pPr>
        <w:ind w:firstLine="560"/>
        <w:rPr>
          <w:rFonts w:ascii="宋体" w:hAnsi="宋体" w:eastAsia="宋体" w:cs="宋体"/>
          <w:color w:val="auto"/>
          <w:szCs w:val="28"/>
        </w:rPr>
      </w:pPr>
      <w:r>
        <w:rPr>
          <w:rFonts w:hint="eastAsia" w:ascii="宋体" w:hAnsi="宋体" w:eastAsia="宋体" w:cs="宋体"/>
          <w:color w:val="auto"/>
          <w:szCs w:val="28"/>
        </w:rPr>
        <w:t>（2）含水层破坏的预防、修复及监测：矿山无生产废水排放，生活污水经处理后用于降尘，不外排；矿山开采活动基本不影响附近水源水质；采矿活动对含水层影响程度较轻，因此矿山不对含水层进行监测。</w:t>
      </w:r>
    </w:p>
    <w:p>
      <w:pPr>
        <w:ind w:firstLine="560"/>
        <w:rPr>
          <w:rFonts w:ascii="宋体" w:hAnsi="宋体" w:eastAsia="宋体" w:cs="宋体"/>
          <w:color w:val="auto"/>
          <w:szCs w:val="28"/>
        </w:rPr>
      </w:pPr>
      <w:r>
        <w:rPr>
          <w:rFonts w:hint="eastAsia" w:ascii="宋体" w:hAnsi="宋体" w:eastAsia="宋体" w:cs="宋体"/>
          <w:color w:val="auto"/>
          <w:szCs w:val="28"/>
        </w:rPr>
        <w:t>（3）地形地貌景观破坏的预防、修复及监测：优化工程施工方案，避免和减少破坏地形地貌景观；严格控制露天采场范围，新掘出矿石及时消化，选用合适的综合利用技术，加大综合利用量，减少对地形地貌景观的破坏；采矿期间保护矿部生活区内的卫生环境，增加绿化，美化环境，减少对地形地貌景观的破坏；平整后基本恢复与周边地形地貌相协调；规划露天采场在矿山闭坑后边坡控制在30°以下，平整后基本与周边地形地貌相协调，基本恢复当地景观环境；矿山闭坑后对矿部生活区对建构（筑）物进行拆除，废弃物拉运至新星市建筑垃圾填埋场填埋，对表部进行平整，恢复当地景观环境；对矿山路进行平整基本恢复当地景观环境。今后每月委派1人检查1次矿区内外采矿活动对土地资源破坏防治情况，是否按要求进行开采，是否有新的对土地资源破坏情况，方案适用期共监测</w:t>
      </w:r>
      <w:r>
        <w:rPr>
          <w:rFonts w:ascii="宋体" w:hAnsi="宋体" w:eastAsia="宋体" w:cs="宋体"/>
          <w:color w:val="auto"/>
          <w:szCs w:val="28"/>
        </w:rPr>
        <w:t>30</w:t>
      </w:r>
      <w:r>
        <w:rPr>
          <w:rFonts w:hint="eastAsia" w:ascii="宋体" w:hAnsi="宋体" w:eastAsia="宋体" w:cs="宋体"/>
          <w:color w:val="auto"/>
          <w:szCs w:val="28"/>
        </w:rPr>
        <w:t>次，监测期为基建期至复垦期。</w:t>
      </w:r>
    </w:p>
    <w:p>
      <w:pPr>
        <w:ind w:firstLine="560"/>
        <w:rPr>
          <w:rFonts w:ascii="宋体" w:hAnsi="宋体" w:eastAsia="宋体" w:cs="宋体"/>
          <w:color w:val="auto"/>
          <w:szCs w:val="28"/>
        </w:rPr>
      </w:pPr>
      <w:bookmarkStart w:id="7" w:name="_Toc76982487"/>
      <w:bookmarkStart w:id="8" w:name="_Toc76981923"/>
      <w:bookmarkStart w:id="9" w:name="_Toc76982307"/>
      <w:bookmarkStart w:id="10" w:name="_Toc4933"/>
      <w:r>
        <w:rPr>
          <w:rFonts w:hint="eastAsia" w:ascii="宋体" w:hAnsi="宋体" w:eastAsia="宋体" w:cs="宋体"/>
          <w:color w:val="auto"/>
          <w:szCs w:val="28"/>
        </w:rPr>
        <w:t>（4）水土环境污染</w:t>
      </w:r>
      <w:bookmarkEnd w:id="7"/>
      <w:bookmarkEnd w:id="8"/>
      <w:bookmarkEnd w:id="9"/>
      <w:bookmarkEnd w:id="10"/>
      <w:r>
        <w:rPr>
          <w:rFonts w:hint="eastAsia" w:ascii="宋体" w:hAnsi="宋体" w:eastAsia="宋体" w:cs="宋体"/>
          <w:color w:val="auto"/>
          <w:szCs w:val="28"/>
        </w:rPr>
        <w:t>的预防、修复及监测：在矿山开采过程中，做到固体物质不乱堆放，合理有序堆放在相应场地；在生活区配套污水处理池及垃圾箱，生活污水经处理达标后用于道路降尘；生活垃圾集中收集，定期拉运至新星市垃圾填埋场填埋，避免对土地造成污染损毁。矿山开采对矿区水土环境污染影响程度轻，矿山未来仅采取监测和预防工程措施，不设计水土环境污染修复工程措施。</w:t>
      </w:r>
    </w:p>
    <w:p>
      <w:pPr>
        <w:ind w:firstLine="560"/>
        <w:rPr>
          <w:rFonts w:ascii="宋体" w:hAnsi="宋体"/>
          <w:color w:val="auto"/>
        </w:rPr>
      </w:pPr>
      <w:r>
        <w:rPr>
          <w:rFonts w:hint="eastAsia" w:ascii="宋体" w:hAnsi="宋体" w:eastAsia="宋体" w:cs="宋体"/>
          <w:color w:val="auto"/>
        </w:rPr>
        <w:t>对</w:t>
      </w:r>
      <w:r>
        <w:rPr>
          <w:rFonts w:hint="eastAsia" w:ascii="宋体" w:hAnsi="宋体"/>
          <w:color w:val="auto"/>
        </w:rPr>
        <w:t>生活污水及生产废水处理系统排放的处理后水质进行监测，每年做 1 次水质检测，检查其水质是否达到污水排放标准，若不达标，及时对设备进行检修，并进行相关运行记录。发现问题上报至矿长，并责令相关部门整改。</w:t>
      </w:r>
    </w:p>
    <w:p>
      <w:pPr>
        <w:ind w:firstLine="560"/>
        <w:rPr>
          <w:rFonts w:ascii="宋体" w:hAnsi="宋体" w:eastAsia="宋体" w:cs="宋体"/>
          <w:color w:val="auto"/>
        </w:rPr>
      </w:pPr>
      <w:r>
        <w:rPr>
          <w:rFonts w:hint="eastAsia" w:ascii="宋体" w:hAnsi="宋体" w:eastAsia="宋体" w:cs="宋体"/>
          <w:color w:val="auto"/>
        </w:rPr>
        <w:t>监测内容为：</w:t>
      </w:r>
      <w:r>
        <w:rPr>
          <w:rFonts w:hint="eastAsia" w:ascii="宋体" w:hAnsi="宋体"/>
          <w:color w:val="auto"/>
        </w:rPr>
        <w:t xml:space="preserve">pH </w:t>
      </w:r>
      <w:r>
        <w:rPr>
          <w:rFonts w:hint="eastAsia" w:ascii="宋体" w:hAnsi="宋体" w:eastAsia="宋体" w:cs="宋体"/>
          <w:color w:val="auto"/>
        </w:rPr>
        <w:t>值、</w:t>
      </w:r>
      <w:r>
        <w:rPr>
          <w:rFonts w:hint="eastAsia" w:ascii="宋体" w:hAnsi="宋体"/>
          <w:color w:val="auto"/>
        </w:rPr>
        <w:t>COD</w:t>
      </w:r>
      <w:r>
        <w:rPr>
          <w:rFonts w:hint="eastAsia" w:ascii="宋体" w:hAnsi="宋体" w:eastAsia="宋体" w:cs="宋体"/>
          <w:color w:val="auto"/>
        </w:rPr>
        <w:t>、</w:t>
      </w:r>
      <w:r>
        <w:rPr>
          <w:rFonts w:hint="eastAsia" w:ascii="宋体" w:hAnsi="宋体"/>
          <w:color w:val="auto"/>
        </w:rPr>
        <w:t>NH3-N</w:t>
      </w:r>
      <w:r>
        <w:rPr>
          <w:rFonts w:hint="eastAsia" w:ascii="宋体" w:hAnsi="宋体" w:eastAsia="宋体" w:cs="宋体"/>
          <w:color w:val="auto"/>
        </w:rPr>
        <w:t>、</w:t>
      </w:r>
      <w:r>
        <w:rPr>
          <w:rFonts w:hint="eastAsia" w:ascii="宋体" w:hAnsi="宋体"/>
          <w:color w:val="auto"/>
        </w:rPr>
        <w:t>TP</w:t>
      </w:r>
      <w:r>
        <w:rPr>
          <w:rFonts w:hint="eastAsia" w:ascii="宋体" w:hAnsi="宋体" w:eastAsia="宋体" w:cs="宋体"/>
          <w:color w:val="auto"/>
        </w:rPr>
        <w:t>、</w:t>
      </w:r>
      <w:r>
        <w:rPr>
          <w:rFonts w:hint="eastAsia" w:ascii="宋体" w:hAnsi="宋体"/>
          <w:color w:val="auto"/>
        </w:rPr>
        <w:t>SS</w:t>
      </w:r>
      <w:r>
        <w:rPr>
          <w:rFonts w:hint="eastAsia" w:ascii="宋体" w:hAnsi="宋体" w:eastAsia="宋体" w:cs="宋体"/>
          <w:color w:val="auto"/>
        </w:rPr>
        <w:t>、氟化物、砷、铅。</w:t>
      </w:r>
    </w:p>
    <w:p>
      <w:pPr>
        <w:ind w:firstLine="560"/>
        <w:rPr>
          <w:rFonts w:ascii="宋体" w:hAnsi="宋体"/>
          <w:color w:val="auto"/>
        </w:rPr>
      </w:pPr>
      <w:r>
        <w:rPr>
          <w:rFonts w:hint="eastAsia" w:ascii="宋体" w:hAnsi="宋体" w:eastAsia="宋体" w:cs="宋体"/>
          <w:color w:val="auto"/>
        </w:rPr>
        <w:t>监测点布设矿部生活区及工业广场污水净化出口，监测点</w:t>
      </w:r>
      <w:r>
        <w:rPr>
          <w:rFonts w:hint="eastAsia" w:ascii="宋体" w:hAnsi="宋体"/>
          <w:color w:val="auto"/>
        </w:rPr>
        <w:t>2</w:t>
      </w:r>
      <w:r>
        <w:rPr>
          <w:rFonts w:hint="eastAsia" w:ascii="宋体" w:hAnsi="宋体" w:eastAsia="宋体" w:cs="宋体"/>
          <w:color w:val="auto"/>
        </w:rPr>
        <w:t>个，每年监测</w:t>
      </w:r>
      <w:r>
        <w:rPr>
          <w:rFonts w:hint="eastAsia" w:ascii="宋体" w:hAnsi="宋体"/>
          <w:color w:val="auto"/>
        </w:rPr>
        <w:t>1</w:t>
      </w:r>
      <w:r>
        <w:rPr>
          <w:rFonts w:hint="eastAsia" w:ascii="宋体" w:hAnsi="宋体" w:eastAsia="宋体" w:cs="宋体"/>
          <w:color w:val="auto"/>
        </w:rPr>
        <w:t>次，每次各采集水样</w:t>
      </w:r>
      <w:r>
        <w:rPr>
          <w:rFonts w:hint="eastAsia" w:ascii="宋体" w:hAnsi="宋体"/>
          <w:color w:val="auto"/>
        </w:rPr>
        <w:t>1</w:t>
      </w:r>
      <w:r>
        <w:rPr>
          <w:rFonts w:hint="eastAsia" w:ascii="宋体" w:hAnsi="宋体" w:eastAsia="宋体" w:cs="宋体"/>
          <w:color w:val="auto"/>
        </w:rPr>
        <w:t>件，适用期内监测</w:t>
      </w:r>
      <w:r>
        <w:rPr>
          <w:rFonts w:ascii="宋体" w:hAnsi="宋体"/>
          <w:color w:val="auto"/>
        </w:rPr>
        <w:t>3</w:t>
      </w:r>
      <w:r>
        <w:rPr>
          <w:rFonts w:hint="eastAsia" w:ascii="宋体" w:hAnsi="宋体" w:eastAsia="宋体" w:cs="宋体"/>
          <w:color w:val="auto"/>
        </w:rPr>
        <w:t>次，采集样品</w:t>
      </w:r>
      <w:r>
        <w:rPr>
          <w:rFonts w:ascii="宋体" w:hAnsi="宋体"/>
          <w:color w:val="auto"/>
        </w:rPr>
        <w:t>6</w:t>
      </w:r>
      <w:r>
        <w:rPr>
          <w:rFonts w:hint="eastAsia" w:ascii="宋体" w:hAnsi="宋体" w:eastAsia="宋体" w:cs="宋体"/>
          <w:color w:val="auto"/>
        </w:rPr>
        <w:t>件。</w:t>
      </w:r>
    </w:p>
    <w:p>
      <w:pPr>
        <w:ind w:firstLine="560"/>
        <w:rPr>
          <w:rFonts w:ascii="宋体" w:hAnsi="宋体" w:eastAsia="宋体" w:cs="宋体"/>
          <w:color w:val="auto"/>
          <w:szCs w:val="28"/>
        </w:rPr>
      </w:pPr>
      <w:r>
        <w:rPr>
          <w:rFonts w:hint="eastAsia" w:ascii="宋体" w:hAnsi="宋体" w:eastAsia="宋体" w:cs="宋体"/>
          <w:color w:val="auto"/>
          <w:szCs w:val="28"/>
        </w:rPr>
        <w:t>（5）大气环境的预防、修复及监测：</w:t>
      </w:r>
    </w:p>
    <w:p>
      <w:pPr>
        <w:ind w:firstLine="560"/>
        <w:rPr>
          <w:rFonts w:ascii="宋体" w:hAnsi="宋体" w:eastAsia="宋体" w:cs="宋体"/>
          <w:color w:val="auto"/>
          <w:szCs w:val="28"/>
        </w:rPr>
      </w:pPr>
      <w:r>
        <w:rPr>
          <w:rFonts w:hint="eastAsia" w:ascii="宋体" w:hAnsi="宋体" w:eastAsia="宋体" w:cs="宋体"/>
          <w:color w:val="auto"/>
          <w:szCs w:val="28"/>
        </w:rPr>
        <w:t>1）大气环境污染的预防</w:t>
      </w:r>
    </w:p>
    <w:p>
      <w:pPr>
        <w:ind w:firstLine="560"/>
        <w:rPr>
          <w:rFonts w:ascii="宋体" w:hAnsi="宋体" w:eastAsia="宋体" w:cs="宋体"/>
          <w:color w:val="auto"/>
          <w:szCs w:val="28"/>
        </w:rPr>
      </w:pPr>
      <w:r>
        <w:rPr>
          <w:rFonts w:hint="eastAsia" w:ascii="宋体" w:hAnsi="宋体" w:eastAsia="宋体" w:cs="宋体"/>
          <w:color w:val="auto"/>
          <w:szCs w:val="28"/>
        </w:rPr>
        <w:t>①矿山生产期间，采取有效的降尘措施，对露天采矿场、成品堆放场、排土场和道路洒水降尘等措施。</w:t>
      </w:r>
    </w:p>
    <w:p>
      <w:pPr>
        <w:ind w:firstLine="560"/>
        <w:rPr>
          <w:rFonts w:ascii="宋体" w:hAnsi="宋体" w:eastAsia="宋体" w:cs="宋体"/>
          <w:color w:val="auto"/>
          <w:szCs w:val="28"/>
        </w:rPr>
      </w:pPr>
      <w:r>
        <w:rPr>
          <w:rFonts w:hint="eastAsia" w:ascii="宋体" w:hAnsi="宋体" w:eastAsia="宋体" w:cs="宋体"/>
          <w:color w:val="auto"/>
          <w:szCs w:val="28"/>
        </w:rPr>
        <w:t>②生活区采用电暖器供热，无烟气排放。</w:t>
      </w:r>
    </w:p>
    <w:p>
      <w:pPr>
        <w:ind w:firstLine="560"/>
        <w:rPr>
          <w:rFonts w:ascii="宋体" w:hAnsi="宋体" w:eastAsia="宋体" w:cs="宋体"/>
          <w:color w:val="auto"/>
          <w:szCs w:val="28"/>
        </w:rPr>
      </w:pPr>
      <w:r>
        <w:rPr>
          <w:rFonts w:hint="eastAsia" w:ascii="宋体" w:hAnsi="宋体" w:eastAsia="宋体" w:cs="宋体"/>
          <w:color w:val="auto"/>
          <w:szCs w:val="28"/>
        </w:rPr>
        <w:t>（2）大气环境污染的修复</w:t>
      </w:r>
    </w:p>
    <w:p>
      <w:pPr>
        <w:ind w:firstLine="560"/>
        <w:rPr>
          <w:rFonts w:ascii="宋体" w:hAnsi="宋体" w:eastAsia="宋体" w:cs="宋体"/>
          <w:color w:val="auto"/>
          <w:szCs w:val="28"/>
        </w:rPr>
      </w:pPr>
      <w:r>
        <w:rPr>
          <w:rFonts w:hint="eastAsia" w:ascii="宋体" w:hAnsi="宋体" w:eastAsia="宋体" w:cs="宋体"/>
          <w:color w:val="auto"/>
          <w:szCs w:val="28"/>
        </w:rPr>
        <w:t>矿山开采、装卸、堆放、运输等按设计方式经洒水降尘和锅炉系统改造后，大气环境污染程度较轻，仅采取监测和预防工程措施，不采取修复治理工程措施。</w:t>
      </w:r>
    </w:p>
    <w:p>
      <w:pPr>
        <w:ind w:firstLine="560"/>
        <w:rPr>
          <w:rFonts w:ascii="宋体" w:hAnsi="宋体" w:eastAsia="宋体" w:cs="宋体"/>
          <w:color w:val="auto"/>
          <w:szCs w:val="28"/>
        </w:rPr>
      </w:pPr>
      <w:r>
        <w:rPr>
          <w:rFonts w:hint="eastAsia" w:ascii="宋体" w:hAnsi="宋体" w:eastAsia="宋体" w:cs="宋体"/>
          <w:color w:val="auto"/>
          <w:szCs w:val="28"/>
        </w:rPr>
        <w:t>（3）大气环境污染的监测</w:t>
      </w:r>
    </w:p>
    <w:p>
      <w:pPr>
        <w:ind w:firstLine="560"/>
        <w:rPr>
          <w:rFonts w:ascii="宋体" w:hAnsi="宋体" w:eastAsia="宋体" w:cs="宋体"/>
          <w:color w:val="auto"/>
          <w:szCs w:val="28"/>
        </w:rPr>
      </w:pPr>
      <w:r>
        <w:rPr>
          <w:rFonts w:hint="eastAsia" w:ascii="宋体" w:hAnsi="宋体" w:eastAsia="宋体" w:cs="宋体"/>
          <w:color w:val="auto"/>
          <w:szCs w:val="28"/>
        </w:rPr>
        <w:t>矿区上下风向布设大气环境监测点，加强对生活区、工业广场、露天采矿场等区域大气环境的动态跟踪监测。通过进行定期检测，及时了解和掌握大气中有害成分的含量，发现超标时应及时采取应对措施进行处理。</w:t>
      </w:r>
    </w:p>
    <w:p>
      <w:pPr>
        <w:ind w:firstLine="560"/>
        <w:rPr>
          <w:rFonts w:ascii="宋体" w:hAnsi="宋体" w:eastAsia="宋体" w:cs="宋体"/>
          <w:color w:val="auto"/>
          <w:szCs w:val="28"/>
        </w:rPr>
      </w:pPr>
      <w:r>
        <w:rPr>
          <w:rFonts w:hint="eastAsia" w:ascii="宋体" w:hAnsi="宋体" w:eastAsia="宋体" w:cs="宋体"/>
          <w:color w:val="auto"/>
          <w:szCs w:val="28"/>
        </w:rPr>
        <w:t>矿山大气环境污染修复工程量主要为建立大气环境污染监测系统，需新建大气环境监测点1个，委派1人每半年进行1次大气环境监测，做好监测站采样器的保管工作，TSP监测方法和精度满足《总悬浮颗粒物采样器技术要求及监测方法》（HJ/T374-2007）的要求。实施监测的单位必须具有国家有关部门颁布的相关资质证书，从事监测工作的技术人员也应具有上岗证书。监测过程中如出现实际情况与预测不符的，应及时告知相关领导和方案编制技术人员，并对方案进行调整，如资金不够，则对方案进行修改或重新编制。方案适用期共监测</w:t>
      </w:r>
      <w:r>
        <w:rPr>
          <w:rFonts w:ascii="宋体" w:hAnsi="宋体" w:eastAsia="宋体" w:cs="宋体"/>
          <w:color w:val="auto"/>
          <w:szCs w:val="28"/>
        </w:rPr>
        <w:t>5</w:t>
      </w:r>
      <w:r>
        <w:rPr>
          <w:rFonts w:hint="eastAsia" w:ascii="宋体" w:hAnsi="宋体" w:eastAsia="宋体" w:cs="宋体"/>
          <w:color w:val="auto"/>
          <w:szCs w:val="28"/>
        </w:rPr>
        <w:t>次。</w:t>
      </w:r>
    </w:p>
    <w:p>
      <w:pPr>
        <w:ind w:firstLine="562"/>
        <w:outlineLvl w:val="0"/>
        <w:rPr>
          <w:rFonts w:ascii="宋体" w:hAnsi="宋体" w:eastAsia="宋体" w:cs="宋体"/>
          <w:b/>
          <w:bCs/>
          <w:color w:val="auto"/>
          <w:szCs w:val="28"/>
        </w:rPr>
      </w:pPr>
      <w:r>
        <w:rPr>
          <w:rFonts w:hint="eastAsia" w:ascii="宋体" w:hAnsi="宋体" w:eastAsia="宋体" w:cs="宋体"/>
          <w:b/>
          <w:bCs/>
          <w:color w:val="auto"/>
          <w:szCs w:val="28"/>
        </w:rPr>
        <w:t>八、矿区土地复垦</w:t>
      </w:r>
    </w:p>
    <w:p>
      <w:pPr>
        <w:ind w:firstLine="560"/>
        <w:rPr>
          <w:rFonts w:ascii="宋体" w:hAnsi="宋体" w:eastAsia="宋体" w:cs="宋体"/>
          <w:color w:val="auto"/>
          <w:szCs w:val="28"/>
        </w:rPr>
      </w:pPr>
      <w:r>
        <w:rPr>
          <w:rFonts w:hint="eastAsia" w:ascii="宋体" w:hAnsi="宋体" w:eastAsia="宋体" w:cs="宋体"/>
          <w:color w:val="auto"/>
          <w:szCs w:val="28"/>
        </w:rPr>
        <w:t>1、矿区土地利用现状</w:t>
      </w:r>
    </w:p>
    <w:p>
      <w:pPr>
        <w:ind w:firstLine="560"/>
        <w:rPr>
          <w:rFonts w:ascii="宋体" w:hAnsi="宋体" w:eastAsia="宋体" w:cs="宋体"/>
          <w:color w:val="auto"/>
          <w:szCs w:val="28"/>
        </w:rPr>
      </w:pPr>
      <w:r>
        <w:rPr>
          <w:rFonts w:hint="eastAsia" w:ascii="宋体" w:hAnsi="宋体" w:eastAsia="宋体" w:cs="宋体"/>
          <w:color w:val="auto"/>
          <w:szCs w:val="28"/>
        </w:rPr>
        <w:t>依据哈密市自然资源局伊州分区出具的《关于新疆交投资源开发有限责任公司新疆哈密市</w:t>
      </w:r>
      <w:r>
        <w:rPr>
          <w:rFonts w:hint="eastAsia" w:ascii="宋体" w:hAnsi="宋体" w:eastAsia="宋体" w:cs="宋体"/>
          <w:color w:val="auto"/>
          <w:szCs w:val="28"/>
          <w:lang w:eastAsia="zh-CN"/>
        </w:rPr>
        <w:t>伊州区一碗泉砂石矿</w:t>
      </w:r>
      <w:r>
        <w:rPr>
          <w:rFonts w:hint="eastAsia" w:ascii="宋体" w:hAnsi="宋体" w:eastAsia="宋体" w:cs="宋体"/>
          <w:color w:val="auto"/>
          <w:szCs w:val="28"/>
        </w:rPr>
        <w:t>砂场土地属性的情况说明》（资料来源于第三次全国土地调查数据库），结合《自然资源部关于印发</w:t>
      </w:r>
      <w:r>
        <w:rPr>
          <w:rFonts w:ascii="宋体" w:hAnsi="宋体" w:eastAsia="宋体" w:cs="宋体"/>
          <w:color w:val="auto"/>
          <w:szCs w:val="28"/>
        </w:rPr>
        <w:t>&lt;</w:t>
      </w:r>
      <w:r>
        <w:rPr>
          <w:rFonts w:hint="eastAsia" w:ascii="宋体" w:hAnsi="宋体" w:eastAsia="宋体" w:cs="宋体"/>
          <w:color w:val="auto"/>
          <w:szCs w:val="28"/>
        </w:rPr>
        <w:t>国土空间调查、规划、用途管制用地用海分类指南</w:t>
      </w:r>
      <w:r>
        <w:rPr>
          <w:rFonts w:ascii="宋体" w:hAnsi="宋体" w:eastAsia="宋体" w:cs="宋体"/>
          <w:color w:val="auto"/>
          <w:szCs w:val="28"/>
        </w:rPr>
        <w:t>&gt;</w:t>
      </w:r>
      <w:r>
        <w:rPr>
          <w:rFonts w:hint="eastAsia" w:ascii="宋体" w:hAnsi="宋体" w:eastAsia="宋体" w:cs="宋体"/>
          <w:color w:val="auto"/>
          <w:szCs w:val="28"/>
        </w:rPr>
        <w:t>的通知》（自然资发〔</w:t>
      </w:r>
      <w:r>
        <w:rPr>
          <w:rFonts w:ascii="宋体" w:hAnsi="宋体" w:eastAsia="宋体" w:cs="宋体"/>
          <w:color w:val="auto"/>
          <w:szCs w:val="28"/>
        </w:rPr>
        <w:t>2023</w:t>
      </w:r>
      <w:r>
        <w:rPr>
          <w:rFonts w:hint="eastAsia" w:ascii="宋体" w:hAnsi="宋体" w:eastAsia="宋体" w:cs="宋体"/>
          <w:color w:val="auto"/>
          <w:szCs w:val="28"/>
        </w:rPr>
        <w:t>〕</w:t>
      </w:r>
      <w:r>
        <w:rPr>
          <w:rFonts w:ascii="宋体" w:hAnsi="宋体" w:eastAsia="宋体" w:cs="宋体"/>
          <w:color w:val="auto"/>
          <w:szCs w:val="28"/>
        </w:rPr>
        <w:t>234</w:t>
      </w:r>
      <w:r>
        <w:rPr>
          <w:rFonts w:hint="eastAsia" w:ascii="宋体" w:hAnsi="宋体" w:eastAsia="宋体" w:cs="宋体"/>
          <w:color w:val="auto"/>
          <w:szCs w:val="28"/>
        </w:rPr>
        <w:t>号），矿区土地类型为草地类的其他草地</w:t>
      </w:r>
      <w:r>
        <w:rPr>
          <w:rFonts w:hint="eastAsia" w:ascii="宋体" w:hAnsi="宋体" w:eastAsia="宋体" w:cs="宋体"/>
          <w:color w:val="auto"/>
          <w:szCs w:val="28"/>
          <w:lang w:eastAsia="zh-CN"/>
        </w:rPr>
        <w:t>（</w:t>
      </w:r>
      <w:r>
        <w:rPr>
          <w:rFonts w:hint="eastAsia" w:ascii="宋体" w:hAnsi="宋体" w:eastAsia="宋体" w:cs="宋体"/>
          <w:color w:val="auto"/>
          <w:szCs w:val="28"/>
        </w:rPr>
        <w:t>0.1934h</w:t>
      </w:r>
      <w:r>
        <w:rPr>
          <w:rFonts w:ascii="宋体" w:hAnsi="宋体" w:eastAsia="宋体" w:cs="宋体"/>
          <w:color w:val="auto"/>
          <w:szCs w:val="28"/>
        </w:rPr>
        <w:t>m</w:t>
      </w:r>
      <w:r>
        <w:rPr>
          <w:rFonts w:ascii="宋体" w:hAnsi="宋体" w:eastAsia="宋体" w:cs="宋体"/>
          <w:color w:val="auto"/>
          <w:szCs w:val="28"/>
          <w:vertAlign w:val="superscript"/>
        </w:rPr>
        <w:t>2</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其他土地的裸岩石砾地（41.3859</w:t>
      </w:r>
      <w:r>
        <w:rPr>
          <w:rFonts w:hint="eastAsia" w:ascii="宋体" w:hAnsi="宋体" w:eastAsia="宋体" w:cs="宋体"/>
          <w:color w:val="auto"/>
          <w:szCs w:val="28"/>
        </w:rPr>
        <w:t>h</w:t>
      </w:r>
      <w:r>
        <w:rPr>
          <w:rFonts w:ascii="宋体" w:hAnsi="宋体" w:eastAsia="宋体" w:cs="宋体"/>
          <w:color w:val="auto"/>
          <w:szCs w:val="28"/>
        </w:rPr>
        <w:t>m</w:t>
      </w:r>
      <w:r>
        <w:rPr>
          <w:rFonts w:ascii="宋体" w:hAnsi="宋体" w:eastAsia="宋体" w:cs="宋体"/>
          <w:color w:val="auto"/>
          <w:szCs w:val="28"/>
          <w:vertAlign w:val="superscript"/>
        </w:rPr>
        <w:t>2</w:t>
      </w:r>
      <w:r>
        <w:rPr>
          <w:rFonts w:hint="eastAsia" w:ascii="宋体" w:hAnsi="宋体" w:eastAsia="宋体" w:cs="宋体"/>
          <w:color w:val="auto"/>
          <w:szCs w:val="28"/>
          <w:lang w:val="en-US" w:eastAsia="zh-CN"/>
        </w:rPr>
        <w:t>）、交通运输用地的农村道路（0.0593</w:t>
      </w:r>
      <w:r>
        <w:rPr>
          <w:rFonts w:hint="eastAsia" w:ascii="宋体" w:hAnsi="宋体" w:eastAsia="宋体" w:cs="宋体"/>
          <w:color w:val="auto"/>
          <w:szCs w:val="28"/>
        </w:rPr>
        <w:t>h</w:t>
      </w:r>
      <w:r>
        <w:rPr>
          <w:rFonts w:ascii="宋体" w:hAnsi="宋体" w:eastAsia="宋体" w:cs="宋体"/>
          <w:color w:val="auto"/>
          <w:szCs w:val="28"/>
        </w:rPr>
        <w:t>m</w:t>
      </w:r>
      <w:r>
        <w:rPr>
          <w:rFonts w:ascii="宋体" w:hAnsi="宋体" w:eastAsia="宋体" w:cs="宋体"/>
          <w:color w:val="auto"/>
          <w:szCs w:val="28"/>
          <w:vertAlign w:val="superscript"/>
        </w:rPr>
        <w:t>2</w:t>
      </w:r>
      <w:r>
        <w:rPr>
          <w:rFonts w:hint="eastAsia" w:ascii="宋体" w:hAnsi="宋体" w:eastAsia="宋体" w:cs="宋体"/>
          <w:color w:val="auto"/>
          <w:szCs w:val="28"/>
          <w:lang w:val="en-US" w:eastAsia="zh-CN"/>
        </w:rPr>
        <w:t>）</w:t>
      </w:r>
      <w:r>
        <w:rPr>
          <w:rFonts w:hint="eastAsia" w:ascii="宋体" w:hAnsi="宋体" w:eastAsia="宋体" w:cs="宋体"/>
          <w:color w:val="auto"/>
          <w:szCs w:val="28"/>
        </w:rPr>
        <w:t>，土地权属为国有土地，行政隶属伊州区管辖。</w:t>
      </w:r>
    </w:p>
    <w:p>
      <w:pPr>
        <w:ind w:firstLine="560"/>
        <w:rPr>
          <w:rFonts w:ascii="宋体" w:hAnsi="宋体" w:eastAsia="宋体" w:cs="宋体"/>
          <w:color w:val="auto"/>
          <w:szCs w:val="28"/>
        </w:rPr>
      </w:pPr>
      <w:r>
        <w:rPr>
          <w:rFonts w:hint="eastAsia" w:ascii="宋体" w:hAnsi="宋体" w:eastAsia="宋体" w:cs="宋体"/>
          <w:color w:val="auto"/>
          <w:szCs w:val="28"/>
        </w:rPr>
        <w:t>2、</w:t>
      </w:r>
      <w:r>
        <w:rPr>
          <w:rFonts w:ascii="宋体" w:hAnsi="宋体" w:eastAsia="宋体" w:cs="宋体"/>
          <w:color w:val="auto"/>
          <w:szCs w:val="28"/>
        </w:rPr>
        <w:t>土地复垦区与复垦责任范围</w:t>
      </w:r>
    </w:p>
    <w:p>
      <w:pPr>
        <w:ind w:firstLine="560"/>
        <w:rPr>
          <w:rFonts w:ascii="宋体" w:hAnsi="宋体" w:eastAsia="宋体" w:cs="宋体"/>
          <w:color w:val="auto"/>
          <w:szCs w:val="28"/>
        </w:rPr>
      </w:pPr>
      <w:r>
        <w:rPr>
          <w:rFonts w:hint="eastAsia" w:ascii="宋体" w:hAnsi="宋体" w:eastAsia="宋体" w:cs="宋体"/>
          <w:color w:val="auto"/>
          <w:szCs w:val="28"/>
        </w:rPr>
        <w:t>本方案复垦区包括规划露天采场、规划办公生活区和规划矿山道路，面积</w:t>
      </w:r>
      <w:r>
        <w:rPr>
          <w:rFonts w:hint="eastAsia" w:ascii="宋体" w:hAnsi="宋体" w:eastAsia="宋体" w:cs="宋体"/>
          <w:color w:val="auto"/>
          <w:szCs w:val="28"/>
          <w:lang w:eastAsia="zh-CN"/>
        </w:rPr>
        <w:t>41.6386</w:t>
      </w:r>
      <w:r>
        <w:rPr>
          <w:rFonts w:hint="eastAsia" w:ascii="宋体" w:hAnsi="宋体" w:eastAsia="宋体" w:cs="宋体"/>
          <w:color w:val="auto"/>
          <w:szCs w:val="28"/>
        </w:rPr>
        <w:t>hm</w:t>
      </w:r>
      <w:r>
        <w:rPr>
          <w:rFonts w:hint="eastAsia" w:ascii="宋体" w:hAnsi="宋体" w:eastAsia="宋体" w:cs="宋体"/>
          <w:color w:val="auto"/>
          <w:szCs w:val="28"/>
          <w:vertAlign w:val="superscript"/>
        </w:rPr>
        <w:t>2</w:t>
      </w:r>
      <w:r>
        <w:rPr>
          <w:rFonts w:hint="eastAsia" w:ascii="宋体" w:hAnsi="宋体" w:eastAsia="宋体" w:cs="宋体"/>
          <w:color w:val="auto"/>
          <w:szCs w:val="28"/>
        </w:rPr>
        <w:t>，土地复垦率100%。</w:t>
      </w:r>
    </w:p>
    <w:p>
      <w:pPr>
        <w:ind w:firstLine="560"/>
        <w:rPr>
          <w:rFonts w:ascii="宋体" w:hAnsi="宋体" w:eastAsia="宋体" w:cs="宋体"/>
          <w:color w:val="auto"/>
          <w:szCs w:val="28"/>
        </w:rPr>
      </w:pPr>
      <w:r>
        <w:rPr>
          <w:rFonts w:ascii="宋体" w:hAnsi="宋体" w:eastAsia="宋体" w:cs="宋体"/>
          <w:color w:val="auto"/>
          <w:szCs w:val="28"/>
        </w:rPr>
        <w:t>3</w:t>
      </w:r>
      <w:r>
        <w:rPr>
          <w:rFonts w:hint="eastAsia" w:ascii="宋体" w:hAnsi="宋体" w:eastAsia="宋体" w:cs="宋体"/>
          <w:color w:val="auto"/>
          <w:szCs w:val="28"/>
        </w:rPr>
        <w:t>、矿区土地适宜性评价</w:t>
      </w:r>
    </w:p>
    <w:p>
      <w:pPr>
        <w:ind w:firstLine="560"/>
        <w:rPr>
          <w:rFonts w:ascii="宋体" w:hAnsi="宋体" w:eastAsia="宋体" w:cs="宋体"/>
          <w:color w:val="auto"/>
          <w:szCs w:val="28"/>
        </w:rPr>
      </w:pPr>
      <w:r>
        <w:rPr>
          <w:rFonts w:hint="eastAsia" w:ascii="宋体" w:hAnsi="宋体" w:eastAsia="宋体" w:cs="宋体"/>
          <w:color w:val="auto"/>
          <w:szCs w:val="28"/>
        </w:rPr>
        <w:t>本方案复垦适宜性评价范围为复垦责任区，合计面积</w:t>
      </w:r>
      <w:r>
        <w:rPr>
          <w:rFonts w:hint="eastAsia" w:ascii="宋体" w:hAnsi="宋体" w:eastAsia="宋体" w:cs="宋体"/>
          <w:color w:val="auto"/>
          <w:szCs w:val="28"/>
          <w:lang w:eastAsia="zh-CN"/>
        </w:rPr>
        <w:t>41.6386</w:t>
      </w:r>
      <w:r>
        <w:rPr>
          <w:rFonts w:hint="eastAsia" w:ascii="宋体" w:hAnsi="宋体" w:eastAsia="宋体" w:cs="宋体"/>
          <w:color w:val="auto"/>
          <w:szCs w:val="28"/>
        </w:rPr>
        <w:t>hm</w:t>
      </w:r>
      <w:r>
        <w:rPr>
          <w:rFonts w:hint="eastAsia" w:ascii="宋体" w:hAnsi="宋体" w:eastAsia="宋体" w:cs="宋体"/>
          <w:color w:val="auto"/>
          <w:szCs w:val="28"/>
          <w:vertAlign w:val="superscript"/>
        </w:rPr>
        <w:t>2</w:t>
      </w:r>
      <w:r>
        <w:rPr>
          <w:rFonts w:hint="eastAsia" w:ascii="宋体" w:hAnsi="宋体" w:eastAsia="宋体" w:cs="宋体"/>
          <w:color w:val="auto"/>
          <w:szCs w:val="28"/>
        </w:rPr>
        <w:t>，包括规划露天采场、规划办公生活区</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规划废料堆放场</w:t>
      </w:r>
      <w:r>
        <w:rPr>
          <w:rFonts w:hint="eastAsia" w:ascii="宋体" w:hAnsi="宋体" w:eastAsia="宋体" w:cs="宋体"/>
          <w:color w:val="auto"/>
          <w:szCs w:val="28"/>
        </w:rPr>
        <w:t>和规划矿山道路，确定损毁土地的复垦方向以恢复原功能为主，即复垦为其他草地</w:t>
      </w:r>
      <w:r>
        <w:rPr>
          <w:rFonts w:hint="eastAsia" w:ascii="宋体" w:hAnsi="宋体" w:eastAsia="宋体" w:cs="宋体"/>
          <w:color w:val="auto"/>
          <w:szCs w:val="28"/>
          <w:lang w:eastAsia="zh-CN"/>
        </w:rPr>
        <w:t>、</w:t>
      </w:r>
      <w:r>
        <w:rPr>
          <w:rFonts w:hint="eastAsia" w:ascii="宋体" w:hAnsi="宋体" w:eastAsia="宋体" w:cs="宋体"/>
          <w:color w:val="auto"/>
          <w:szCs w:val="28"/>
          <w:lang w:val="en-US" w:eastAsia="zh-CN"/>
        </w:rPr>
        <w:t>农村道路、裸岩石砾地</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ascii="宋体" w:hAnsi="宋体" w:eastAsia="宋体" w:cs="宋体"/>
          <w:color w:val="auto"/>
          <w:szCs w:val="28"/>
        </w:rPr>
        <w:t>4</w:t>
      </w:r>
      <w:r>
        <w:rPr>
          <w:rFonts w:hint="eastAsia" w:ascii="宋体" w:hAnsi="宋体" w:eastAsia="宋体" w:cs="宋体"/>
          <w:color w:val="auto"/>
          <w:szCs w:val="28"/>
        </w:rPr>
        <w:t>、矿区水土资源平衡分析</w:t>
      </w:r>
    </w:p>
    <w:p>
      <w:pPr>
        <w:ind w:firstLine="560"/>
        <w:rPr>
          <w:rFonts w:ascii="宋体" w:hAnsi="宋体" w:eastAsia="宋体" w:cs="宋体"/>
          <w:color w:val="auto"/>
          <w:szCs w:val="28"/>
        </w:rPr>
      </w:pPr>
      <w:r>
        <w:rPr>
          <w:rFonts w:hint="eastAsia" w:ascii="宋体" w:hAnsi="宋体" w:eastAsia="宋体" w:cs="宋体"/>
          <w:color w:val="auto"/>
          <w:szCs w:val="28"/>
        </w:rPr>
        <w:t>本项目土地复垦方向为其他草地、农村道路、裸岩石砾地。</w:t>
      </w:r>
    </w:p>
    <w:p>
      <w:pPr>
        <w:ind w:firstLine="560"/>
        <w:rPr>
          <w:rFonts w:ascii="宋体" w:hAnsi="宋体" w:eastAsiaTheme="minorEastAsia"/>
          <w:b/>
          <w:color w:val="auto"/>
        </w:rPr>
      </w:pPr>
      <w:r>
        <w:rPr>
          <w:rFonts w:hint="eastAsia" w:ascii="宋体" w:hAnsi="宋体" w:eastAsia="宋体" w:cs="宋体"/>
          <w:color w:val="auto"/>
          <w:szCs w:val="28"/>
        </w:rPr>
        <w:t>（1）</w:t>
      </w:r>
      <w:r>
        <w:rPr>
          <w:rFonts w:hint="eastAsia" w:ascii="宋体" w:hAnsi="宋体" w:eastAsia="宋体" w:cs="宋体"/>
          <w:bCs/>
          <w:color w:val="auto"/>
        </w:rPr>
        <w:t>水源供需平衡分析</w:t>
      </w:r>
    </w:p>
    <w:p>
      <w:pPr>
        <w:ind w:firstLine="840" w:firstLineChars="300"/>
        <w:rPr>
          <w:rFonts w:hint="eastAsia" w:ascii="宋体" w:hAnsi="宋体"/>
          <w:color w:val="auto"/>
        </w:rPr>
      </w:pPr>
      <w:r>
        <w:rPr>
          <w:rFonts w:hint="eastAsia" w:ascii="宋体" w:hAnsi="宋体"/>
          <w:color w:val="auto"/>
        </w:rPr>
        <w:t>（1）需求分析：根据《新疆农业灌溉用水定额指标（2014年）》（DB65/3611-2014）相关灌溉指标，确定矿区需保证草地植被成活的用水量为2700立方米/公顷。根据前面的复垦适宜性评价分析，本方案确定拟复垦其他草地0.1934公顷，需水量约522.18立方米。</w:t>
      </w:r>
    </w:p>
    <w:p>
      <w:pPr>
        <w:ind w:firstLine="840" w:firstLineChars="300"/>
        <w:rPr>
          <w:rFonts w:ascii="宋体" w:hAnsi="宋体"/>
          <w:color w:val="auto"/>
        </w:rPr>
      </w:pPr>
      <w:r>
        <w:rPr>
          <w:rFonts w:hint="eastAsia" w:ascii="宋体" w:hAnsi="宋体"/>
          <w:color w:val="auto"/>
        </w:rPr>
        <w:t>（2）供给分析：复垦区拟复垦的其他草地，复垦与管护可采用洒水车拉水方式进行灌溉浇水或天然降水，矿区所在区域年降水量为34.9毫米，不满足首年植被灌溉要求，故首年采用灌溉洒水，其水源从矿区东部约5千米的村庄拉运，可满足需要。</w:t>
      </w:r>
    </w:p>
    <w:p>
      <w:pPr>
        <w:ind w:firstLine="560"/>
        <w:rPr>
          <w:rFonts w:ascii="宋体" w:hAnsi="宋体" w:eastAsia="宋体" w:cs="宋体"/>
          <w:color w:val="auto"/>
          <w:szCs w:val="28"/>
        </w:rPr>
      </w:pPr>
      <w:r>
        <w:rPr>
          <w:rFonts w:hint="eastAsia" w:ascii="宋体" w:hAnsi="宋体" w:eastAsia="宋体" w:cs="宋体"/>
          <w:color w:val="auto"/>
          <w:szCs w:val="28"/>
        </w:rPr>
        <w:t>（2）</w:t>
      </w:r>
      <w:r>
        <w:rPr>
          <w:rFonts w:hint="eastAsia" w:ascii="宋体" w:hAnsi="宋体"/>
          <w:bCs/>
          <w:color w:val="auto"/>
        </w:rPr>
        <w:t>表土资源平衡分析</w:t>
      </w:r>
    </w:p>
    <w:p>
      <w:pPr>
        <w:ind w:firstLine="840" w:firstLineChars="300"/>
        <w:rPr>
          <w:rFonts w:hint="eastAsia" w:ascii="宋体" w:hAnsi="宋体"/>
          <w:color w:val="auto"/>
        </w:rPr>
      </w:pPr>
      <w:r>
        <w:rPr>
          <w:rFonts w:hint="eastAsia" w:ascii="宋体" w:hAnsi="宋体"/>
          <w:color w:val="auto"/>
        </w:rPr>
        <w:t>（1）需求分析</w:t>
      </w:r>
    </w:p>
    <w:p>
      <w:pPr>
        <w:ind w:firstLine="840" w:firstLineChars="300"/>
        <w:rPr>
          <w:rFonts w:hint="eastAsia" w:ascii="宋体" w:hAnsi="宋体"/>
          <w:color w:val="auto"/>
        </w:rPr>
      </w:pPr>
      <w:r>
        <w:rPr>
          <w:rFonts w:hint="eastAsia" w:ascii="宋体" w:hAnsi="宋体"/>
          <w:color w:val="auto"/>
        </w:rPr>
        <w:t>本项目复垦时对损毁土地需进行覆土，最终土地损毁面积为41.6386公顷，其中其他草地0.1934公顷，平均表土回覆0.1米，需表土量约193.4立方米。</w:t>
      </w:r>
    </w:p>
    <w:p>
      <w:pPr>
        <w:ind w:firstLine="840" w:firstLineChars="300"/>
        <w:rPr>
          <w:rFonts w:ascii="宋体" w:hAnsi="宋体" w:cs="宋体"/>
          <w:bCs/>
          <w:color w:val="auto"/>
          <w:szCs w:val="24"/>
          <w:lang w:val="zh-CN"/>
        </w:rPr>
      </w:pPr>
      <w:r>
        <w:rPr>
          <w:rFonts w:hint="eastAsia" w:ascii="宋体" w:hAnsi="宋体"/>
          <w:color w:val="auto"/>
        </w:rPr>
        <w:t>（2）供给分析：矿山在开采前进行表土剥离工作，剥离表土面积为0.1934公顷，表土临时堆存于废料堆放场，随着开采推进，及时回填至已开采完区域，堆放高度为不超过6米，边坡坡度不大于30°。表土剥离0.1米，剥离表土量约193.4立方米</w:t>
      </w:r>
      <w:r>
        <w:rPr>
          <w:rFonts w:hint="eastAsia" w:ascii="宋体" w:hAnsi="宋体"/>
          <w:bCs/>
          <w:color w:val="auto"/>
        </w:rPr>
        <w:t>。</w:t>
      </w:r>
    </w:p>
    <w:p>
      <w:pPr>
        <w:ind w:firstLine="560"/>
        <w:rPr>
          <w:rFonts w:ascii="宋体" w:hAnsi="宋体" w:eastAsia="宋体" w:cs="宋体"/>
          <w:color w:val="auto"/>
          <w:szCs w:val="28"/>
        </w:rPr>
      </w:pPr>
      <w:r>
        <w:rPr>
          <w:rFonts w:ascii="宋体" w:hAnsi="宋体" w:eastAsia="宋体" w:cs="宋体"/>
          <w:color w:val="auto"/>
          <w:szCs w:val="28"/>
        </w:rPr>
        <w:t>5</w:t>
      </w:r>
      <w:r>
        <w:rPr>
          <w:rFonts w:hint="eastAsia" w:ascii="宋体" w:hAnsi="宋体" w:eastAsia="宋体" w:cs="宋体"/>
          <w:color w:val="auto"/>
          <w:szCs w:val="28"/>
        </w:rPr>
        <w:t>、土地复垦工程措施</w:t>
      </w:r>
    </w:p>
    <w:p>
      <w:pPr>
        <w:ind w:firstLine="560"/>
        <w:rPr>
          <w:rFonts w:ascii="宋体" w:hAnsi="宋体" w:eastAsia="宋体" w:cs="宋体"/>
          <w:color w:val="auto"/>
          <w:szCs w:val="28"/>
        </w:rPr>
      </w:pPr>
      <w:bookmarkStart w:id="11" w:name="_Hlk92294388"/>
      <w:r>
        <w:rPr>
          <w:rFonts w:hint="eastAsia" w:ascii="宋体" w:hAnsi="宋体" w:eastAsia="宋体" w:cs="宋体"/>
          <w:color w:val="auto"/>
          <w:szCs w:val="28"/>
        </w:rPr>
        <w:t>本方案划分</w:t>
      </w:r>
      <w:r>
        <w:rPr>
          <w:rFonts w:ascii="宋体" w:hAnsi="宋体" w:eastAsia="宋体" w:cs="宋体"/>
          <w:color w:val="auto"/>
          <w:szCs w:val="28"/>
        </w:rPr>
        <w:t>4</w:t>
      </w:r>
      <w:r>
        <w:rPr>
          <w:rFonts w:hint="eastAsia" w:ascii="宋体" w:hAnsi="宋体" w:eastAsia="宋体" w:cs="宋体"/>
          <w:color w:val="auto"/>
          <w:szCs w:val="28"/>
        </w:rPr>
        <w:t>个土地复垦单元，分别为规划露天采场、规划办公生活区、规划矿山道路、</w:t>
      </w:r>
      <w:r>
        <w:rPr>
          <w:rFonts w:hint="eastAsia" w:ascii="宋体" w:hAnsi="宋体" w:eastAsia="宋体" w:cs="宋体"/>
          <w:color w:val="auto"/>
          <w:szCs w:val="28"/>
          <w:lang w:val="en-US" w:eastAsia="zh-CN"/>
        </w:rPr>
        <w:t>废料堆放场</w:t>
      </w:r>
      <w:r>
        <w:rPr>
          <w:rFonts w:hint="eastAsia" w:ascii="宋体" w:hAnsi="宋体" w:eastAsia="宋体" w:cs="宋体"/>
          <w:color w:val="auto"/>
          <w:szCs w:val="28"/>
        </w:rPr>
        <w:t>。</w:t>
      </w:r>
    </w:p>
    <w:p>
      <w:pPr>
        <w:ind w:firstLine="560"/>
        <w:rPr>
          <w:rFonts w:ascii="宋体" w:hAnsi="宋体" w:eastAsia="宋体" w:cs="宋体"/>
          <w:color w:val="auto"/>
          <w:szCs w:val="28"/>
        </w:rPr>
      </w:pPr>
      <w:r>
        <w:rPr>
          <w:rFonts w:hint="eastAsia" w:ascii="宋体" w:hAnsi="宋体" w:eastAsia="宋体" w:cs="宋体"/>
          <w:color w:val="auto"/>
          <w:szCs w:val="28"/>
        </w:rPr>
        <w:t>土地复垦措施主要包括露天采坑、办公生活区设施和硬化层拆除清运处置、平整工程等。</w:t>
      </w:r>
      <w:bookmarkEnd w:id="11"/>
    </w:p>
    <w:p>
      <w:pPr>
        <w:ind w:firstLine="560"/>
        <w:rPr>
          <w:rFonts w:ascii="宋体" w:hAnsi="宋体" w:eastAsia="宋体" w:cs="宋体"/>
          <w:color w:val="auto"/>
          <w:szCs w:val="28"/>
        </w:rPr>
      </w:pPr>
      <w:r>
        <w:rPr>
          <w:rFonts w:ascii="宋体" w:hAnsi="宋体" w:eastAsia="宋体" w:cs="宋体"/>
          <w:color w:val="auto"/>
          <w:szCs w:val="28"/>
        </w:rPr>
        <w:t>6</w:t>
      </w:r>
      <w:r>
        <w:rPr>
          <w:rFonts w:hint="eastAsia" w:ascii="宋体" w:hAnsi="宋体" w:eastAsia="宋体" w:cs="宋体"/>
          <w:color w:val="auto"/>
          <w:szCs w:val="28"/>
        </w:rPr>
        <w:t>、土地复垦监测</w:t>
      </w:r>
    </w:p>
    <w:p>
      <w:pPr>
        <w:ind w:firstLine="560"/>
        <w:rPr>
          <w:rFonts w:ascii="宋体" w:hAnsi="宋体" w:eastAsia="宋体" w:cs="宋体"/>
          <w:color w:val="auto"/>
          <w:szCs w:val="28"/>
        </w:rPr>
      </w:pPr>
      <w:bookmarkStart w:id="12" w:name="_Hlk92295462"/>
      <w:r>
        <w:rPr>
          <w:rFonts w:hint="eastAsia" w:ascii="宋体" w:hAnsi="宋体" w:eastAsia="宋体" w:cs="宋体"/>
          <w:color w:val="auto"/>
          <w:szCs w:val="28"/>
        </w:rPr>
        <w:t>在</w:t>
      </w:r>
      <w:r>
        <w:rPr>
          <w:rFonts w:ascii="宋体" w:hAnsi="宋体" w:eastAsia="宋体" w:cs="宋体"/>
          <w:color w:val="auto"/>
          <w:szCs w:val="28"/>
        </w:rPr>
        <w:t>4</w:t>
      </w:r>
      <w:r>
        <w:rPr>
          <w:rFonts w:hint="eastAsia" w:ascii="宋体" w:hAnsi="宋体" w:eastAsia="宋体" w:cs="宋体"/>
          <w:color w:val="auto"/>
          <w:szCs w:val="28"/>
        </w:rPr>
        <w:t>个待复垦单元各设置</w:t>
      </w:r>
      <w:r>
        <w:rPr>
          <w:rFonts w:ascii="宋体" w:hAnsi="宋体" w:eastAsia="宋体" w:cs="宋体"/>
          <w:color w:val="auto"/>
          <w:szCs w:val="28"/>
        </w:rPr>
        <w:t>1</w:t>
      </w:r>
      <w:r>
        <w:rPr>
          <w:rFonts w:hint="eastAsia" w:ascii="宋体" w:hAnsi="宋体" w:eastAsia="宋体" w:cs="宋体"/>
          <w:color w:val="auto"/>
          <w:szCs w:val="28"/>
        </w:rPr>
        <w:t>个监测点，主要为土地损毁监测和土地复垦效果监测。监测成果由矿山企业自行管理，必须派专人长期存档、管理。</w:t>
      </w:r>
      <w:bookmarkEnd w:id="12"/>
    </w:p>
    <w:p>
      <w:pPr>
        <w:ind w:firstLine="560"/>
        <w:rPr>
          <w:rFonts w:ascii="宋体" w:hAnsi="宋体" w:eastAsia="宋体" w:cs="宋体"/>
          <w:color w:val="auto"/>
          <w:szCs w:val="28"/>
        </w:rPr>
      </w:pPr>
      <w:r>
        <w:rPr>
          <w:rFonts w:ascii="宋体" w:hAnsi="宋体" w:eastAsia="宋体" w:cs="宋体"/>
          <w:color w:val="auto"/>
          <w:szCs w:val="28"/>
        </w:rPr>
        <w:t>7</w:t>
      </w:r>
      <w:r>
        <w:rPr>
          <w:rFonts w:hint="eastAsia" w:ascii="宋体" w:hAnsi="宋体" w:eastAsia="宋体" w:cs="宋体"/>
          <w:color w:val="auto"/>
          <w:szCs w:val="28"/>
        </w:rPr>
        <w:t>、土地复垦实施年限</w:t>
      </w:r>
    </w:p>
    <w:p>
      <w:pPr>
        <w:ind w:firstLine="560"/>
        <w:rPr>
          <w:rFonts w:ascii="宋体" w:hAnsi="宋体" w:eastAsia="宋体" w:cs="宋体"/>
          <w:color w:val="auto"/>
          <w:szCs w:val="28"/>
        </w:rPr>
      </w:pPr>
      <w:r>
        <w:rPr>
          <w:rFonts w:hint="eastAsia" w:ascii="宋体" w:hAnsi="宋体" w:eastAsia="宋体" w:cs="宋体"/>
          <w:color w:val="auto"/>
          <w:szCs w:val="28"/>
        </w:rPr>
        <w:t>矿山服务年限为</w:t>
      </w:r>
      <w:r>
        <w:rPr>
          <w:rFonts w:ascii="宋体" w:hAnsi="宋体" w:eastAsia="宋体" w:cs="宋体"/>
          <w:color w:val="auto"/>
          <w:szCs w:val="28"/>
        </w:rPr>
        <w:t>2</w:t>
      </w:r>
      <w:r>
        <w:rPr>
          <w:rFonts w:hint="eastAsia" w:ascii="宋体" w:hAnsi="宋体" w:eastAsia="宋体" w:cs="宋体"/>
          <w:color w:val="auto"/>
          <w:szCs w:val="28"/>
        </w:rPr>
        <w:t>年，计划开采时间为2024年</w:t>
      </w:r>
      <w:r>
        <w:rPr>
          <w:rFonts w:hint="eastAsia" w:ascii="宋体" w:hAnsi="宋体" w:eastAsia="宋体" w:cs="宋体"/>
          <w:color w:val="auto"/>
          <w:szCs w:val="28"/>
          <w:lang w:val="en-US" w:eastAsia="zh-CN"/>
        </w:rPr>
        <w:t>1</w:t>
      </w:r>
      <w:r>
        <w:rPr>
          <w:rFonts w:hint="eastAsia" w:ascii="宋体" w:hAnsi="宋体" w:eastAsia="宋体" w:cs="宋体"/>
          <w:color w:val="auto"/>
          <w:szCs w:val="28"/>
        </w:rPr>
        <w:t>月-202</w:t>
      </w:r>
      <w:r>
        <w:rPr>
          <w:rFonts w:hint="eastAsia" w:ascii="宋体" w:hAnsi="宋体" w:eastAsia="宋体" w:cs="宋体"/>
          <w:color w:val="auto"/>
          <w:szCs w:val="28"/>
          <w:lang w:val="en-US" w:eastAsia="zh-CN"/>
        </w:rPr>
        <w:t>5</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12</w:t>
      </w:r>
      <w:r>
        <w:rPr>
          <w:rFonts w:hint="eastAsia" w:ascii="宋体" w:hAnsi="宋体" w:eastAsia="宋体" w:cs="宋体"/>
          <w:color w:val="auto"/>
          <w:szCs w:val="28"/>
        </w:rPr>
        <w:t>月，土地复垦工作须在矿体闭坑后进行，计划施工期0.</w:t>
      </w:r>
      <w:r>
        <w:rPr>
          <w:rFonts w:ascii="宋体" w:hAnsi="宋体" w:eastAsia="宋体" w:cs="宋体"/>
          <w:color w:val="auto"/>
          <w:szCs w:val="28"/>
        </w:rPr>
        <w:t>25</w:t>
      </w:r>
      <w:r>
        <w:rPr>
          <w:rFonts w:hint="eastAsia" w:ascii="宋体" w:hAnsi="宋体" w:eastAsia="宋体" w:cs="宋体"/>
          <w:color w:val="auto"/>
          <w:szCs w:val="28"/>
        </w:rPr>
        <w:t>年，计划复垦时间为202</w:t>
      </w:r>
      <w:r>
        <w:rPr>
          <w:rFonts w:ascii="宋体" w:hAnsi="宋体" w:eastAsia="宋体" w:cs="宋体"/>
          <w:color w:val="auto"/>
          <w:szCs w:val="28"/>
        </w:rPr>
        <w:t>6</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1</w:t>
      </w:r>
      <w:r>
        <w:rPr>
          <w:rFonts w:hint="eastAsia" w:ascii="宋体" w:hAnsi="宋体" w:eastAsia="宋体" w:cs="宋体"/>
          <w:color w:val="auto"/>
          <w:szCs w:val="28"/>
        </w:rPr>
        <w:t>月-202</w:t>
      </w:r>
      <w:r>
        <w:rPr>
          <w:rFonts w:ascii="宋体" w:hAnsi="宋体" w:eastAsia="宋体" w:cs="宋体"/>
          <w:color w:val="auto"/>
          <w:szCs w:val="28"/>
        </w:rPr>
        <w:t>6</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3</w:t>
      </w:r>
      <w:r>
        <w:rPr>
          <w:rFonts w:hint="eastAsia" w:ascii="宋体" w:hAnsi="宋体" w:eastAsia="宋体" w:cs="宋体"/>
          <w:color w:val="auto"/>
          <w:szCs w:val="28"/>
        </w:rPr>
        <w:t>月。因此矿山从开采到闭坑后土地复垦工作结束共用时约</w:t>
      </w:r>
      <w:r>
        <w:rPr>
          <w:rFonts w:ascii="宋体" w:hAnsi="宋体" w:eastAsia="宋体" w:cs="宋体"/>
          <w:color w:val="auto"/>
          <w:szCs w:val="28"/>
        </w:rPr>
        <w:t>2.25</w:t>
      </w:r>
      <w:r>
        <w:rPr>
          <w:rFonts w:hint="eastAsia" w:ascii="宋体" w:hAnsi="宋体" w:eastAsia="宋体" w:cs="宋体"/>
          <w:color w:val="auto"/>
          <w:szCs w:val="28"/>
        </w:rPr>
        <w:t>年，即2024年</w:t>
      </w:r>
      <w:r>
        <w:rPr>
          <w:rFonts w:hint="eastAsia" w:ascii="宋体" w:hAnsi="宋体" w:eastAsia="宋体" w:cs="宋体"/>
          <w:color w:val="auto"/>
          <w:szCs w:val="28"/>
          <w:lang w:val="en-US" w:eastAsia="zh-CN"/>
        </w:rPr>
        <w:t>1</w:t>
      </w:r>
      <w:r>
        <w:rPr>
          <w:rFonts w:hint="eastAsia" w:ascii="宋体" w:hAnsi="宋体" w:eastAsia="宋体" w:cs="宋体"/>
          <w:color w:val="auto"/>
          <w:szCs w:val="28"/>
        </w:rPr>
        <w:t>月-202</w:t>
      </w:r>
      <w:r>
        <w:rPr>
          <w:rFonts w:ascii="宋体" w:hAnsi="宋体" w:eastAsia="宋体" w:cs="宋体"/>
          <w:color w:val="auto"/>
          <w:szCs w:val="28"/>
        </w:rPr>
        <w:t>6</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3</w:t>
      </w:r>
      <w:r>
        <w:rPr>
          <w:rFonts w:hint="eastAsia" w:ascii="宋体" w:hAnsi="宋体" w:eastAsia="宋体" w:cs="宋体"/>
          <w:color w:val="auto"/>
          <w:szCs w:val="28"/>
        </w:rPr>
        <w:t>月。</w:t>
      </w:r>
    </w:p>
    <w:p>
      <w:pPr>
        <w:ind w:firstLine="560"/>
        <w:rPr>
          <w:rFonts w:ascii="宋体" w:hAnsi="宋体" w:eastAsia="宋体" w:cs="宋体"/>
          <w:color w:val="auto"/>
          <w:szCs w:val="28"/>
        </w:rPr>
      </w:pPr>
      <w:r>
        <w:rPr>
          <w:rFonts w:ascii="宋体" w:hAnsi="宋体" w:eastAsia="宋体" w:cs="宋体"/>
          <w:color w:val="auto"/>
          <w:szCs w:val="28"/>
        </w:rPr>
        <w:t>8</w:t>
      </w:r>
      <w:r>
        <w:rPr>
          <w:rFonts w:hint="eastAsia" w:ascii="宋体" w:hAnsi="宋体" w:eastAsia="宋体" w:cs="宋体"/>
          <w:color w:val="auto"/>
          <w:szCs w:val="28"/>
        </w:rPr>
        <w:t>、土地复垦阶段工作安排</w:t>
      </w:r>
    </w:p>
    <w:p>
      <w:pPr>
        <w:ind w:firstLine="560"/>
        <w:rPr>
          <w:rFonts w:ascii="宋体" w:hAnsi="宋体" w:eastAsia="宋体" w:cs="宋体"/>
          <w:color w:val="auto"/>
          <w:szCs w:val="28"/>
        </w:rPr>
      </w:pPr>
      <w:r>
        <w:rPr>
          <w:rFonts w:ascii="宋体" w:hAnsi="宋体" w:eastAsia="宋体" w:cs="宋体"/>
          <w:color w:val="auto"/>
          <w:szCs w:val="28"/>
        </w:rPr>
        <w:t>矿山生产期</w:t>
      </w:r>
      <w:r>
        <w:rPr>
          <w:rFonts w:hint="eastAsia" w:ascii="宋体" w:hAnsi="宋体" w:eastAsia="宋体" w:cs="宋体"/>
          <w:color w:val="auto"/>
          <w:szCs w:val="28"/>
        </w:rPr>
        <w:t>主要进行土地损毁</w:t>
      </w:r>
      <w:r>
        <w:rPr>
          <w:rFonts w:ascii="宋体" w:hAnsi="宋体" w:eastAsia="宋体" w:cs="宋体"/>
          <w:color w:val="auto"/>
          <w:szCs w:val="28"/>
        </w:rPr>
        <w:t>监测</w:t>
      </w:r>
      <w:r>
        <w:rPr>
          <w:rFonts w:hint="eastAsia" w:ascii="宋体" w:hAnsi="宋体" w:eastAsia="宋体" w:cs="宋体"/>
          <w:color w:val="auto"/>
          <w:szCs w:val="28"/>
        </w:rPr>
        <w:t>和土地复垦效果监测</w:t>
      </w:r>
      <w:r>
        <w:rPr>
          <w:rFonts w:ascii="宋体" w:hAnsi="宋体" w:eastAsia="宋体" w:cs="宋体"/>
          <w:color w:val="auto"/>
          <w:szCs w:val="28"/>
        </w:rPr>
        <w:t>，</w:t>
      </w:r>
      <w:r>
        <w:rPr>
          <w:rFonts w:hint="eastAsia" w:ascii="宋体" w:hAnsi="宋体" w:eastAsia="宋体" w:cs="宋体"/>
          <w:color w:val="auto"/>
          <w:szCs w:val="28"/>
        </w:rPr>
        <w:t>待</w:t>
      </w:r>
      <w:r>
        <w:rPr>
          <w:rFonts w:ascii="宋体" w:hAnsi="宋体" w:eastAsia="宋体" w:cs="宋体"/>
          <w:color w:val="auto"/>
          <w:szCs w:val="28"/>
        </w:rPr>
        <w:t>矿山闭矿后立即全面开展土地复垦工</w:t>
      </w:r>
      <w:r>
        <w:rPr>
          <w:rFonts w:hint="eastAsia" w:ascii="宋体" w:hAnsi="宋体" w:eastAsia="宋体" w:cs="宋体"/>
          <w:color w:val="auto"/>
          <w:szCs w:val="28"/>
        </w:rPr>
        <w:t>程。</w:t>
      </w:r>
      <w:bookmarkStart w:id="13" w:name="_Hlk84521096"/>
      <w:r>
        <w:rPr>
          <w:rFonts w:hint="eastAsia" w:ascii="宋体" w:hAnsi="宋体" w:eastAsia="宋体" w:cs="宋体"/>
          <w:color w:val="auto"/>
          <w:szCs w:val="28"/>
        </w:rPr>
        <w:t>按照轻重缓急、分阶段实施的原则，将矿山土地复垦工作划分为近期</w:t>
      </w:r>
      <w:r>
        <w:rPr>
          <w:rFonts w:ascii="宋体" w:hAnsi="宋体" w:eastAsia="宋体" w:cs="宋体"/>
          <w:color w:val="auto"/>
          <w:szCs w:val="28"/>
        </w:rPr>
        <w:t>2.25</w:t>
      </w:r>
      <w:r>
        <w:rPr>
          <w:rFonts w:hint="eastAsia" w:ascii="宋体" w:hAnsi="宋体" w:eastAsia="宋体" w:cs="宋体"/>
          <w:color w:val="auto"/>
          <w:szCs w:val="28"/>
        </w:rPr>
        <w:t>年（2024年</w:t>
      </w:r>
      <w:r>
        <w:rPr>
          <w:rFonts w:hint="eastAsia" w:ascii="宋体" w:hAnsi="宋体" w:eastAsia="宋体" w:cs="宋体"/>
          <w:color w:val="auto"/>
          <w:szCs w:val="28"/>
          <w:lang w:val="en-US" w:eastAsia="zh-CN"/>
        </w:rPr>
        <w:t>1</w:t>
      </w:r>
      <w:r>
        <w:rPr>
          <w:rFonts w:hint="eastAsia" w:ascii="宋体" w:hAnsi="宋体" w:eastAsia="宋体" w:cs="宋体"/>
          <w:color w:val="auto"/>
          <w:szCs w:val="28"/>
        </w:rPr>
        <w:t>月-202</w:t>
      </w:r>
      <w:r>
        <w:rPr>
          <w:rFonts w:hint="eastAsia" w:ascii="宋体" w:hAnsi="宋体" w:eastAsia="宋体" w:cs="宋体"/>
          <w:color w:val="auto"/>
          <w:szCs w:val="28"/>
          <w:lang w:val="en-US" w:eastAsia="zh-CN"/>
        </w:rPr>
        <w:t>5</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12</w:t>
      </w:r>
      <w:r>
        <w:rPr>
          <w:rFonts w:hint="eastAsia" w:ascii="宋体" w:hAnsi="宋体" w:eastAsia="宋体" w:cs="宋体"/>
          <w:color w:val="auto"/>
          <w:szCs w:val="28"/>
        </w:rPr>
        <w:t>月）一个阶段。</w:t>
      </w:r>
      <w:bookmarkEnd w:id="13"/>
      <w:r>
        <w:rPr>
          <w:rFonts w:hint="eastAsia" w:ascii="宋体" w:hAnsi="宋体" w:eastAsia="宋体" w:cs="宋体"/>
          <w:color w:val="auto"/>
          <w:szCs w:val="28"/>
        </w:rPr>
        <w:t>202</w:t>
      </w:r>
      <w:r>
        <w:rPr>
          <w:rFonts w:ascii="宋体" w:hAnsi="宋体" w:eastAsia="宋体" w:cs="宋体"/>
          <w:color w:val="auto"/>
          <w:szCs w:val="28"/>
        </w:rPr>
        <w:t>6</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1</w:t>
      </w:r>
      <w:r>
        <w:rPr>
          <w:rFonts w:hint="eastAsia" w:ascii="宋体" w:hAnsi="宋体" w:eastAsia="宋体" w:cs="宋体"/>
          <w:color w:val="auto"/>
          <w:szCs w:val="28"/>
        </w:rPr>
        <w:t>月-202</w:t>
      </w:r>
      <w:r>
        <w:rPr>
          <w:rFonts w:ascii="宋体" w:hAnsi="宋体" w:eastAsia="宋体" w:cs="宋体"/>
          <w:color w:val="auto"/>
          <w:szCs w:val="28"/>
        </w:rPr>
        <w:t>6</w:t>
      </w:r>
      <w:r>
        <w:rPr>
          <w:rFonts w:hint="eastAsia" w:ascii="宋体" w:hAnsi="宋体" w:eastAsia="宋体" w:cs="宋体"/>
          <w:color w:val="auto"/>
          <w:szCs w:val="28"/>
        </w:rPr>
        <w:t>年</w:t>
      </w:r>
      <w:r>
        <w:rPr>
          <w:rFonts w:hint="eastAsia" w:ascii="宋体" w:hAnsi="宋体" w:eastAsia="宋体" w:cs="宋体"/>
          <w:color w:val="auto"/>
          <w:szCs w:val="28"/>
          <w:lang w:val="en-US" w:eastAsia="zh-CN"/>
        </w:rPr>
        <w:t>3</w:t>
      </w:r>
      <w:r>
        <w:rPr>
          <w:rFonts w:hint="eastAsia" w:ascii="宋体" w:hAnsi="宋体" w:eastAsia="宋体" w:cs="宋体"/>
          <w:color w:val="auto"/>
          <w:szCs w:val="28"/>
        </w:rPr>
        <w:t>月（土地复垦期）闭坑后规划露天采场边坡控制在30°以下，并进行土地平整，避免形成局部凸起或凹陷，有效控制水土流失，与周边地形地貌相协调；规划办公生活区建筑物拆除，废弃物拉运至新星市建筑垃圾填埋场填埋，并进行土地平整，避免形成局部凸起或凹陷，有效控制水土流失，与周边地形地貌相协调；对矿山道路表部进行削高填低平整，基本做到与周边地形地貌相协调。</w:t>
      </w:r>
    </w:p>
    <w:p>
      <w:pPr>
        <w:ind w:firstLine="562"/>
        <w:outlineLvl w:val="0"/>
        <w:rPr>
          <w:rFonts w:ascii="宋体" w:hAnsi="宋体" w:eastAsia="宋体" w:cs="宋体"/>
          <w:b/>
          <w:bCs/>
          <w:color w:val="auto"/>
          <w:szCs w:val="28"/>
        </w:rPr>
      </w:pPr>
      <w:r>
        <w:rPr>
          <w:rFonts w:hint="eastAsia" w:ascii="宋体" w:hAnsi="宋体" w:eastAsia="宋体" w:cs="宋体"/>
          <w:b/>
          <w:bCs/>
          <w:color w:val="auto"/>
          <w:szCs w:val="28"/>
        </w:rPr>
        <w:t>九、技术经济指标</w:t>
      </w:r>
    </w:p>
    <w:p>
      <w:pPr>
        <w:ind w:firstLine="560"/>
        <w:rPr>
          <w:rFonts w:hint="eastAsia" w:ascii="宋体" w:hAnsi="宋体" w:eastAsia="宋体" w:cs="宋体"/>
          <w:color w:val="auto"/>
          <w:szCs w:val="28"/>
        </w:rPr>
      </w:pPr>
      <w:r>
        <w:rPr>
          <w:rFonts w:hint="eastAsia" w:ascii="宋体" w:hAnsi="宋体" w:eastAsia="宋体" w:cs="宋体"/>
          <w:color w:val="auto"/>
          <w:szCs w:val="28"/>
        </w:rPr>
        <w:t>项目总投资为1457.65万元，从上述各项经济指标来看，矿山每年税后利润829.16万元，投资回收期为1.76年，投资利润率56.88％。矿山服务年限为2年，矿山投资回收期1.76年，投资收回后有0.24年的盈利期，回本后有0.24×829.16=199.00万元的盈利能力。</w:t>
      </w:r>
    </w:p>
    <w:p>
      <w:pPr>
        <w:ind w:firstLine="560"/>
        <w:rPr>
          <w:rFonts w:ascii="宋体" w:hAnsi="宋体" w:eastAsia="宋体" w:cs="宋体"/>
          <w:color w:val="auto"/>
          <w:szCs w:val="28"/>
        </w:rPr>
      </w:pPr>
      <w:r>
        <w:rPr>
          <w:rFonts w:hint="eastAsia" w:ascii="宋体" w:hAnsi="宋体" w:eastAsia="宋体" w:cs="宋体"/>
          <w:color w:val="auto"/>
          <w:szCs w:val="28"/>
        </w:rPr>
        <w:t>项目的财务计算与分析表明，该项目具有可观的盈利能力，在财务上是可行的。</w:t>
      </w:r>
    </w:p>
    <w:p>
      <w:pPr>
        <w:ind w:firstLine="560"/>
        <w:rPr>
          <w:rFonts w:ascii="宋体" w:hAnsi="宋体" w:eastAsia="宋体" w:cs="宋体"/>
          <w:color w:val="auto"/>
          <w:szCs w:val="28"/>
        </w:rPr>
      </w:pPr>
      <w:r>
        <w:rPr>
          <w:rFonts w:hint="eastAsia" w:ascii="宋体" w:hAnsi="宋体" w:eastAsia="宋体" w:cs="宋体"/>
          <w:color w:val="auto"/>
          <w:szCs w:val="28"/>
        </w:rPr>
        <w:t>矿山地质环境治理工程和土地复垦工程经费估算，本方案地质环境治理工程静态总投资28.36万元，土地复垦工程静态总投资36.56万元，矿山地质环境治理和土地复垦工程静态总投资64.92万元，矿山地质环境治理和土地复垦工程动态总投资67.64万元。</w:t>
      </w:r>
    </w:p>
    <w:p>
      <w:pPr>
        <w:ind w:firstLine="562"/>
        <w:outlineLvl w:val="0"/>
        <w:rPr>
          <w:rFonts w:ascii="宋体" w:hAnsi="宋体" w:eastAsia="宋体" w:cs="宋体"/>
          <w:b/>
          <w:bCs/>
          <w:color w:val="auto"/>
          <w:szCs w:val="28"/>
        </w:rPr>
      </w:pPr>
      <w:r>
        <w:rPr>
          <w:rFonts w:hint="eastAsia" w:ascii="宋体" w:hAnsi="宋体" w:eastAsia="宋体" w:cs="宋体"/>
          <w:b/>
          <w:bCs/>
          <w:color w:val="auto"/>
          <w:szCs w:val="28"/>
        </w:rPr>
        <w:t>十、存在的问题及建议</w:t>
      </w:r>
    </w:p>
    <w:p>
      <w:pPr>
        <w:ind w:firstLine="560"/>
        <w:rPr>
          <w:rFonts w:ascii="宋体" w:hAnsi="宋体"/>
          <w:color w:val="auto"/>
        </w:rPr>
      </w:pPr>
      <w:r>
        <w:rPr>
          <w:rFonts w:hint="eastAsia" w:ascii="宋体" w:hAnsi="宋体"/>
          <w:color w:val="auto"/>
        </w:rPr>
        <w:t>1、矿山开采过程中，应采取切实有效的措施，最大限度地减少矿产资源开发对矿山地质环境的影响和破坏，真正做到“在开发中保护、在保护中开发”，促进采矿活动健康发展。</w:t>
      </w:r>
    </w:p>
    <w:p>
      <w:pPr>
        <w:ind w:firstLine="560"/>
        <w:rPr>
          <w:rFonts w:ascii="宋体" w:hAnsi="宋体"/>
          <w:color w:val="auto"/>
        </w:rPr>
      </w:pPr>
      <w:r>
        <w:rPr>
          <w:rFonts w:hint="eastAsia" w:ascii="宋体" w:hAnsi="宋体"/>
          <w:color w:val="auto"/>
        </w:rPr>
        <w:t>2、矿山在开采过程中，应设专门机构加强矿山地质环境监测，发现地质灾害迹象或地质环境问题应及时上报，有关部门应及时处理。</w:t>
      </w:r>
    </w:p>
    <w:p>
      <w:pPr>
        <w:ind w:firstLine="560"/>
        <w:rPr>
          <w:rFonts w:ascii="宋体" w:hAnsi="宋体"/>
          <w:color w:val="auto"/>
        </w:rPr>
      </w:pPr>
      <w:r>
        <w:rPr>
          <w:rFonts w:hint="eastAsia" w:ascii="宋体" w:hAnsi="宋体"/>
          <w:color w:val="auto"/>
        </w:rPr>
        <w:t>3、矿山生产过程中，应严格执行国家现行的矿山安全生产规范、规程、规定和标准，确保矿山建设和生产的安全。</w:t>
      </w:r>
    </w:p>
    <w:p>
      <w:pPr>
        <w:ind w:firstLine="560"/>
        <w:rPr>
          <w:rFonts w:ascii="宋体" w:hAnsi="宋体"/>
          <w:color w:val="auto"/>
        </w:rPr>
      </w:pPr>
      <w:r>
        <w:rPr>
          <w:rFonts w:hint="eastAsia" w:ascii="宋体" w:hAnsi="宋体"/>
          <w:color w:val="auto"/>
        </w:rPr>
        <w:t>4、开展水质的影响监测研究；矿山地质环境治理与土地复垦以恢复原土地使用属性为主。</w:t>
      </w:r>
    </w:p>
    <w:p>
      <w:pPr>
        <w:ind w:firstLine="560"/>
        <w:rPr>
          <w:rFonts w:ascii="宋体" w:hAnsi="宋体"/>
          <w:color w:val="auto"/>
        </w:rPr>
      </w:pPr>
      <w:r>
        <w:rPr>
          <w:rFonts w:hint="eastAsia" w:ascii="宋体" w:hAnsi="宋体"/>
          <w:color w:val="auto"/>
        </w:rPr>
        <w:t>5、加强矿山地质环境保护与土地复垦的管理及监督工作。</w:t>
      </w:r>
    </w:p>
    <w:p>
      <w:pPr>
        <w:ind w:firstLine="560"/>
        <w:rPr>
          <w:rFonts w:ascii="宋体" w:hAnsi="宋体"/>
          <w:color w:val="auto"/>
        </w:rPr>
      </w:pPr>
      <w:r>
        <w:rPr>
          <w:rFonts w:hint="eastAsia" w:ascii="宋体" w:hAnsi="宋体"/>
          <w:color w:val="auto"/>
        </w:rPr>
        <w:t>6、编制应急预案，发生重大事故时立即启动相应的应急预案，做到防患于未然。</w:t>
      </w:r>
    </w:p>
    <w:p>
      <w:pPr>
        <w:ind w:firstLine="560"/>
        <w:rPr>
          <w:rFonts w:ascii="宋体" w:hAnsi="宋体"/>
          <w:color w:val="auto"/>
        </w:rPr>
      </w:pPr>
      <w:r>
        <w:rPr>
          <w:rFonts w:hint="eastAsia" w:ascii="宋体" w:hAnsi="宋体"/>
          <w:color w:val="auto"/>
        </w:rPr>
        <w:t>7、本方案不替代矿山建设各阶段的工程地质勘察或有关的评估工作，不替代矿山地质环境治理和土地复垦设计等。</w:t>
      </w:r>
      <w:r>
        <w:rPr>
          <w:rFonts w:ascii="宋体" w:hAnsi="宋体"/>
          <w:color w:val="auto"/>
        </w:rPr>
        <w:t>建议</w:t>
      </w:r>
      <w:r>
        <w:rPr>
          <w:rFonts w:hint="eastAsia" w:ascii="宋体" w:hAnsi="宋体"/>
          <w:color w:val="auto"/>
        </w:rPr>
        <w:t>矿山企业在进行矿山地质环境治理和土地复垦时，应委托有资质相关单位进行专项工程勘察、设计</w:t>
      </w:r>
      <w:r>
        <w:rPr>
          <w:rFonts w:ascii="宋体" w:hAnsi="宋体"/>
          <w:color w:val="auto"/>
        </w:rPr>
        <w:t>。</w:t>
      </w:r>
    </w:p>
    <w:p>
      <w:pPr>
        <w:ind w:firstLine="560"/>
        <w:rPr>
          <w:rFonts w:ascii="宋体" w:hAnsi="宋体"/>
          <w:color w:val="auto"/>
        </w:rPr>
      </w:pPr>
      <w:r>
        <w:rPr>
          <w:rFonts w:hint="eastAsia" w:ascii="宋体" w:hAnsi="宋体"/>
          <w:color w:val="auto"/>
        </w:rPr>
        <w:t>8</w:t>
      </w:r>
      <w:r>
        <w:rPr>
          <w:rFonts w:ascii="宋体" w:hAnsi="宋体"/>
          <w:color w:val="auto"/>
        </w:rPr>
        <w:t>、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pPr>
        <w:ind w:firstLine="560"/>
        <w:rPr>
          <w:rFonts w:ascii="宋体" w:hAnsi="宋体" w:eastAsiaTheme="minorEastAsia"/>
          <w:color w:val="auto"/>
        </w:rPr>
      </w:pPr>
      <w:r>
        <w:rPr>
          <w:rFonts w:hint="eastAsia" w:ascii="宋体" w:hAnsi="宋体"/>
          <w:color w:val="auto"/>
        </w:rPr>
        <w:t>9</w:t>
      </w:r>
      <w:r>
        <w:rPr>
          <w:rFonts w:ascii="宋体" w:hAnsi="宋体"/>
          <w:color w:val="auto"/>
        </w:rPr>
        <w:t>、</w:t>
      </w:r>
      <w:r>
        <w:rPr>
          <w:rFonts w:hint="eastAsia" w:ascii="宋体" w:hAnsi="宋体"/>
          <w:color w:val="auto"/>
        </w:rPr>
        <w:t>矿山企业</w:t>
      </w:r>
      <w:r>
        <w:rPr>
          <w:rFonts w:ascii="宋体" w:hAnsi="宋体"/>
          <w:color w:val="auto"/>
        </w:rPr>
        <w:t>将按本方案要求，认真组织落实，配合当地行政主管部门，做好方案实施的监理、监测和监督工作，严格执行工程监理制度，对各类措施的实施进度、质量和资金使用情况进行监督管理，以保证工程质量。</w:t>
      </w:r>
    </w:p>
    <w:p>
      <w:pPr>
        <w:pStyle w:val="2"/>
        <w:ind w:left="560"/>
        <w:rPr>
          <w:rFonts w:eastAsiaTheme="minorEastAsia"/>
          <w:color w:val="auto"/>
        </w:rPr>
      </w:pPr>
    </w:p>
    <w:p>
      <w:pPr>
        <w:pStyle w:val="16"/>
        <w:rPr>
          <w:color w:val="auto"/>
        </w:rPr>
      </w:pPr>
    </w:p>
    <w:p>
      <w:pPr>
        <w:ind w:firstLine="560"/>
        <w:rPr>
          <w:rFonts w:eastAsiaTheme="minorEastAsia"/>
          <w:color w:val="auto"/>
        </w:rPr>
      </w:pPr>
    </w:p>
    <w:p>
      <w:pPr>
        <w:pStyle w:val="2"/>
        <w:ind w:left="560"/>
        <w:rPr>
          <w:rFonts w:eastAsiaTheme="minorEastAsia"/>
          <w:color w:val="auto"/>
        </w:rPr>
      </w:pPr>
    </w:p>
    <w:p>
      <w:pPr>
        <w:pStyle w:val="16"/>
        <w:rPr>
          <w:color w:val="auto"/>
        </w:rPr>
      </w:pPr>
    </w:p>
    <w:p>
      <w:pPr>
        <w:ind w:firstLine="560"/>
        <w:rPr>
          <w:rFonts w:eastAsiaTheme="minorEastAsia"/>
          <w:color w:val="auto"/>
        </w:rPr>
      </w:pPr>
    </w:p>
    <w:p>
      <w:pPr>
        <w:pStyle w:val="2"/>
        <w:ind w:left="560"/>
        <w:rPr>
          <w:rFonts w:eastAsiaTheme="minorEastAsia"/>
          <w:color w:val="auto"/>
        </w:rPr>
      </w:pPr>
    </w:p>
    <w:p>
      <w:pPr>
        <w:pStyle w:val="16"/>
        <w:rPr>
          <w:color w:val="auto"/>
        </w:rPr>
      </w:pPr>
    </w:p>
    <w:p>
      <w:pPr>
        <w:ind w:firstLine="560"/>
        <w:rPr>
          <w:rFonts w:hint="eastAsia" w:eastAsiaTheme="minorEastAsia"/>
          <w:color w:val="auto"/>
        </w:rPr>
      </w:pPr>
    </w:p>
    <w:p>
      <w:pPr>
        <w:ind w:firstLine="560"/>
        <w:rPr>
          <w:rFonts w:ascii="宋体" w:hAnsi="宋体" w:eastAsia="宋体" w:cs="宋体"/>
          <w:color w:val="auto"/>
          <w:szCs w:val="28"/>
        </w:rPr>
      </w:pPr>
      <w:r>
        <w:rPr>
          <w:rFonts w:hint="eastAsia" w:ascii="宋体" w:hAnsi="宋体" w:eastAsia="宋体" w:cs="宋体"/>
          <w:color w:val="auto"/>
          <w:szCs w:val="28"/>
        </w:rPr>
        <w:t>附件：《新疆交投资源开发有限责任公司新疆哈密市</w:t>
      </w:r>
      <w:r>
        <w:rPr>
          <w:rFonts w:hint="eastAsia" w:ascii="宋体" w:hAnsi="宋体" w:eastAsia="宋体" w:cs="宋体"/>
          <w:color w:val="auto"/>
          <w:szCs w:val="28"/>
          <w:lang w:eastAsia="zh-CN"/>
        </w:rPr>
        <w:t>伊州区一碗泉砂石矿</w:t>
      </w:r>
      <w:r>
        <w:rPr>
          <w:rFonts w:hint="eastAsia" w:ascii="宋体" w:hAnsi="宋体" w:eastAsia="宋体" w:cs="宋体"/>
          <w:color w:val="auto"/>
          <w:szCs w:val="28"/>
        </w:rPr>
        <w:t>矿产资源开发利用与生态保护修复方案》评审专家组名单</w:t>
      </w:r>
    </w:p>
    <w:p>
      <w:pPr>
        <w:ind w:firstLine="3500" w:firstLineChars="1250"/>
        <w:rPr>
          <w:rFonts w:ascii="宋体" w:hAnsi="宋体" w:eastAsia="宋体" w:cs="宋体"/>
          <w:color w:val="auto"/>
          <w:szCs w:val="28"/>
        </w:rPr>
        <w:sectPr>
          <w:footerReference r:id="rId13" w:type="default"/>
          <w:pgSz w:w="11907" w:h="16839"/>
          <w:pgMar w:top="1421" w:right="1414" w:bottom="1341" w:left="1428" w:header="0" w:footer="624" w:gutter="0"/>
          <w:pgNumType w:start="1"/>
          <w:cols w:space="720" w:num="1"/>
          <w:docGrid w:linePitch="381" w:charSpace="0"/>
        </w:sectPr>
      </w:pPr>
    </w:p>
    <w:p>
      <w:pPr>
        <w:ind w:left="0" w:leftChars="0" w:firstLine="0" w:firstLineChars="0"/>
        <w:jc w:val="center"/>
        <w:rPr>
          <w:rFonts w:ascii="宋体" w:hAnsi="宋体" w:eastAsia="宋体" w:cs="宋体"/>
          <w:color w:val="auto"/>
          <w:szCs w:val="28"/>
        </w:rPr>
      </w:pPr>
      <w:r>
        <w:rPr>
          <w:rFonts w:hint="eastAsia" w:ascii="宋体" w:hAnsi="宋体" w:eastAsia="宋体" w:cs="宋体"/>
          <w:color w:val="auto"/>
          <w:szCs w:val="28"/>
        </w:rPr>
        <w:t>新疆交投资源开发有限责任公司新疆哈密市伊州区一碗泉砂石矿矿产资源开发利用与生态保护修复方案》评审专家组成员名单</w:t>
      </w:r>
    </w:p>
    <w:tbl>
      <w:tblPr>
        <w:tblStyle w:val="17"/>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2140"/>
        <w:gridCol w:w="1900"/>
        <w:gridCol w:w="208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姓  名</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专家组成员</w:t>
            </w:r>
          </w:p>
        </w:tc>
        <w:tc>
          <w:tcPr>
            <w:tcW w:w="190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专  业</w:t>
            </w:r>
          </w:p>
        </w:tc>
        <w:tc>
          <w:tcPr>
            <w:tcW w:w="208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drawing>
                <wp:anchor distT="0" distB="0" distL="114300" distR="114300" simplePos="0" relativeHeight="251659264" behindDoc="1" locked="0" layoutInCell="1" allowOverlap="1">
                  <wp:simplePos x="0" y="0"/>
                  <wp:positionH relativeFrom="column">
                    <wp:posOffset>1129665</wp:posOffset>
                  </wp:positionH>
                  <wp:positionV relativeFrom="paragraph">
                    <wp:posOffset>367665</wp:posOffset>
                  </wp:positionV>
                  <wp:extent cx="1114425" cy="552450"/>
                  <wp:effectExtent l="0" t="0" r="9525" b="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rcRect l="18336" t="25271" r="38957" b="26741"/>
                          <a:stretch>
                            <a:fillRect/>
                          </a:stretch>
                        </pic:blipFill>
                        <pic:spPr>
                          <a:xfrm>
                            <a:off x="0" y="0"/>
                            <a:ext cx="1114425" cy="552450"/>
                          </a:xfrm>
                          <a:prstGeom prst="rect">
                            <a:avLst/>
                          </a:prstGeom>
                          <a:noFill/>
                          <a:ln>
                            <a:noFill/>
                          </a:ln>
                        </pic:spPr>
                      </pic:pic>
                    </a:graphicData>
                  </a:graphic>
                </wp:anchor>
              </w:drawing>
            </w:r>
            <w:r>
              <w:rPr>
                <w:rFonts w:hint="eastAsia" w:ascii="宋体" w:hAnsi="宋体" w:eastAsia="宋体" w:cs="宋体"/>
                <w:snapToGrid/>
                <w:color w:val="auto"/>
                <w:kern w:val="2"/>
                <w:sz w:val="24"/>
                <w:szCs w:val="24"/>
              </w:rPr>
              <w:t>技术职称</w:t>
            </w:r>
          </w:p>
        </w:tc>
        <w:tc>
          <w:tcPr>
            <w:tcW w:w="1673"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卢东亚</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主审专家</w:t>
            </w:r>
          </w:p>
        </w:tc>
        <w:tc>
          <w:tcPr>
            <w:tcW w:w="190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采矿工程</w:t>
            </w:r>
          </w:p>
        </w:tc>
        <w:tc>
          <w:tcPr>
            <w:tcW w:w="208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高级工程师</w:t>
            </w:r>
          </w:p>
        </w:tc>
        <w:tc>
          <w:tcPr>
            <w:tcW w:w="1673"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吴煜</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评审专家</w:t>
            </w:r>
          </w:p>
        </w:tc>
        <w:tc>
          <w:tcPr>
            <w:tcW w:w="190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地质矿产</w:t>
            </w:r>
          </w:p>
        </w:tc>
        <w:tc>
          <w:tcPr>
            <w:tcW w:w="208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教授级高工</w:t>
            </w:r>
          </w:p>
        </w:tc>
        <w:tc>
          <w:tcPr>
            <w:tcW w:w="1673"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rPr>
            </w:pP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张大志</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评审专家</w:t>
            </w:r>
          </w:p>
        </w:tc>
        <w:tc>
          <w:tcPr>
            <w:tcW w:w="1900"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水工环</w:t>
            </w:r>
          </w:p>
        </w:tc>
        <w:tc>
          <w:tcPr>
            <w:tcW w:w="208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高级工程师</w:t>
            </w:r>
          </w:p>
        </w:tc>
        <w:tc>
          <w:tcPr>
            <w:tcW w:w="1673"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宋利睿</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评审专家</w:t>
            </w:r>
          </w:p>
        </w:tc>
        <w:tc>
          <w:tcPr>
            <w:tcW w:w="1900"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地质矿产</w:t>
            </w:r>
          </w:p>
        </w:tc>
        <w:tc>
          <w:tcPr>
            <w:tcW w:w="208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高级工程师</w:t>
            </w:r>
          </w:p>
        </w:tc>
        <w:tc>
          <w:tcPr>
            <w:tcW w:w="1673"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90"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赵银鹏</w:t>
            </w:r>
          </w:p>
        </w:tc>
        <w:tc>
          <w:tcPr>
            <w:tcW w:w="2140"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评审专家</w:t>
            </w:r>
          </w:p>
        </w:tc>
        <w:tc>
          <w:tcPr>
            <w:tcW w:w="1900" w:type="dxa"/>
            <w:vAlign w:val="center"/>
          </w:tcPr>
          <w:p>
            <w:pPr>
              <w:widowControl w:val="0"/>
              <w:kinsoku/>
              <w:autoSpaceDE/>
              <w:autoSpaceDN/>
              <w:adjustRightInd/>
              <w:snapToGrid/>
              <w:ind w:firstLine="0" w:firstLineChars="0"/>
              <w:jc w:val="center"/>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经济</w:t>
            </w:r>
          </w:p>
        </w:tc>
        <w:tc>
          <w:tcPr>
            <w:tcW w:w="2080" w:type="dxa"/>
            <w:vAlign w:val="center"/>
          </w:tcPr>
          <w:p>
            <w:pPr>
              <w:widowControl w:val="0"/>
              <w:kinsoku/>
              <w:autoSpaceDE/>
              <w:autoSpaceDN/>
              <w:adjustRightInd/>
              <w:snapToGrid/>
              <w:ind w:firstLine="0" w:firstLineChars="0"/>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高级工程师</w:t>
            </w:r>
          </w:p>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p>
        </w:tc>
        <w:tc>
          <w:tcPr>
            <w:tcW w:w="1673" w:type="dxa"/>
            <w:vAlign w:val="center"/>
          </w:tcPr>
          <w:p>
            <w:pPr>
              <w:widowControl w:val="0"/>
              <w:kinsoku/>
              <w:autoSpaceDE/>
              <w:autoSpaceDN/>
              <w:adjustRightInd/>
              <w:snapToGrid/>
              <w:ind w:firstLine="0" w:firstLineChars="0"/>
              <w:jc w:val="center"/>
              <w:textAlignment w:val="auto"/>
              <w:rPr>
                <w:rFonts w:ascii="宋体" w:hAnsi="宋体" w:eastAsia="宋体" w:cs="宋体"/>
                <w:snapToGrid/>
                <w:color w:val="auto"/>
                <w:kern w:val="2"/>
                <w:sz w:val="24"/>
                <w:szCs w:val="24"/>
              </w:rPr>
            </w:pPr>
          </w:p>
        </w:tc>
      </w:tr>
    </w:tbl>
    <w:p>
      <w:pPr>
        <w:ind w:firstLine="560"/>
        <w:rPr>
          <w:rFonts w:ascii="宋体" w:hAnsi="宋体" w:eastAsia="宋体" w:cs="宋体"/>
          <w:color w:val="auto"/>
          <w:szCs w:val="28"/>
        </w:rPr>
      </w:pPr>
    </w:p>
    <w:sectPr>
      <w:pgSz w:w="11907" w:h="16839"/>
      <w:pgMar w:top="1421" w:right="1414" w:bottom="1341" w:left="1428" w:header="0" w:footer="11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320"/>
        <w:tab w:val="clear" w:pos="4153"/>
      </w:tabs>
      <w:ind w:firstLine="360"/>
      <w:rPr>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ind w:firstLine="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Pf3UIy8AQAAoAMAAA4AAAAAAAAAAQAgAAAAHgEAAGRycy9lMm9Eb2MueG1sUEsFBgAAAAAG&#10;AAYAWQEAAEwFAAAAAA==&#10;">
              <v:fill on="f" focussize="0,0"/>
              <v:stroke on="f"/>
              <v:imagedata o:title=""/>
              <o:lock v:ext="edit" aspectratio="f"/>
              <v:textbox inset="0mm,0mm,0mm,0mm" style="mso-fit-shape-to-text:t;">
                <w:txbxContent>
                  <w:p>
                    <w:pPr>
                      <w:pStyle w:val="14"/>
                      <w:ind w:firstLine="360"/>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eastAsia="宋体"/>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320"/>
        <w:tab w:val="clear" w:pos="4153"/>
      </w:tabs>
      <w:ind w:firstLine="360"/>
      <w:rPr>
        <w:szCs w:val="28"/>
      </w:rPr>
    </w:pPr>
    <w:r>
      <w:rPr>
        <w:rFonts w:hint="eastAsia" w:eastAsia="宋体"/>
        <w:szCs w:val="2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772"/>
        <w:tab w:val="left" w:pos="5489"/>
      </w:tabs>
      <w:ind w:firstLine="360"/>
      <w:jc w:val="left"/>
      <w:rPr>
        <w:rFonts w:hint="eastAsia" w:eastAsia="宋体"/>
        <w:lang w:eastAsia="zh-CN"/>
      </w:rPr>
    </w:pPr>
    <w:r>
      <w:rPr>
        <w:rFonts w:hint="eastAsia" w:eastAsia="宋体"/>
        <w:lang w:eastAsia="zh-CN"/>
      </w:rPr>
      <w:tab/>
    </w:r>
    <w:r>
      <w:rPr>
        <w:rFonts w:hint="eastAsia" w:eastAsia="宋体"/>
        <w:lang w:eastAsia="zh-CN"/>
      </w:rPr>
      <w:tab/>
    </w:r>
    <w:r>
      <w:fldChar w:fldCharType="begin"/>
    </w:r>
    <w:r>
      <w:instrText xml:space="preserve">PAGE   \* MERGEFORMAT</w:instrText>
    </w:r>
    <w:r>
      <w:fldChar w:fldCharType="separate"/>
    </w:r>
    <w:r>
      <w:rPr>
        <w:lang w:val="zh-CN"/>
      </w:rPr>
      <w:t>17</w:t>
    </w:r>
    <w:r>
      <w:fldChar w:fldCharType="end"/>
    </w:r>
    <w:r>
      <w:rPr>
        <w:rFonts w:hint="eastAsia" w:eastAsia="宋体"/>
        <w:lang w:eastAsia="zh-CN"/>
      </w:rPr>
      <w:tab/>
    </w:r>
  </w:p>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CC3DB"/>
    <w:multiLevelType w:val="singleLevel"/>
    <w:tmpl w:val="C32CC3DB"/>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ZWYwNDIyNDYxMjQ2YjQ3ZWMyNGNjMmNiNjk3MTUifQ=="/>
  </w:docVars>
  <w:rsids>
    <w:rsidRoot w:val="00957750"/>
    <w:rsid w:val="000066C8"/>
    <w:rsid w:val="00015BC9"/>
    <w:rsid w:val="00023073"/>
    <w:rsid w:val="00034587"/>
    <w:rsid w:val="00035884"/>
    <w:rsid w:val="000620AB"/>
    <w:rsid w:val="00082A90"/>
    <w:rsid w:val="000A185B"/>
    <w:rsid w:val="000A7304"/>
    <w:rsid w:val="000B22DF"/>
    <w:rsid w:val="000C154C"/>
    <w:rsid w:val="000C3170"/>
    <w:rsid w:val="000C6249"/>
    <w:rsid w:val="000C7FF5"/>
    <w:rsid w:val="000D00C6"/>
    <w:rsid w:val="000E45E0"/>
    <w:rsid w:val="00124093"/>
    <w:rsid w:val="00143D9F"/>
    <w:rsid w:val="00166FC4"/>
    <w:rsid w:val="00190124"/>
    <w:rsid w:val="001A5546"/>
    <w:rsid w:val="001B5766"/>
    <w:rsid w:val="001B64B3"/>
    <w:rsid w:val="001B7764"/>
    <w:rsid w:val="001D00BE"/>
    <w:rsid w:val="001D025E"/>
    <w:rsid w:val="00207580"/>
    <w:rsid w:val="00224B13"/>
    <w:rsid w:val="0023670E"/>
    <w:rsid w:val="002402D9"/>
    <w:rsid w:val="0024035E"/>
    <w:rsid w:val="002623EA"/>
    <w:rsid w:val="00274FDA"/>
    <w:rsid w:val="0028634F"/>
    <w:rsid w:val="00291C9A"/>
    <w:rsid w:val="002A723F"/>
    <w:rsid w:val="002D1321"/>
    <w:rsid w:val="002E4536"/>
    <w:rsid w:val="002E572C"/>
    <w:rsid w:val="00301E65"/>
    <w:rsid w:val="0030506A"/>
    <w:rsid w:val="003342B1"/>
    <w:rsid w:val="00347C76"/>
    <w:rsid w:val="0035261C"/>
    <w:rsid w:val="0035303D"/>
    <w:rsid w:val="0039022F"/>
    <w:rsid w:val="003928B8"/>
    <w:rsid w:val="003B6C45"/>
    <w:rsid w:val="003D0107"/>
    <w:rsid w:val="003E286F"/>
    <w:rsid w:val="004004D0"/>
    <w:rsid w:val="00406132"/>
    <w:rsid w:val="00431D3D"/>
    <w:rsid w:val="004435C2"/>
    <w:rsid w:val="00465788"/>
    <w:rsid w:val="0049077C"/>
    <w:rsid w:val="004947ED"/>
    <w:rsid w:val="004B3069"/>
    <w:rsid w:val="004C105C"/>
    <w:rsid w:val="004C1975"/>
    <w:rsid w:val="004E0060"/>
    <w:rsid w:val="004E788A"/>
    <w:rsid w:val="004F07E5"/>
    <w:rsid w:val="00520092"/>
    <w:rsid w:val="005278E7"/>
    <w:rsid w:val="005324F9"/>
    <w:rsid w:val="00535DFC"/>
    <w:rsid w:val="00540599"/>
    <w:rsid w:val="00562032"/>
    <w:rsid w:val="005635AB"/>
    <w:rsid w:val="00564334"/>
    <w:rsid w:val="005647C4"/>
    <w:rsid w:val="00577448"/>
    <w:rsid w:val="005A787A"/>
    <w:rsid w:val="005B0012"/>
    <w:rsid w:val="005B12F9"/>
    <w:rsid w:val="005C6ADC"/>
    <w:rsid w:val="005E4520"/>
    <w:rsid w:val="005E479B"/>
    <w:rsid w:val="00647E01"/>
    <w:rsid w:val="00653192"/>
    <w:rsid w:val="006740E0"/>
    <w:rsid w:val="00690EC8"/>
    <w:rsid w:val="006962D4"/>
    <w:rsid w:val="006C4C10"/>
    <w:rsid w:val="006D69DD"/>
    <w:rsid w:val="006D73A5"/>
    <w:rsid w:val="006E632B"/>
    <w:rsid w:val="006F1EB5"/>
    <w:rsid w:val="006F53BD"/>
    <w:rsid w:val="00706AD2"/>
    <w:rsid w:val="00721BDD"/>
    <w:rsid w:val="007239CF"/>
    <w:rsid w:val="00733952"/>
    <w:rsid w:val="00753786"/>
    <w:rsid w:val="0076495D"/>
    <w:rsid w:val="00771592"/>
    <w:rsid w:val="0077256B"/>
    <w:rsid w:val="00785792"/>
    <w:rsid w:val="00793636"/>
    <w:rsid w:val="00793B43"/>
    <w:rsid w:val="007B3456"/>
    <w:rsid w:val="007B3DC9"/>
    <w:rsid w:val="007C0A91"/>
    <w:rsid w:val="007D1FDD"/>
    <w:rsid w:val="00815068"/>
    <w:rsid w:val="008154BC"/>
    <w:rsid w:val="00815F41"/>
    <w:rsid w:val="00831094"/>
    <w:rsid w:val="00832A28"/>
    <w:rsid w:val="0084330F"/>
    <w:rsid w:val="00853CAC"/>
    <w:rsid w:val="008642B9"/>
    <w:rsid w:val="00864E65"/>
    <w:rsid w:val="008758D0"/>
    <w:rsid w:val="0088415A"/>
    <w:rsid w:val="008B1EA8"/>
    <w:rsid w:val="008C6DCC"/>
    <w:rsid w:val="008D4EE8"/>
    <w:rsid w:val="008F2B1D"/>
    <w:rsid w:val="00907685"/>
    <w:rsid w:val="00915015"/>
    <w:rsid w:val="00925B98"/>
    <w:rsid w:val="009268B5"/>
    <w:rsid w:val="00930FD3"/>
    <w:rsid w:val="00954A2A"/>
    <w:rsid w:val="00957750"/>
    <w:rsid w:val="009A2EAE"/>
    <w:rsid w:val="009A444C"/>
    <w:rsid w:val="009B0760"/>
    <w:rsid w:val="009B22C1"/>
    <w:rsid w:val="009B6118"/>
    <w:rsid w:val="009C2DDB"/>
    <w:rsid w:val="009C41A8"/>
    <w:rsid w:val="009D0557"/>
    <w:rsid w:val="009D0EA3"/>
    <w:rsid w:val="009D6FDC"/>
    <w:rsid w:val="009F269A"/>
    <w:rsid w:val="00A3601F"/>
    <w:rsid w:val="00A66686"/>
    <w:rsid w:val="00A66EE9"/>
    <w:rsid w:val="00A71822"/>
    <w:rsid w:val="00A7379D"/>
    <w:rsid w:val="00A73E2F"/>
    <w:rsid w:val="00A753EB"/>
    <w:rsid w:val="00A76659"/>
    <w:rsid w:val="00A80B76"/>
    <w:rsid w:val="00A95FE9"/>
    <w:rsid w:val="00AA2B91"/>
    <w:rsid w:val="00AB0CB1"/>
    <w:rsid w:val="00AD7338"/>
    <w:rsid w:val="00B11A34"/>
    <w:rsid w:val="00B46918"/>
    <w:rsid w:val="00B64504"/>
    <w:rsid w:val="00B93F2F"/>
    <w:rsid w:val="00BA3803"/>
    <w:rsid w:val="00BA5074"/>
    <w:rsid w:val="00BA5139"/>
    <w:rsid w:val="00BD4DB6"/>
    <w:rsid w:val="00BD6CA7"/>
    <w:rsid w:val="00C22A20"/>
    <w:rsid w:val="00C31512"/>
    <w:rsid w:val="00C570CF"/>
    <w:rsid w:val="00C60350"/>
    <w:rsid w:val="00C6281A"/>
    <w:rsid w:val="00C713DF"/>
    <w:rsid w:val="00C766C8"/>
    <w:rsid w:val="00C77BA7"/>
    <w:rsid w:val="00CD25F9"/>
    <w:rsid w:val="00CE4983"/>
    <w:rsid w:val="00CE75C5"/>
    <w:rsid w:val="00CF0DA0"/>
    <w:rsid w:val="00CF2932"/>
    <w:rsid w:val="00D05A6D"/>
    <w:rsid w:val="00D2527F"/>
    <w:rsid w:val="00D620E3"/>
    <w:rsid w:val="00D6758E"/>
    <w:rsid w:val="00D73124"/>
    <w:rsid w:val="00D77544"/>
    <w:rsid w:val="00D86B80"/>
    <w:rsid w:val="00DE5B9C"/>
    <w:rsid w:val="00E37675"/>
    <w:rsid w:val="00E62F24"/>
    <w:rsid w:val="00E85251"/>
    <w:rsid w:val="00E95B73"/>
    <w:rsid w:val="00EA51F0"/>
    <w:rsid w:val="00EC4E30"/>
    <w:rsid w:val="00EE470D"/>
    <w:rsid w:val="00EF6AB5"/>
    <w:rsid w:val="00F00C05"/>
    <w:rsid w:val="00F1124E"/>
    <w:rsid w:val="00F17740"/>
    <w:rsid w:val="00F209C5"/>
    <w:rsid w:val="00F27D75"/>
    <w:rsid w:val="00F34BF7"/>
    <w:rsid w:val="00F44645"/>
    <w:rsid w:val="00F554C3"/>
    <w:rsid w:val="00F56EBC"/>
    <w:rsid w:val="00F673D2"/>
    <w:rsid w:val="00F67404"/>
    <w:rsid w:val="00F72D2C"/>
    <w:rsid w:val="00F7615E"/>
    <w:rsid w:val="00F82AD1"/>
    <w:rsid w:val="00FA425F"/>
    <w:rsid w:val="00FB6D6A"/>
    <w:rsid w:val="00FC1CD0"/>
    <w:rsid w:val="01282E62"/>
    <w:rsid w:val="01354D93"/>
    <w:rsid w:val="01453A14"/>
    <w:rsid w:val="015A3576"/>
    <w:rsid w:val="015B6D94"/>
    <w:rsid w:val="01787946"/>
    <w:rsid w:val="01A249C3"/>
    <w:rsid w:val="01D152A8"/>
    <w:rsid w:val="01E7687A"/>
    <w:rsid w:val="020A35B3"/>
    <w:rsid w:val="020E2058"/>
    <w:rsid w:val="022F0983"/>
    <w:rsid w:val="02443CCC"/>
    <w:rsid w:val="0261662C"/>
    <w:rsid w:val="026779BA"/>
    <w:rsid w:val="026C5261"/>
    <w:rsid w:val="02902A6D"/>
    <w:rsid w:val="02B96468"/>
    <w:rsid w:val="02CD36F4"/>
    <w:rsid w:val="02D8077C"/>
    <w:rsid w:val="02E828A9"/>
    <w:rsid w:val="02FC45A7"/>
    <w:rsid w:val="0301396B"/>
    <w:rsid w:val="0317318F"/>
    <w:rsid w:val="033755DF"/>
    <w:rsid w:val="038D3451"/>
    <w:rsid w:val="03991DF6"/>
    <w:rsid w:val="03CA0201"/>
    <w:rsid w:val="03CA6453"/>
    <w:rsid w:val="03CF3A69"/>
    <w:rsid w:val="03E94B2B"/>
    <w:rsid w:val="03F4702C"/>
    <w:rsid w:val="042E69E2"/>
    <w:rsid w:val="043D4E77"/>
    <w:rsid w:val="04620439"/>
    <w:rsid w:val="046315AD"/>
    <w:rsid w:val="04974587"/>
    <w:rsid w:val="049C7DEF"/>
    <w:rsid w:val="04F05A45"/>
    <w:rsid w:val="04F9561C"/>
    <w:rsid w:val="050140F6"/>
    <w:rsid w:val="05031C1C"/>
    <w:rsid w:val="052F2A11"/>
    <w:rsid w:val="052F5AAA"/>
    <w:rsid w:val="054A15F9"/>
    <w:rsid w:val="05571F68"/>
    <w:rsid w:val="05B253F0"/>
    <w:rsid w:val="05B60A3D"/>
    <w:rsid w:val="05EA4B8A"/>
    <w:rsid w:val="05F475D8"/>
    <w:rsid w:val="060D2627"/>
    <w:rsid w:val="06147E59"/>
    <w:rsid w:val="064F2C3F"/>
    <w:rsid w:val="07230354"/>
    <w:rsid w:val="077706A0"/>
    <w:rsid w:val="0792258C"/>
    <w:rsid w:val="079B25E0"/>
    <w:rsid w:val="07A910C8"/>
    <w:rsid w:val="07C51AFC"/>
    <w:rsid w:val="07EA0E72"/>
    <w:rsid w:val="0891753F"/>
    <w:rsid w:val="089201B7"/>
    <w:rsid w:val="08C10B92"/>
    <w:rsid w:val="08CC4C0B"/>
    <w:rsid w:val="08CE609D"/>
    <w:rsid w:val="08F16230"/>
    <w:rsid w:val="092E5CC6"/>
    <w:rsid w:val="09554A11"/>
    <w:rsid w:val="096864F2"/>
    <w:rsid w:val="096F5AD2"/>
    <w:rsid w:val="098133B4"/>
    <w:rsid w:val="09C63218"/>
    <w:rsid w:val="09CB0AC4"/>
    <w:rsid w:val="09CF031F"/>
    <w:rsid w:val="09D41DD9"/>
    <w:rsid w:val="09DE0562"/>
    <w:rsid w:val="0A312D88"/>
    <w:rsid w:val="0A540824"/>
    <w:rsid w:val="0A7B6EF7"/>
    <w:rsid w:val="0A99092D"/>
    <w:rsid w:val="0AC51722"/>
    <w:rsid w:val="0ACA6D38"/>
    <w:rsid w:val="0AD8531C"/>
    <w:rsid w:val="0B1306DF"/>
    <w:rsid w:val="0B17653B"/>
    <w:rsid w:val="0B1D50BA"/>
    <w:rsid w:val="0B661144"/>
    <w:rsid w:val="0BB35A1E"/>
    <w:rsid w:val="0BB974D9"/>
    <w:rsid w:val="0BDF6813"/>
    <w:rsid w:val="0BED0F30"/>
    <w:rsid w:val="0BF422BF"/>
    <w:rsid w:val="0C25691C"/>
    <w:rsid w:val="0C403756"/>
    <w:rsid w:val="0C4A6383"/>
    <w:rsid w:val="0C9475FE"/>
    <w:rsid w:val="0C985340"/>
    <w:rsid w:val="0CA830A9"/>
    <w:rsid w:val="0CDD2D53"/>
    <w:rsid w:val="0CE202EC"/>
    <w:rsid w:val="0CE642FD"/>
    <w:rsid w:val="0CF63E15"/>
    <w:rsid w:val="0D053F57"/>
    <w:rsid w:val="0D076022"/>
    <w:rsid w:val="0D0F0D92"/>
    <w:rsid w:val="0D4C7ED9"/>
    <w:rsid w:val="0D51729D"/>
    <w:rsid w:val="0DA9532B"/>
    <w:rsid w:val="0DBF06AB"/>
    <w:rsid w:val="0DC108C7"/>
    <w:rsid w:val="0DC21F49"/>
    <w:rsid w:val="0DD24882"/>
    <w:rsid w:val="0DE3083D"/>
    <w:rsid w:val="0E0013EF"/>
    <w:rsid w:val="0E1E7AC7"/>
    <w:rsid w:val="0E270C2A"/>
    <w:rsid w:val="0E344BF5"/>
    <w:rsid w:val="0E4F4952"/>
    <w:rsid w:val="0E5C239D"/>
    <w:rsid w:val="0E715E49"/>
    <w:rsid w:val="0EF32D02"/>
    <w:rsid w:val="0EF95E3E"/>
    <w:rsid w:val="0F052A35"/>
    <w:rsid w:val="0F1862C4"/>
    <w:rsid w:val="0F3375A2"/>
    <w:rsid w:val="0F4A0448"/>
    <w:rsid w:val="0F711E78"/>
    <w:rsid w:val="0FE4264A"/>
    <w:rsid w:val="0FE95EB3"/>
    <w:rsid w:val="10993435"/>
    <w:rsid w:val="10A0102D"/>
    <w:rsid w:val="111331E7"/>
    <w:rsid w:val="111377D2"/>
    <w:rsid w:val="11301FEB"/>
    <w:rsid w:val="115E01DA"/>
    <w:rsid w:val="117B0D8C"/>
    <w:rsid w:val="11CC783A"/>
    <w:rsid w:val="11D010D8"/>
    <w:rsid w:val="121543C9"/>
    <w:rsid w:val="12323B41"/>
    <w:rsid w:val="126A32DB"/>
    <w:rsid w:val="12902616"/>
    <w:rsid w:val="12C32F26"/>
    <w:rsid w:val="13255454"/>
    <w:rsid w:val="13723C23"/>
    <w:rsid w:val="13763F01"/>
    <w:rsid w:val="13C44C6D"/>
    <w:rsid w:val="13D91E45"/>
    <w:rsid w:val="13FD1F2D"/>
    <w:rsid w:val="14125E20"/>
    <w:rsid w:val="14186D67"/>
    <w:rsid w:val="14327E28"/>
    <w:rsid w:val="1433594E"/>
    <w:rsid w:val="14667AD2"/>
    <w:rsid w:val="149A3C1F"/>
    <w:rsid w:val="149A59CD"/>
    <w:rsid w:val="14A01236"/>
    <w:rsid w:val="14BA7E1E"/>
    <w:rsid w:val="14BE4D00"/>
    <w:rsid w:val="14C34F24"/>
    <w:rsid w:val="14E248D3"/>
    <w:rsid w:val="14E31122"/>
    <w:rsid w:val="14EF5D19"/>
    <w:rsid w:val="15495848"/>
    <w:rsid w:val="155B6F0B"/>
    <w:rsid w:val="156009C5"/>
    <w:rsid w:val="15714980"/>
    <w:rsid w:val="15BB6454"/>
    <w:rsid w:val="15C251DC"/>
    <w:rsid w:val="15E2762C"/>
    <w:rsid w:val="16353C00"/>
    <w:rsid w:val="16481B85"/>
    <w:rsid w:val="1695469E"/>
    <w:rsid w:val="171952CF"/>
    <w:rsid w:val="173B5246"/>
    <w:rsid w:val="17824C23"/>
    <w:rsid w:val="17836BED"/>
    <w:rsid w:val="17854713"/>
    <w:rsid w:val="17BA0860"/>
    <w:rsid w:val="17F13B56"/>
    <w:rsid w:val="1823063E"/>
    <w:rsid w:val="183F48C2"/>
    <w:rsid w:val="189B3AC2"/>
    <w:rsid w:val="18CD6371"/>
    <w:rsid w:val="18CE20EA"/>
    <w:rsid w:val="19A75624"/>
    <w:rsid w:val="19B525C4"/>
    <w:rsid w:val="19D11E91"/>
    <w:rsid w:val="1A5328A6"/>
    <w:rsid w:val="1A646862"/>
    <w:rsid w:val="1AA80E44"/>
    <w:rsid w:val="1AB570BD"/>
    <w:rsid w:val="1ABC044C"/>
    <w:rsid w:val="1ADA571C"/>
    <w:rsid w:val="1AEE0821"/>
    <w:rsid w:val="1AFA66D4"/>
    <w:rsid w:val="1B55264E"/>
    <w:rsid w:val="1B6D7998"/>
    <w:rsid w:val="1B7B0307"/>
    <w:rsid w:val="1BC81072"/>
    <w:rsid w:val="1C145AD5"/>
    <w:rsid w:val="1C2F10F1"/>
    <w:rsid w:val="1C506364"/>
    <w:rsid w:val="1C9121E5"/>
    <w:rsid w:val="1CAB5AF6"/>
    <w:rsid w:val="1CC96E50"/>
    <w:rsid w:val="1CD86382"/>
    <w:rsid w:val="1D0936F0"/>
    <w:rsid w:val="1D1E53EE"/>
    <w:rsid w:val="1D3A1AFC"/>
    <w:rsid w:val="1D3E15EC"/>
    <w:rsid w:val="1D7C2114"/>
    <w:rsid w:val="1D7E40DE"/>
    <w:rsid w:val="1D884F5D"/>
    <w:rsid w:val="1D9531D6"/>
    <w:rsid w:val="1D9C27B6"/>
    <w:rsid w:val="1DA17DCD"/>
    <w:rsid w:val="1DAF6046"/>
    <w:rsid w:val="1DC835AB"/>
    <w:rsid w:val="1E2527AC"/>
    <w:rsid w:val="1E3649B9"/>
    <w:rsid w:val="1E9021D3"/>
    <w:rsid w:val="1EB15DEE"/>
    <w:rsid w:val="1EB92499"/>
    <w:rsid w:val="1EE95587"/>
    <w:rsid w:val="1EFD2558"/>
    <w:rsid w:val="1EFD7285"/>
    <w:rsid w:val="1F122D30"/>
    <w:rsid w:val="1F75506D"/>
    <w:rsid w:val="1FA140B4"/>
    <w:rsid w:val="1FB21E1D"/>
    <w:rsid w:val="1FC64343"/>
    <w:rsid w:val="1FDF698A"/>
    <w:rsid w:val="1FE91D68"/>
    <w:rsid w:val="1FF468DA"/>
    <w:rsid w:val="201A4426"/>
    <w:rsid w:val="20256A93"/>
    <w:rsid w:val="20410142"/>
    <w:rsid w:val="20765541"/>
    <w:rsid w:val="20790B8D"/>
    <w:rsid w:val="208D63E6"/>
    <w:rsid w:val="2099122F"/>
    <w:rsid w:val="20AE1417"/>
    <w:rsid w:val="2110329F"/>
    <w:rsid w:val="21674E89"/>
    <w:rsid w:val="218B49EA"/>
    <w:rsid w:val="218E2416"/>
    <w:rsid w:val="21C46106"/>
    <w:rsid w:val="21D06ED2"/>
    <w:rsid w:val="21E87D78"/>
    <w:rsid w:val="21F7445F"/>
    <w:rsid w:val="21FE759C"/>
    <w:rsid w:val="22192627"/>
    <w:rsid w:val="22242A10"/>
    <w:rsid w:val="22561186"/>
    <w:rsid w:val="22590C76"/>
    <w:rsid w:val="22877591"/>
    <w:rsid w:val="228C104B"/>
    <w:rsid w:val="22A068A5"/>
    <w:rsid w:val="22B45EAC"/>
    <w:rsid w:val="22B91715"/>
    <w:rsid w:val="22BA5BB9"/>
    <w:rsid w:val="22C32593"/>
    <w:rsid w:val="22E70030"/>
    <w:rsid w:val="23270D74"/>
    <w:rsid w:val="235A4CA6"/>
    <w:rsid w:val="23607DE2"/>
    <w:rsid w:val="237D0994"/>
    <w:rsid w:val="238166D6"/>
    <w:rsid w:val="2392443F"/>
    <w:rsid w:val="23A105E9"/>
    <w:rsid w:val="23AE6D9F"/>
    <w:rsid w:val="23B5012E"/>
    <w:rsid w:val="23B91366"/>
    <w:rsid w:val="23C36519"/>
    <w:rsid w:val="23D3133D"/>
    <w:rsid w:val="23D700A4"/>
    <w:rsid w:val="23DE58D7"/>
    <w:rsid w:val="23F70746"/>
    <w:rsid w:val="240D3AC6"/>
    <w:rsid w:val="24516CBE"/>
    <w:rsid w:val="24AE34FB"/>
    <w:rsid w:val="24D9609E"/>
    <w:rsid w:val="24EF7670"/>
    <w:rsid w:val="24F353B2"/>
    <w:rsid w:val="254C061E"/>
    <w:rsid w:val="254C4AC2"/>
    <w:rsid w:val="25981AB5"/>
    <w:rsid w:val="259F4BF2"/>
    <w:rsid w:val="25BE7507"/>
    <w:rsid w:val="25CE197B"/>
    <w:rsid w:val="25E153D4"/>
    <w:rsid w:val="25E60A73"/>
    <w:rsid w:val="25F018F1"/>
    <w:rsid w:val="25F74A2E"/>
    <w:rsid w:val="260F621B"/>
    <w:rsid w:val="261C4494"/>
    <w:rsid w:val="2623001B"/>
    <w:rsid w:val="26612D6B"/>
    <w:rsid w:val="26834513"/>
    <w:rsid w:val="26AA1AA0"/>
    <w:rsid w:val="26AC3A6A"/>
    <w:rsid w:val="26ED5E31"/>
    <w:rsid w:val="27082C6B"/>
    <w:rsid w:val="27767BD4"/>
    <w:rsid w:val="27B5694E"/>
    <w:rsid w:val="27D03788"/>
    <w:rsid w:val="27DF39CB"/>
    <w:rsid w:val="27F427FC"/>
    <w:rsid w:val="281D44F4"/>
    <w:rsid w:val="28302479"/>
    <w:rsid w:val="28357A8F"/>
    <w:rsid w:val="284A74CB"/>
    <w:rsid w:val="285C501C"/>
    <w:rsid w:val="28852C5D"/>
    <w:rsid w:val="28A864EB"/>
    <w:rsid w:val="28AF339E"/>
    <w:rsid w:val="28AF6F6C"/>
    <w:rsid w:val="28ED2118"/>
    <w:rsid w:val="290556B4"/>
    <w:rsid w:val="29064F88"/>
    <w:rsid w:val="291476A5"/>
    <w:rsid w:val="292A6EC8"/>
    <w:rsid w:val="293E0BC6"/>
    <w:rsid w:val="2940049A"/>
    <w:rsid w:val="2A077209"/>
    <w:rsid w:val="2A081A28"/>
    <w:rsid w:val="2A12304A"/>
    <w:rsid w:val="2A1262DA"/>
    <w:rsid w:val="2A2B2EF8"/>
    <w:rsid w:val="2A3D0E7D"/>
    <w:rsid w:val="2A7A3E7F"/>
    <w:rsid w:val="2A7D0899"/>
    <w:rsid w:val="2A7F1A72"/>
    <w:rsid w:val="2AAA4765"/>
    <w:rsid w:val="2AE80DE9"/>
    <w:rsid w:val="2AFC4894"/>
    <w:rsid w:val="2B1716CE"/>
    <w:rsid w:val="2B2D4A4E"/>
    <w:rsid w:val="2B3C6DD7"/>
    <w:rsid w:val="2B7B1C5D"/>
    <w:rsid w:val="2BB138D1"/>
    <w:rsid w:val="2C1B33C6"/>
    <w:rsid w:val="2C646D6B"/>
    <w:rsid w:val="2C7C5C8D"/>
    <w:rsid w:val="2C8965FC"/>
    <w:rsid w:val="2CD72C54"/>
    <w:rsid w:val="2CE657FC"/>
    <w:rsid w:val="2CFD0E66"/>
    <w:rsid w:val="2D0143E4"/>
    <w:rsid w:val="2D173C07"/>
    <w:rsid w:val="2D287BC3"/>
    <w:rsid w:val="2D430559"/>
    <w:rsid w:val="2D4744ED"/>
    <w:rsid w:val="2D662499"/>
    <w:rsid w:val="2D9214E0"/>
    <w:rsid w:val="2DB17BB8"/>
    <w:rsid w:val="2DC84F02"/>
    <w:rsid w:val="2DEC0BF0"/>
    <w:rsid w:val="2E25003C"/>
    <w:rsid w:val="2E61338C"/>
    <w:rsid w:val="2E7806D6"/>
    <w:rsid w:val="2EB84F76"/>
    <w:rsid w:val="2EDA4EED"/>
    <w:rsid w:val="2EE31FF3"/>
    <w:rsid w:val="2F1C5505"/>
    <w:rsid w:val="2F212B1B"/>
    <w:rsid w:val="2F4F7689"/>
    <w:rsid w:val="2F6649D2"/>
    <w:rsid w:val="2F882B9B"/>
    <w:rsid w:val="2F8A08CC"/>
    <w:rsid w:val="2FAF0127"/>
    <w:rsid w:val="2FE11B85"/>
    <w:rsid w:val="3011493E"/>
    <w:rsid w:val="304877EA"/>
    <w:rsid w:val="30590093"/>
    <w:rsid w:val="30E361D5"/>
    <w:rsid w:val="30FC114A"/>
    <w:rsid w:val="31093867"/>
    <w:rsid w:val="3115220C"/>
    <w:rsid w:val="3126266B"/>
    <w:rsid w:val="317433D6"/>
    <w:rsid w:val="317E6003"/>
    <w:rsid w:val="31C14142"/>
    <w:rsid w:val="31DE4CF4"/>
    <w:rsid w:val="31E56082"/>
    <w:rsid w:val="32171FB4"/>
    <w:rsid w:val="32384404"/>
    <w:rsid w:val="32717916"/>
    <w:rsid w:val="32E97DF4"/>
    <w:rsid w:val="33174961"/>
    <w:rsid w:val="331A77C2"/>
    <w:rsid w:val="33753436"/>
    <w:rsid w:val="337564FE"/>
    <w:rsid w:val="337C47C4"/>
    <w:rsid w:val="33865643"/>
    <w:rsid w:val="339733AC"/>
    <w:rsid w:val="339A10EE"/>
    <w:rsid w:val="339C09C3"/>
    <w:rsid w:val="33A44776"/>
    <w:rsid w:val="344F3C87"/>
    <w:rsid w:val="34594B05"/>
    <w:rsid w:val="34844E94"/>
    <w:rsid w:val="34983880"/>
    <w:rsid w:val="34D80120"/>
    <w:rsid w:val="35076310"/>
    <w:rsid w:val="358B5193"/>
    <w:rsid w:val="360A0F8C"/>
    <w:rsid w:val="36525CB0"/>
    <w:rsid w:val="367E0853"/>
    <w:rsid w:val="36B10C29"/>
    <w:rsid w:val="36D13079"/>
    <w:rsid w:val="36E27034"/>
    <w:rsid w:val="36E96615"/>
    <w:rsid w:val="36FF1994"/>
    <w:rsid w:val="373972A7"/>
    <w:rsid w:val="374B4BD9"/>
    <w:rsid w:val="37585548"/>
    <w:rsid w:val="375C0B95"/>
    <w:rsid w:val="375D66BB"/>
    <w:rsid w:val="376A0DBC"/>
    <w:rsid w:val="377759CE"/>
    <w:rsid w:val="378B3228"/>
    <w:rsid w:val="379E11AD"/>
    <w:rsid w:val="37B81B43"/>
    <w:rsid w:val="37E56DDC"/>
    <w:rsid w:val="37EE2BEA"/>
    <w:rsid w:val="383E7EED"/>
    <w:rsid w:val="3857135C"/>
    <w:rsid w:val="38581532"/>
    <w:rsid w:val="38A25B4B"/>
    <w:rsid w:val="38A722E3"/>
    <w:rsid w:val="38A74091"/>
    <w:rsid w:val="39006C13"/>
    <w:rsid w:val="390B0AC4"/>
    <w:rsid w:val="392E4F96"/>
    <w:rsid w:val="39A00A71"/>
    <w:rsid w:val="39DE1D35"/>
    <w:rsid w:val="39E11825"/>
    <w:rsid w:val="3A1930EC"/>
    <w:rsid w:val="3A231E3E"/>
    <w:rsid w:val="3A345DF9"/>
    <w:rsid w:val="3A563FC1"/>
    <w:rsid w:val="3A72247D"/>
    <w:rsid w:val="3A946897"/>
    <w:rsid w:val="3AA765CB"/>
    <w:rsid w:val="3B9B4367"/>
    <w:rsid w:val="3BAB1079"/>
    <w:rsid w:val="3BD333EF"/>
    <w:rsid w:val="3C2F484C"/>
    <w:rsid w:val="3C3420E0"/>
    <w:rsid w:val="3C5207B8"/>
    <w:rsid w:val="3C53008C"/>
    <w:rsid w:val="3C8C1F1C"/>
    <w:rsid w:val="3CA60B04"/>
    <w:rsid w:val="3CD15B81"/>
    <w:rsid w:val="3CD4741F"/>
    <w:rsid w:val="3CDB07AE"/>
    <w:rsid w:val="3CDB255C"/>
    <w:rsid w:val="3CEF4259"/>
    <w:rsid w:val="3D17730C"/>
    <w:rsid w:val="3D4A5933"/>
    <w:rsid w:val="3D583BAC"/>
    <w:rsid w:val="3D6562C9"/>
    <w:rsid w:val="3DAC5CA6"/>
    <w:rsid w:val="3DDB658B"/>
    <w:rsid w:val="3DF15DAF"/>
    <w:rsid w:val="3DF7373D"/>
    <w:rsid w:val="3E03671E"/>
    <w:rsid w:val="3E1F46CA"/>
    <w:rsid w:val="3E444130"/>
    <w:rsid w:val="3E5A1BA6"/>
    <w:rsid w:val="3EE55913"/>
    <w:rsid w:val="3F2200A2"/>
    <w:rsid w:val="3F275F2C"/>
    <w:rsid w:val="3F8F587F"/>
    <w:rsid w:val="3FA94B93"/>
    <w:rsid w:val="3FCB2D5B"/>
    <w:rsid w:val="3FE91433"/>
    <w:rsid w:val="402E5098"/>
    <w:rsid w:val="403703F1"/>
    <w:rsid w:val="40512B35"/>
    <w:rsid w:val="40721429"/>
    <w:rsid w:val="40907B01"/>
    <w:rsid w:val="41173D7E"/>
    <w:rsid w:val="412546ED"/>
    <w:rsid w:val="41490391"/>
    <w:rsid w:val="41831414"/>
    <w:rsid w:val="41986C6D"/>
    <w:rsid w:val="41A27AEC"/>
    <w:rsid w:val="41C2018E"/>
    <w:rsid w:val="41C850AD"/>
    <w:rsid w:val="41FF0A9A"/>
    <w:rsid w:val="42366486"/>
    <w:rsid w:val="42424E2B"/>
    <w:rsid w:val="42574769"/>
    <w:rsid w:val="425D3A13"/>
    <w:rsid w:val="426C67ED"/>
    <w:rsid w:val="42765716"/>
    <w:rsid w:val="43106CD7"/>
    <w:rsid w:val="431D1023"/>
    <w:rsid w:val="4339622E"/>
    <w:rsid w:val="43456981"/>
    <w:rsid w:val="435C1F1C"/>
    <w:rsid w:val="437D25BE"/>
    <w:rsid w:val="43882D11"/>
    <w:rsid w:val="438C2802"/>
    <w:rsid w:val="43963680"/>
    <w:rsid w:val="43B9111D"/>
    <w:rsid w:val="441C669C"/>
    <w:rsid w:val="446A0634"/>
    <w:rsid w:val="44A678F3"/>
    <w:rsid w:val="44B33DBE"/>
    <w:rsid w:val="44C23E37"/>
    <w:rsid w:val="44F901B8"/>
    <w:rsid w:val="45101210"/>
    <w:rsid w:val="454A762F"/>
    <w:rsid w:val="458E4869"/>
    <w:rsid w:val="45B21B65"/>
    <w:rsid w:val="46144D30"/>
    <w:rsid w:val="462C207A"/>
    <w:rsid w:val="46364CA7"/>
    <w:rsid w:val="465670F7"/>
    <w:rsid w:val="467D0B27"/>
    <w:rsid w:val="468123C6"/>
    <w:rsid w:val="46A012BC"/>
    <w:rsid w:val="46B53E1D"/>
    <w:rsid w:val="46B75F04"/>
    <w:rsid w:val="46C17060"/>
    <w:rsid w:val="46E841F3"/>
    <w:rsid w:val="46FC37FA"/>
    <w:rsid w:val="47084895"/>
    <w:rsid w:val="47775577"/>
    <w:rsid w:val="48515DC8"/>
    <w:rsid w:val="48535EE5"/>
    <w:rsid w:val="489108BA"/>
    <w:rsid w:val="48BF0F83"/>
    <w:rsid w:val="48C55FA1"/>
    <w:rsid w:val="49025314"/>
    <w:rsid w:val="49117305"/>
    <w:rsid w:val="49276B29"/>
    <w:rsid w:val="49284D7B"/>
    <w:rsid w:val="492C1D2E"/>
    <w:rsid w:val="49374FBE"/>
    <w:rsid w:val="49AD0F5D"/>
    <w:rsid w:val="49CB3958"/>
    <w:rsid w:val="4A154318"/>
    <w:rsid w:val="4A4A0D21"/>
    <w:rsid w:val="4A6C513B"/>
    <w:rsid w:val="4A7E09CA"/>
    <w:rsid w:val="4A7F4E6E"/>
    <w:rsid w:val="4A963F66"/>
    <w:rsid w:val="4AA04DE4"/>
    <w:rsid w:val="4AAC19DB"/>
    <w:rsid w:val="4B005883"/>
    <w:rsid w:val="4B517E8D"/>
    <w:rsid w:val="4B524331"/>
    <w:rsid w:val="4BA44460"/>
    <w:rsid w:val="4BB548C0"/>
    <w:rsid w:val="4BCD7E5B"/>
    <w:rsid w:val="4C2F6420"/>
    <w:rsid w:val="4C3025F1"/>
    <w:rsid w:val="4C3E48B5"/>
    <w:rsid w:val="4C602A7D"/>
    <w:rsid w:val="4C806C7C"/>
    <w:rsid w:val="4C9E5354"/>
    <w:rsid w:val="4CF520D9"/>
    <w:rsid w:val="4D0F7FFF"/>
    <w:rsid w:val="4D16138E"/>
    <w:rsid w:val="4D1B69A4"/>
    <w:rsid w:val="4D3857A8"/>
    <w:rsid w:val="4D8E361A"/>
    <w:rsid w:val="4D8E53C8"/>
    <w:rsid w:val="4DBC1F35"/>
    <w:rsid w:val="4DBF37D4"/>
    <w:rsid w:val="4DC1579E"/>
    <w:rsid w:val="4DCE3A17"/>
    <w:rsid w:val="4DF32302"/>
    <w:rsid w:val="4E516B22"/>
    <w:rsid w:val="4E9C3BCC"/>
    <w:rsid w:val="4EC07803"/>
    <w:rsid w:val="4EF9194B"/>
    <w:rsid w:val="4F132029"/>
    <w:rsid w:val="4F2A1121"/>
    <w:rsid w:val="4F3F510F"/>
    <w:rsid w:val="4F5A37B4"/>
    <w:rsid w:val="4F5F526E"/>
    <w:rsid w:val="4F7B6DCD"/>
    <w:rsid w:val="4F8151E4"/>
    <w:rsid w:val="4FAD6032"/>
    <w:rsid w:val="4FB947AA"/>
    <w:rsid w:val="4FBF5D0D"/>
    <w:rsid w:val="4FCE41A2"/>
    <w:rsid w:val="4FD21500"/>
    <w:rsid w:val="4FEC63D6"/>
    <w:rsid w:val="4FF359B6"/>
    <w:rsid w:val="4FFD0EF1"/>
    <w:rsid w:val="500D6A78"/>
    <w:rsid w:val="50250266"/>
    <w:rsid w:val="50281B04"/>
    <w:rsid w:val="504F0E3F"/>
    <w:rsid w:val="50650662"/>
    <w:rsid w:val="508825A3"/>
    <w:rsid w:val="50B74C36"/>
    <w:rsid w:val="51071719"/>
    <w:rsid w:val="510936E3"/>
    <w:rsid w:val="510E0CFA"/>
    <w:rsid w:val="51172F9F"/>
    <w:rsid w:val="51271DBC"/>
    <w:rsid w:val="51695F30"/>
    <w:rsid w:val="51B82A14"/>
    <w:rsid w:val="51E1640E"/>
    <w:rsid w:val="51F55A16"/>
    <w:rsid w:val="51FF6894"/>
    <w:rsid w:val="5201257C"/>
    <w:rsid w:val="52311B45"/>
    <w:rsid w:val="52A336C4"/>
    <w:rsid w:val="52A66D10"/>
    <w:rsid w:val="52BD6456"/>
    <w:rsid w:val="52D95337"/>
    <w:rsid w:val="532760A3"/>
    <w:rsid w:val="533B1B4E"/>
    <w:rsid w:val="53486019"/>
    <w:rsid w:val="53591FD4"/>
    <w:rsid w:val="53683F40"/>
    <w:rsid w:val="536C0A8D"/>
    <w:rsid w:val="53894668"/>
    <w:rsid w:val="538A5F1E"/>
    <w:rsid w:val="539D601D"/>
    <w:rsid w:val="53E43F94"/>
    <w:rsid w:val="53E915AA"/>
    <w:rsid w:val="53F32429"/>
    <w:rsid w:val="54077C82"/>
    <w:rsid w:val="542D593B"/>
    <w:rsid w:val="54751090"/>
    <w:rsid w:val="547F3CBD"/>
    <w:rsid w:val="54837309"/>
    <w:rsid w:val="549A28A4"/>
    <w:rsid w:val="54A75C14"/>
    <w:rsid w:val="54C05F9B"/>
    <w:rsid w:val="54C55B73"/>
    <w:rsid w:val="54D45DB6"/>
    <w:rsid w:val="54D71BBA"/>
    <w:rsid w:val="54F975CB"/>
    <w:rsid w:val="54FC530D"/>
    <w:rsid w:val="55A25EB5"/>
    <w:rsid w:val="55BD2981"/>
    <w:rsid w:val="55C71477"/>
    <w:rsid w:val="55C951EF"/>
    <w:rsid w:val="55E0078B"/>
    <w:rsid w:val="56024BA5"/>
    <w:rsid w:val="56026953"/>
    <w:rsid w:val="560C1580"/>
    <w:rsid w:val="56292132"/>
    <w:rsid w:val="56350AD7"/>
    <w:rsid w:val="569A4DDE"/>
    <w:rsid w:val="56AC3D25"/>
    <w:rsid w:val="56B0015D"/>
    <w:rsid w:val="56B7773E"/>
    <w:rsid w:val="56CF2CD9"/>
    <w:rsid w:val="571132F2"/>
    <w:rsid w:val="572B1EDA"/>
    <w:rsid w:val="57413F34"/>
    <w:rsid w:val="574A05B2"/>
    <w:rsid w:val="57527466"/>
    <w:rsid w:val="577675F9"/>
    <w:rsid w:val="57821FCB"/>
    <w:rsid w:val="579B2BBB"/>
    <w:rsid w:val="57D23A02"/>
    <w:rsid w:val="57DD31D4"/>
    <w:rsid w:val="57E97DCB"/>
    <w:rsid w:val="57F81DBC"/>
    <w:rsid w:val="580C3AB9"/>
    <w:rsid w:val="5834469F"/>
    <w:rsid w:val="5838665C"/>
    <w:rsid w:val="583E407C"/>
    <w:rsid w:val="584119B5"/>
    <w:rsid w:val="58676F42"/>
    <w:rsid w:val="587527B8"/>
    <w:rsid w:val="58767185"/>
    <w:rsid w:val="58BA3515"/>
    <w:rsid w:val="58C44394"/>
    <w:rsid w:val="58D238A3"/>
    <w:rsid w:val="59263D82"/>
    <w:rsid w:val="59513E7A"/>
    <w:rsid w:val="596C4444"/>
    <w:rsid w:val="59736FAA"/>
    <w:rsid w:val="598D4786"/>
    <w:rsid w:val="59A87812"/>
    <w:rsid w:val="59D97185"/>
    <w:rsid w:val="59E52814"/>
    <w:rsid w:val="5A2040C5"/>
    <w:rsid w:val="5A311DCE"/>
    <w:rsid w:val="5A523253"/>
    <w:rsid w:val="5A6C4CE3"/>
    <w:rsid w:val="5A932270"/>
    <w:rsid w:val="5AE42ACB"/>
    <w:rsid w:val="5AFA22EF"/>
    <w:rsid w:val="5B330AF2"/>
    <w:rsid w:val="5B4B2A39"/>
    <w:rsid w:val="5B6B6D49"/>
    <w:rsid w:val="5B762D1A"/>
    <w:rsid w:val="5BAA7871"/>
    <w:rsid w:val="5BCF63A9"/>
    <w:rsid w:val="5BE865EB"/>
    <w:rsid w:val="5C2A09B2"/>
    <w:rsid w:val="5C5B0B6B"/>
    <w:rsid w:val="5C6739B4"/>
    <w:rsid w:val="5C983B6D"/>
    <w:rsid w:val="5CD252D1"/>
    <w:rsid w:val="5D2C0F26"/>
    <w:rsid w:val="5D323FC2"/>
    <w:rsid w:val="5D3C6BEF"/>
    <w:rsid w:val="5D5C2DED"/>
    <w:rsid w:val="5D852599"/>
    <w:rsid w:val="5D861C18"/>
    <w:rsid w:val="5D9C58DF"/>
    <w:rsid w:val="5DAB167E"/>
    <w:rsid w:val="5DB04EE7"/>
    <w:rsid w:val="5DB22A0D"/>
    <w:rsid w:val="5DBE13B2"/>
    <w:rsid w:val="5DF43025"/>
    <w:rsid w:val="5E0314BA"/>
    <w:rsid w:val="5E0771FD"/>
    <w:rsid w:val="5E3616AF"/>
    <w:rsid w:val="5E5F0DE7"/>
    <w:rsid w:val="5E6463FD"/>
    <w:rsid w:val="5EAE1426"/>
    <w:rsid w:val="5EBA41F7"/>
    <w:rsid w:val="5EBB2C44"/>
    <w:rsid w:val="5ECE3876"/>
    <w:rsid w:val="5ED66BCF"/>
    <w:rsid w:val="5EDB19DD"/>
    <w:rsid w:val="5F225970"/>
    <w:rsid w:val="5FBF3369"/>
    <w:rsid w:val="5FE315A4"/>
    <w:rsid w:val="5FF84015"/>
    <w:rsid w:val="60145C01"/>
    <w:rsid w:val="60196D73"/>
    <w:rsid w:val="60396BAB"/>
    <w:rsid w:val="608E7761"/>
    <w:rsid w:val="60BB607C"/>
    <w:rsid w:val="60E05AE3"/>
    <w:rsid w:val="60F878A0"/>
    <w:rsid w:val="61112140"/>
    <w:rsid w:val="61434294"/>
    <w:rsid w:val="61532759"/>
    <w:rsid w:val="616404C2"/>
    <w:rsid w:val="618D5C6B"/>
    <w:rsid w:val="619D39D4"/>
    <w:rsid w:val="61A42FB4"/>
    <w:rsid w:val="61E11B13"/>
    <w:rsid w:val="61EB2991"/>
    <w:rsid w:val="61F22088"/>
    <w:rsid w:val="61FC06FB"/>
    <w:rsid w:val="620F6680"/>
    <w:rsid w:val="6256605D"/>
    <w:rsid w:val="62A0377C"/>
    <w:rsid w:val="62A96AD4"/>
    <w:rsid w:val="63272DB8"/>
    <w:rsid w:val="633B34A5"/>
    <w:rsid w:val="635822A8"/>
    <w:rsid w:val="638C3D00"/>
    <w:rsid w:val="638D1F52"/>
    <w:rsid w:val="63B53257"/>
    <w:rsid w:val="63CE60C7"/>
    <w:rsid w:val="64104931"/>
    <w:rsid w:val="641461CF"/>
    <w:rsid w:val="64153CF6"/>
    <w:rsid w:val="645C7B76"/>
    <w:rsid w:val="64630F05"/>
    <w:rsid w:val="64D94D23"/>
    <w:rsid w:val="64E77E08"/>
    <w:rsid w:val="650A1380"/>
    <w:rsid w:val="65420B1A"/>
    <w:rsid w:val="65654809"/>
    <w:rsid w:val="657D7000"/>
    <w:rsid w:val="65AE4402"/>
    <w:rsid w:val="65B33A4A"/>
    <w:rsid w:val="65B57F02"/>
    <w:rsid w:val="65B65064"/>
    <w:rsid w:val="65E9543A"/>
    <w:rsid w:val="65ED1C09"/>
    <w:rsid w:val="65F63CF3"/>
    <w:rsid w:val="65FE0EE5"/>
    <w:rsid w:val="660E6C4E"/>
    <w:rsid w:val="66214BD4"/>
    <w:rsid w:val="6646288C"/>
    <w:rsid w:val="66703465"/>
    <w:rsid w:val="668B64F1"/>
    <w:rsid w:val="66A7157D"/>
    <w:rsid w:val="66B9305E"/>
    <w:rsid w:val="66D24120"/>
    <w:rsid w:val="66E35699"/>
    <w:rsid w:val="66F422E8"/>
    <w:rsid w:val="671D04B7"/>
    <w:rsid w:val="67B57CC9"/>
    <w:rsid w:val="682409AB"/>
    <w:rsid w:val="68460921"/>
    <w:rsid w:val="686E1C26"/>
    <w:rsid w:val="689E69AF"/>
    <w:rsid w:val="68BC459E"/>
    <w:rsid w:val="68E44A7D"/>
    <w:rsid w:val="690507DD"/>
    <w:rsid w:val="69124CA8"/>
    <w:rsid w:val="69272501"/>
    <w:rsid w:val="69586B5E"/>
    <w:rsid w:val="69714AFC"/>
    <w:rsid w:val="69823BDB"/>
    <w:rsid w:val="6985191D"/>
    <w:rsid w:val="69877444"/>
    <w:rsid w:val="69CE4E6D"/>
    <w:rsid w:val="69CE6E20"/>
    <w:rsid w:val="6A014A01"/>
    <w:rsid w:val="6A285628"/>
    <w:rsid w:val="6A6432E1"/>
    <w:rsid w:val="6A723C50"/>
    <w:rsid w:val="6A845731"/>
    <w:rsid w:val="6AA302AD"/>
    <w:rsid w:val="6AA8445B"/>
    <w:rsid w:val="6AC02C0D"/>
    <w:rsid w:val="6AD40467"/>
    <w:rsid w:val="6AE54422"/>
    <w:rsid w:val="6AE6019A"/>
    <w:rsid w:val="6AF503DD"/>
    <w:rsid w:val="6AF6662F"/>
    <w:rsid w:val="6AF87310"/>
    <w:rsid w:val="6B6537B4"/>
    <w:rsid w:val="6B92605F"/>
    <w:rsid w:val="6B9F03FA"/>
    <w:rsid w:val="6BA3608B"/>
    <w:rsid w:val="6BAF2C82"/>
    <w:rsid w:val="6BB12556"/>
    <w:rsid w:val="6BB34520"/>
    <w:rsid w:val="6BDB3A77"/>
    <w:rsid w:val="6BEC7A20"/>
    <w:rsid w:val="6C523D39"/>
    <w:rsid w:val="6C891725"/>
    <w:rsid w:val="6CC4275D"/>
    <w:rsid w:val="6D082649"/>
    <w:rsid w:val="6D0A2431"/>
    <w:rsid w:val="6D2F5E28"/>
    <w:rsid w:val="6D4A0EB4"/>
    <w:rsid w:val="6D5C4743"/>
    <w:rsid w:val="6D6655C2"/>
    <w:rsid w:val="6D806684"/>
    <w:rsid w:val="6D9126D1"/>
    <w:rsid w:val="6E0A23F1"/>
    <w:rsid w:val="6E250FD9"/>
    <w:rsid w:val="6E9248C1"/>
    <w:rsid w:val="6EB81E4D"/>
    <w:rsid w:val="6ECB1B80"/>
    <w:rsid w:val="6ED22F0F"/>
    <w:rsid w:val="6EED1AF7"/>
    <w:rsid w:val="6EFF5CCE"/>
    <w:rsid w:val="6F2F210F"/>
    <w:rsid w:val="6FBB39A3"/>
    <w:rsid w:val="6FDF7997"/>
    <w:rsid w:val="70052E70"/>
    <w:rsid w:val="702A0B29"/>
    <w:rsid w:val="702A28D7"/>
    <w:rsid w:val="70643DB9"/>
    <w:rsid w:val="70822713"/>
    <w:rsid w:val="70A94143"/>
    <w:rsid w:val="70C96594"/>
    <w:rsid w:val="70D016D0"/>
    <w:rsid w:val="70F42B31"/>
    <w:rsid w:val="71123A97"/>
    <w:rsid w:val="711F4406"/>
    <w:rsid w:val="71347EB1"/>
    <w:rsid w:val="713779A1"/>
    <w:rsid w:val="715B3690"/>
    <w:rsid w:val="71687B5B"/>
    <w:rsid w:val="71A46EE4"/>
    <w:rsid w:val="71A60683"/>
    <w:rsid w:val="720B16BC"/>
    <w:rsid w:val="720D24B0"/>
    <w:rsid w:val="723920F5"/>
    <w:rsid w:val="727A5D97"/>
    <w:rsid w:val="727E6F0A"/>
    <w:rsid w:val="72866D81"/>
    <w:rsid w:val="72AB765B"/>
    <w:rsid w:val="72AF5315"/>
    <w:rsid w:val="72DD6326"/>
    <w:rsid w:val="732D2E0A"/>
    <w:rsid w:val="735A7977"/>
    <w:rsid w:val="739269E7"/>
    <w:rsid w:val="73BB5488"/>
    <w:rsid w:val="73CD1EF7"/>
    <w:rsid w:val="73D2750D"/>
    <w:rsid w:val="73E060CE"/>
    <w:rsid w:val="74016CFC"/>
    <w:rsid w:val="743261FE"/>
    <w:rsid w:val="7443040B"/>
    <w:rsid w:val="74674908"/>
    <w:rsid w:val="749F1AE5"/>
    <w:rsid w:val="74C27582"/>
    <w:rsid w:val="752C1A9F"/>
    <w:rsid w:val="753F5076"/>
    <w:rsid w:val="755C1784"/>
    <w:rsid w:val="756248C1"/>
    <w:rsid w:val="7596337E"/>
    <w:rsid w:val="75B3511C"/>
    <w:rsid w:val="75E43528"/>
    <w:rsid w:val="75FC2F67"/>
    <w:rsid w:val="76206C56"/>
    <w:rsid w:val="76767F28"/>
    <w:rsid w:val="768C6099"/>
    <w:rsid w:val="7699034A"/>
    <w:rsid w:val="76A71125"/>
    <w:rsid w:val="76B4114C"/>
    <w:rsid w:val="76FB6D7B"/>
    <w:rsid w:val="770E2F52"/>
    <w:rsid w:val="77185B7F"/>
    <w:rsid w:val="7733135F"/>
    <w:rsid w:val="77471FC0"/>
    <w:rsid w:val="77514BED"/>
    <w:rsid w:val="775C1F10"/>
    <w:rsid w:val="775D7A36"/>
    <w:rsid w:val="778925D9"/>
    <w:rsid w:val="77A1631C"/>
    <w:rsid w:val="77A318EC"/>
    <w:rsid w:val="77C81353"/>
    <w:rsid w:val="77C90C27"/>
    <w:rsid w:val="77DC095A"/>
    <w:rsid w:val="77DF669D"/>
    <w:rsid w:val="77EC7614"/>
    <w:rsid w:val="77F02658"/>
    <w:rsid w:val="77F11957"/>
    <w:rsid w:val="782B3690"/>
    <w:rsid w:val="78370287"/>
    <w:rsid w:val="78436C2C"/>
    <w:rsid w:val="784C1F84"/>
    <w:rsid w:val="785C7CED"/>
    <w:rsid w:val="78727511"/>
    <w:rsid w:val="788F00C3"/>
    <w:rsid w:val="78CC6C21"/>
    <w:rsid w:val="78D43D28"/>
    <w:rsid w:val="78D67AA0"/>
    <w:rsid w:val="78D855C6"/>
    <w:rsid w:val="78EA52F9"/>
    <w:rsid w:val="792A3948"/>
    <w:rsid w:val="7942661A"/>
    <w:rsid w:val="7962698E"/>
    <w:rsid w:val="797F1EE5"/>
    <w:rsid w:val="79BC4EE7"/>
    <w:rsid w:val="79E93C90"/>
    <w:rsid w:val="7A1C5986"/>
    <w:rsid w:val="7A4B0019"/>
    <w:rsid w:val="7A5A025C"/>
    <w:rsid w:val="7A5B64AE"/>
    <w:rsid w:val="7A8E43D0"/>
    <w:rsid w:val="7AC83418"/>
    <w:rsid w:val="7B0F21BC"/>
    <w:rsid w:val="7B590514"/>
    <w:rsid w:val="7B640A94"/>
    <w:rsid w:val="7B737828"/>
    <w:rsid w:val="7B934F67"/>
    <w:rsid w:val="7BA9149B"/>
    <w:rsid w:val="7BB0282A"/>
    <w:rsid w:val="7BE6624C"/>
    <w:rsid w:val="7C06244A"/>
    <w:rsid w:val="7C1F52BA"/>
    <w:rsid w:val="7C2154D6"/>
    <w:rsid w:val="7C3C7C24"/>
    <w:rsid w:val="7C894B90"/>
    <w:rsid w:val="7CCA70B9"/>
    <w:rsid w:val="7D0A7D18"/>
    <w:rsid w:val="7D3B4375"/>
    <w:rsid w:val="7D792545"/>
    <w:rsid w:val="7D944A96"/>
    <w:rsid w:val="7DAB199B"/>
    <w:rsid w:val="7DEE13E8"/>
    <w:rsid w:val="7DF14474"/>
    <w:rsid w:val="7E8A59B9"/>
    <w:rsid w:val="7ECD36F3"/>
    <w:rsid w:val="7ED4682F"/>
    <w:rsid w:val="7F477001"/>
    <w:rsid w:val="7F58120E"/>
    <w:rsid w:val="7F5D6825"/>
    <w:rsid w:val="7F8738A2"/>
    <w:rsid w:val="7FB4040F"/>
    <w:rsid w:val="7FE448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Arial" w:cs="Arial"/>
      <w:snapToGrid w:val="0"/>
      <w:color w:val="000000"/>
      <w:sz w:val="28"/>
      <w:szCs w:val="21"/>
      <w:lang w:val="en-US" w:eastAsia="zh-CN" w:bidi="ar-SA"/>
    </w:rPr>
  </w:style>
  <w:style w:type="paragraph" w:styleId="4">
    <w:name w:val="heading 3"/>
    <w:basedOn w:val="1"/>
    <w:next w:val="1"/>
    <w:link w:val="26"/>
    <w:autoRedefine/>
    <w:unhideWhenUsed/>
    <w:qFormat/>
    <w:uiPriority w:val="0"/>
    <w:pPr>
      <w:keepNext/>
      <w:keepLines/>
      <w:widowControl w:val="0"/>
      <w:kinsoku/>
      <w:autoSpaceDE/>
      <w:autoSpaceDN/>
      <w:adjustRightInd/>
      <w:snapToGrid/>
      <w:spacing w:beforeLines="50" w:afterLines="50" w:line="500" w:lineRule="exact"/>
      <w:ind w:firstLine="561"/>
      <w:textAlignment w:val="auto"/>
      <w:outlineLvl w:val="2"/>
    </w:pPr>
    <w:rPr>
      <w:rFonts w:ascii="Times New Roman" w:hAnsi="Times New Roman" w:eastAsia="宋体" w:cs="Times New Roman"/>
      <w:b/>
      <w:bCs/>
      <w:snapToGrid/>
      <w:color w:val="auto"/>
      <w:kern w:val="2"/>
      <w:szCs w:val="32"/>
    </w:rPr>
  </w:style>
  <w:style w:type="paragraph" w:styleId="5">
    <w:name w:val="heading 4"/>
    <w:basedOn w:val="1"/>
    <w:next w:val="1"/>
    <w:autoRedefine/>
    <w:qFormat/>
    <w:uiPriority w:val="0"/>
    <w:pPr>
      <w:keepNext/>
      <w:keepLines/>
      <w:spacing w:beforeLines="50" w:afterLines="50"/>
      <w:outlineLvl w:val="3"/>
    </w:pPr>
    <w:rPr>
      <w:b/>
      <w:bCs/>
      <w:szCs w:val="28"/>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0"/>
    <w:autoRedefine/>
    <w:qFormat/>
    <w:uiPriority w:val="99"/>
    <w:pPr>
      <w:spacing w:after="120" w:line="240" w:lineRule="auto"/>
      <w:ind w:left="420" w:leftChars="200"/>
    </w:pPr>
    <w:rPr>
      <w:sz w:val="21"/>
    </w:rPr>
  </w:style>
  <w:style w:type="paragraph" w:styleId="3">
    <w:name w:val="Body Text Indent"/>
    <w:basedOn w:val="1"/>
    <w:link w:val="31"/>
    <w:autoRedefine/>
    <w:qFormat/>
    <w:uiPriority w:val="99"/>
    <w:pPr>
      <w:spacing w:line="500" w:lineRule="exact"/>
      <w:ind w:firstLine="420"/>
    </w:pPr>
    <w:rPr>
      <w:sz w:val="32"/>
      <w:szCs w:val="20"/>
    </w:rPr>
  </w:style>
  <w:style w:type="paragraph" w:styleId="6">
    <w:name w:val="Document Map"/>
    <w:basedOn w:val="1"/>
    <w:link w:val="27"/>
    <w:autoRedefine/>
    <w:qFormat/>
    <w:uiPriority w:val="0"/>
    <w:rPr>
      <w:rFonts w:ascii="宋体" w:eastAsia="宋体"/>
      <w:sz w:val="18"/>
      <w:szCs w:val="18"/>
    </w:rPr>
  </w:style>
  <w:style w:type="paragraph" w:styleId="7">
    <w:name w:val="annotation text"/>
    <w:basedOn w:val="1"/>
    <w:autoRedefine/>
    <w:qFormat/>
    <w:uiPriority w:val="0"/>
    <w:pPr>
      <w:jc w:val="left"/>
    </w:pPr>
  </w:style>
  <w:style w:type="paragraph" w:styleId="8">
    <w:name w:val="Body Text"/>
    <w:basedOn w:val="1"/>
    <w:next w:val="9"/>
    <w:link w:val="25"/>
    <w:autoRedefine/>
    <w:qFormat/>
    <w:uiPriority w:val="0"/>
    <w:pPr>
      <w:spacing w:after="120"/>
    </w:p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Plain Text"/>
    <w:basedOn w:val="1"/>
    <w:next w:val="11"/>
    <w:autoRedefine/>
    <w:qFormat/>
    <w:uiPriority w:val="99"/>
    <w:rPr>
      <w:rFonts w:ascii="宋体" w:hAnsi="Courier New"/>
      <w:sz w:val="21"/>
    </w:rPr>
  </w:style>
  <w:style w:type="paragraph" w:styleId="11">
    <w:name w:val="List Number 5"/>
    <w:basedOn w:val="1"/>
    <w:next w:val="12"/>
    <w:autoRedefine/>
    <w:qFormat/>
    <w:uiPriority w:val="0"/>
    <w:pPr>
      <w:numPr>
        <w:ilvl w:val="0"/>
        <w:numId w:val="1"/>
      </w:numPr>
    </w:pPr>
  </w:style>
  <w:style w:type="paragraph" w:styleId="12">
    <w:name w:val="Body Text First Indent"/>
    <w:basedOn w:val="1"/>
    <w:autoRedefine/>
    <w:qFormat/>
    <w:uiPriority w:val="0"/>
    <w:pPr>
      <w:spacing w:line="440" w:lineRule="exact"/>
      <w:ind w:firstLine="504"/>
    </w:pPr>
    <w:rPr>
      <w:sz w:val="21"/>
    </w:rPr>
  </w:style>
  <w:style w:type="paragraph" w:styleId="13">
    <w:name w:val="Balloon Text"/>
    <w:basedOn w:val="1"/>
    <w:link w:val="24"/>
    <w:autoRedefine/>
    <w:qFormat/>
    <w:uiPriority w:val="0"/>
    <w:rPr>
      <w:sz w:val="18"/>
      <w:szCs w:val="18"/>
    </w:rPr>
  </w:style>
  <w:style w:type="paragraph" w:styleId="14">
    <w:name w:val="footer"/>
    <w:basedOn w:val="1"/>
    <w:link w:val="22"/>
    <w:autoRedefine/>
    <w:qFormat/>
    <w:uiPriority w:val="99"/>
    <w:pPr>
      <w:tabs>
        <w:tab w:val="center" w:pos="4153"/>
        <w:tab w:val="right" w:pos="8306"/>
      </w:tabs>
    </w:pPr>
    <w:rPr>
      <w:sz w:val="18"/>
      <w:szCs w:val="18"/>
    </w:rPr>
  </w:style>
  <w:style w:type="paragraph" w:styleId="15">
    <w:name w:val="header"/>
    <w:basedOn w:val="1"/>
    <w:link w:val="21"/>
    <w:autoRedefine/>
    <w:qFormat/>
    <w:uiPriority w:val="0"/>
    <w:pPr>
      <w:pBdr>
        <w:bottom w:val="single" w:color="auto" w:sz="6" w:space="1"/>
      </w:pBdr>
      <w:tabs>
        <w:tab w:val="center" w:pos="4153"/>
        <w:tab w:val="right" w:pos="8306"/>
      </w:tabs>
      <w:jc w:val="center"/>
    </w:pPr>
    <w:rPr>
      <w:sz w:val="18"/>
      <w:szCs w:val="18"/>
    </w:rPr>
  </w:style>
  <w:style w:type="paragraph" w:styleId="16">
    <w:name w:val="List Continue 4"/>
    <w:basedOn w:val="1"/>
    <w:next w:val="1"/>
    <w:autoRedefine/>
    <w:qFormat/>
    <w:uiPriority w:val="0"/>
    <w:pPr>
      <w:widowControl w:val="0"/>
      <w:autoSpaceDE/>
      <w:autoSpaceDN/>
      <w:spacing w:after="120" w:line="360" w:lineRule="auto"/>
      <w:ind w:left="1680" w:firstLine="480"/>
    </w:pPr>
    <w:rPr>
      <w:rFonts w:ascii="宋体" w:eastAsia="宋体"/>
      <w:sz w:val="24"/>
    </w:rPr>
  </w:style>
  <w:style w:type="character" w:styleId="19">
    <w:name w:val="annotation reference"/>
    <w:basedOn w:val="18"/>
    <w:autoRedefine/>
    <w:qFormat/>
    <w:uiPriority w:val="0"/>
    <w:rPr>
      <w:sz w:val="21"/>
      <w:szCs w:val="21"/>
    </w:rPr>
  </w:style>
  <w:style w:type="table" w:customStyle="1" w:styleId="20">
    <w:name w:val="Table Normal"/>
    <w:autoRedefine/>
    <w:qFormat/>
    <w:uiPriority w:val="0"/>
    <w:tblPr>
      <w:tblCellMar>
        <w:top w:w="0" w:type="dxa"/>
        <w:left w:w="0" w:type="dxa"/>
        <w:bottom w:w="0" w:type="dxa"/>
        <w:right w:w="0" w:type="dxa"/>
      </w:tblCellMar>
    </w:tblPr>
  </w:style>
  <w:style w:type="character" w:customStyle="1" w:styleId="21">
    <w:name w:val="页眉 字符"/>
    <w:basedOn w:val="18"/>
    <w:link w:val="15"/>
    <w:autoRedefine/>
    <w:qFormat/>
    <w:uiPriority w:val="0"/>
    <w:rPr>
      <w:rFonts w:eastAsia="Arial"/>
      <w:snapToGrid w:val="0"/>
      <w:color w:val="000000"/>
      <w:sz w:val="18"/>
      <w:szCs w:val="18"/>
    </w:rPr>
  </w:style>
  <w:style w:type="character" w:customStyle="1" w:styleId="22">
    <w:name w:val="页脚 字符"/>
    <w:basedOn w:val="18"/>
    <w:link w:val="14"/>
    <w:autoRedefine/>
    <w:qFormat/>
    <w:uiPriority w:val="99"/>
    <w:rPr>
      <w:rFonts w:eastAsia="Arial"/>
      <w:snapToGrid w:val="0"/>
      <w:color w:val="000000"/>
      <w:sz w:val="18"/>
      <w:szCs w:val="18"/>
    </w:rPr>
  </w:style>
  <w:style w:type="paragraph" w:styleId="23">
    <w:name w:val="List Paragraph"/>
    <w:basedOn w:val="1"/>
    <w:autoRedefine/>
    <w:qFormat/>
    <w:uiPriority w:val="99"/>
    <w:pPr>
      <w:ind w:firstLine="420"/>
    </w:pPr>
  </w:style>
  <w:style w:type="character" w:customStyle="1" w:styleId="24">
    <w:name w:val="批注框文本 字符"/>
    <w:basedOn w:val="18"/>
    <w:link w:val="13"/>
    <w:autoRedefine/>
    <w:qFormat/>
    <w:uiPriority w:val="0"/>
    <w:rPr>
      <w:rFonts w:eastAsia="Arial"/>
      <w:snapToGrid w:val="0"/>
      <w:color w:val="000000"/>
      <w:sz w:val="18"/>
      <w:szCs w:val="18"/>
    </w:rPr>
  </w:style>
  <w:style w:type="character" w:customStyle="1" w:styleId="25">
    <w:name w:val="正文文本 字符"/>
    <w:basedOn w:val="18"/>
    <w:link w:val="8"/>
    <w:autoRedefine/>
    <w:qFormat/>
    <w:uiPriority w:val="0"/>
    <w:rPr>
      <w:rFonts w:eastAsia="Arial"/>
      <w:snapToGrid w:val="0"/>
      <w:color w:val="000000"/>
      <w:sz w:val="21"/>
      <w:szCs w:val="21"/>
    </w:rPr>
  </w:style>
  <w:style w:type="character" w:customStyle="1" w:styleId="26">
    <w:name w:val="标题 3 字符"/>
    <w:basedOn w:val="18"/>
    <w:link w:val="4"/>
    <w:autoRedefine/>
    <w:qFormat/>
    <w:uiPriority w:val="0"/>
    <w:rPr>
      <w:rFonts w:ascii="Times New Roman" w:hAnsi="Times New Roman" w:cs="Times New Roman"/>
      <w:b/>
      <w:bCs/>
      <w:kern w:val="2"/>
      <w:sz w:val="28"/>
      <w:szCs w:val="32"/>
    </w:rPr>
  </w:style>
  <w:style w:type="character" w:customStyle="1" w:styleId="27">
    <w:name w:val="文档结构图 字符"/>
    <w:basedOn w:val="18"/>
    <w:link w:val="6"/>
    <w:autoRedefine/>
    <w:qFormat/>
    <w:uiPriority w:val="0"/>
    <w:rPr>
      <w:rFonts w:ascii="宋体"/>
      <w:snapToGrid w:val="0"/>
      <w:color w:val="000000"/>
      <w:sz w:val="18"/>
      <w:szCs w:val="18"/>
    </w:rPr>
  </w:style>
  <w:style w:type="paragraph" w:customStyle="1" w:styleId="28">
    <w:name w:val="表格"/>
    <w:basedOn w:val="1"/>
    <w:link w:val="29"/>
    <w:autoRedefine/>
    <w:qFormat/>
    <w:uiPriority w:val="0"/>
    <w:pPr>
      <w:spacing w:line="240" w:lineRule="auto"/>
      <w:ind w:firstLine="0" w:firstLineChars="0"/>
      <w:jc w:val="center"/>
    </w:pPr>
    <w:rPr>
      <w:rFonts w:ascii="宋体" w:hAnsi="宋体" w:eastAsia="仿宋" w:cs="宋体"/>
      <w:sz w:val="21"/>
    </w:rPr>
  </w:style>
  <w:style w:type="character" w:customStyle="1" w:styleId="29">
    <w:name w:val="表格 字符"/>
    <w:basedOn w:val="18"/>
    <w:link w:val="28"/>
    <w:autoRedefine/>
    <w:qFormat/>
    <w:uiPriority w:val="0"/>
    <w:rPr>
      <w:rFonts w:ascii="宋体" w:hAnsi="宋体" w:eastAsia="仿宋" w:cs="宋体"/>
      <w:snapToGrid w:val="0"/>
      <w:color w:val="000000"/>
      <w:sz w:val="21"/>
      <w:szCs w:val="21"/>
    </w:rPr>
  </w:style>
  <w:style w:type="character" w:customStyle="1" w:styleId="30">
    <w:name w:val="正文文本首行缩进 2 字符"/>
    <w:basedOn w:val="31"/>
    <w:link w:val="2"/>
    <w:autoRedefine/>
    <w:qFormat/>
    <w:uiPriority w:val="0"/>
    <w:rPr>
      <w:kern w:val="2"/>
      <w:sz w:val="28"/>
      <w:szCs w:val="24"/>
    </w:rPr>
  </w:style>
  <w:style w:type="character" w:customStyle="1" w:styleId="31">
    <w:name w:val="正文文本缩进 字符"/>
    <w:basedOn w:val="18"/>
    <w:link w:val="3"/>
    <w:autoRedefine/>
    <w:qFormat/>
    <w:uiPriority w:val="0"/>
    <w:rPr>
      <w:kern w:val="2"/>
      <w:sz w:val="28"/>
      <w:szCs w:val="24"/>
    </w:rPr>
  </w:style>
  <w:style w:type="paragraph" w:customStyle="1" w:styleId="32">
    <w:name w:val="别动"/>
    <w:basedOn w:val="33"/>
    <w:autoRedefine/>
    <w:qFormat/>
    <w:uiPriority w:val="0"/>
    <w:pPr>
      <w:spacing w:line="340" w:lineRule="exact"/>
    </w:pPr>
    <w:rPr>
      <w:rFonts w:ascii="Times New Roman" w:hAnsi="Times New Roman" w:eastAsia="宋体"/>
      <w:b w:val="0"/>
      <w:sz w:val="21"/>
    </w:rPr>
  </w:style>
  <w:style w:type="paragraph" w:customStyle="1" w:styleId="33">
    <w:name w:val="表头"/>
    <w:basedOn w:val="1"/>
    <w:next w:val="32"/>
    <w:autoRedefine/>
    <w:qFormat/>
    <w:uiPriority w:val="0"/>
    <w:pPr>
      <w:spacing w:line="240" w:lineRule="auto"/>
      <w:ind w:firstLine="0" w:firstLineChars="0"/>
      <w:jc w:val="center"/>
    </w:pPr>
    <w:rPr>
      <w:rFonts w:hint="eastAsia"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2A42A-0D7F-48CA-BAC7-42AC021E2F2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1180</Words>
  <Characters>6729</Characters>
  <Lines>56</Lines>
  <Paragraphs>15</Paragraphs>
  <TotalTime>1</TotalTime>
  <ScaleCrop>false</ScaleCrop>
  <LinksUpToDate>false</LinksUpToDate>
  <CharactersWithSpaces>7894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Administrator</cp:lastModifiedBy>
  <cp:lastPrinted>2022-02-10T10:24:00Z</cp:lastPrinted>
  <dcterms:modified xsi:type="dcterms:W3CDTF">2024-04-17T06:29:53Z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2052-12.1.0.16729</vt:lpwstr>
  </property>
  <property fmtid="{D5CDD505-2E9C-101B-9397-08002B2CF9AE}" pid="5" name="ICV">
    <vt:lpwstr>4F121536321C41BAB51B29743B4DE295_13</vt:lpwstr>
  </property>
</Properties>
</file>