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1F2329"/>
          <w:kern w:val="0"/>
          <w:sz w:val="32"/>
          <w:szCs w:val="32"/>
          <w:lang w:val="en-US" w:eastAsia="zh-CN" w:bidi="ar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i w:val="0"/>
          <w:caps w:val="0"/>
          <w:color w:val="FF0000"/>
          <w:spacing w:val="-20"/>
          <w:sz w:val="44"/>
          <w:szCs w:val="44"/>
          <w:shd w:val="clear" w:fill="FFFFFF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  <w:lang w:val="en-US" w:eastAsia="zh-CN"/>
        </w:rPr>
        <w:t>关于对哈密市第二小学等27所义务教育学校发展性评价工作的终结性督导评价结果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/>
          <w:b/>
          <w:bCs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1F2329"/>
          <w:kern w:val="0"/>
          <w:sz w:val="32"/>
          <w:szCs w:val="32"/>
          <w:lang w:val="en-US" w:eastAsia="zh-CN" w:bidi="ar"/>
        </w:rPr>
        <w:t>为健全立德树人育人机制，贯彻落实中共中央、国务院《深化新时代教育评价改革总体方案》和教育部等六部门《义务教育质量评价指南》精神，全面了解伊州区义务教育阶段学校发展状况，引导学校规范办学、特色发展、提升质量，2026年4月至5月伊州区教育局组织教育督导工作人员以及党建、教学、思政、安全等各项工作专业人员组成评价小组，对辖区内27所义务教育阶段学校进行了发展性综合督导评价。现将督导评价整体情况公布如下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1F2329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1F2329"/>
          <w:sz w:val="32"/>
          <w:szCs w:val="32"/>
          <w:lang w:val="en-US" w:eastAsia="zh-CN"/>
        </w:rPr>
        <w:t>一、基本情况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1F2329"/>
          <w:kern w:val="0"/>
          <w:sz w:val="32"/>
          <w:szCs w:val="32"/>
          <w:lang w:val="en-US" w:eastAsia="zh-CN" w:bidi="ar"/>
        </w:rPr>
        <w:t>本次对伊州区27所义务教育学校开展的发展性评价综合督评工作，涵盖22所小学、1所初级中学、4所九年一贯制学校，覆盖学生2.73万人、专任教师2235人。历时2个月，最终形成评价结果为：优秀等次14所、良好等次9所、合格等次4所，无不合格学校。具体名单如下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left"/>
        <w:textAlignment w:val="auto"/>
        <w:rPr>
          <w:rFonts w:hint="eastAsia" w:ascii="楷体_GB2312" w:hAnsi="楷体_GB2312" w:eastAsia="楷体_GB2312" w:cs="楷体_GB2312"/>
          <w:color w:val="1F2329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1F2329"/>
          <w:sz w:val="32"/>
          <w:szCs w:val="32"/>
          <w:lang w:val="en-US" w:eastAsia="zh-CN"/>
        </w:rPr>
        <w:t>（一）获优秀等级的学校（14所）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1F2329"/>
          <w:kern w:val="0"/>
          <w:sz w:val="32"/>
          <w:szCs w:val="32"/>
          <w:lang w:val="en-US" w:eastAsia="zh-CN" w:bidi="ar"/>
        </w:rPr>
        <w:t>哈密市第一小学、哈密市第四小学、哈密市第五小学、哈密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left"/>
        <w:textAlignment w:val="auto"/>
        <w:rPr>
          <w:rFonts w:hint="default" w:ascii="仿宋_GB2312" w:hAnsi="仿宋_GB2312" w:eastAsia="仿宋_GB2312" w:cs="仿宋_GB2312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1F2329"/>
          <w:kern w:val="0"/>
          <w:sz w:val="32"/>
          <w:szCs w:val="32"/>
          <w:lang w:val="en-US" w:eastAsia="zh-CN" w:bidi="ar"/>
        </w:rPr>
        <w:t>市第八小学、哈密市第十三小学、哈密市第十五小学、哈密市第六中学、哈密市第七中学、哈密市第八中学、哈密市第十二中学、哈密市第十六中学、哈密市豫哈第三实验学校、哈密市伊州区二堡镇第二小学、哈密市伊州区陶家宫镇中心小学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left"/>
        <w:textAlignment w:val="auto"/>
        <w:rPr>
          <w:rFonts w:hint="eastAsia" w:ascii="楷体_GB2312" w:hAnsi="楷体_GB2312" w:eastAsia="楷体_GB2312" w:cs="楷体_GB2312"/>
          <w:color w:val="1F2329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1F2329"/>
          <w:sz w:val="32"/>
          <w:szCs w:val="32"/>
          <w:lang w:val="en-US" w:eastAsia="zh-CN"/>
        </w:rPr>
        <w:t>（二）获良好等级的学校（9所）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1F2329"/>
          <w:kern w:val="0"/>
          <w:sz w:val="32"/>
          <w:szCs w:val="32"/>
          <w:lang w:val="en-US" w:eastAsia="zh-CN" w:bidi="ar"/>
        </w:rPr>
        <w:t>哈密市第十小学、哈密市第十一中学、哈密市伊州区陶家宫镇黄宫小学、哈密市伊州区花园乡第二小学、哈密市伊州区西山乡中心小学、哈密市伊州区大泉湾乡圪塔井小学、哈密市伊州区天山乡二道沟小学、哈密市伊州区沁城乡小堡侨心希望小学、哈密市伊州区沁城乡骆驼圈子开发区小学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left"/>
        <w:textAlignment w:val="auto"/>
        <w:rPr>
          <w:rFonts w:hint="default" w:ascii="楷体_GB2312" w:hAnsi="楷体_GB2312" w:eastAsia="楷体_GB2312" w:cs="楷体_GB2312"/>
          <w:color w:val="1F2329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1F2329"/>
          <w:sz w:val="32"/>
          <w:szCs w:val="32"/>
          <w:lang w:val="en-US" w:eastAsia="zh-CN"/>
        </w:rPr>
        <w:t>（三）合格学校（4所）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1F2329"/>
          <w:kern w:val="0"/>
          <w:sz w:val="32"/>
          <w:szCs w:val="32"/>
          <w:lang w:val="en-US" w:eastAsia="zh-CN" w:bidi="ar"/>
        </w:rPr>
        <w:t>哈密市伊州区乌拉台哈萨克民族乡小学、哈密市伊州区五堡镇中心小学、哈密市伊州区德外里都如克哈萨克民族乡南戈壁开发区小学、哈密市伊州区松树塘小学。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1F2329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1F2329"/>
          <w:sz w:val="32"/>
          <w:szCs w:val="32"/>
          <w:lang w:val="en-US" w:eastAsia="zh-CN"/>
        </w:rPr>
        <w:t>二、评价工作开展情况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1F2329"/>
          <w:kern w:val="0"/>
          <w:sz w:val="32"/>
          <w:szCs w:val="32"/>
          <w:lang w:val="en-US" w:eastAsia="zh-CN" w:bidi="ar"/>
        </w:rPr>
        <w:t>本次发展性评价工作遵循依然“以评促建、以评促改、重在导向”的原则，依据国家及自治区、哈密市有关义务教育办学标准与质量评价要求，及符合我区实际的科学的评价指标体系。通过听取汇报、实地察看、随堂听课、查阅资料、师生访谈、问卷调查等多种方式，聚焦办学方向、课程教学、教师发展、学校管理、学生发展、资源配置及办学成效等维度，面向27所学校进行了全面、深入的评价工作。整个过程程序规范、客观公正，旨在为学校把脉问诊，促进其可持续发展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1F2329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1F2329"/>
          <w:sz w:val="32"/>
          <w:szCs w:val="32"/>
          <w:lang w:val="en-US" w:eastAsia="zh-CN"/>
        </w:rPr>
        <w:t>三、主要成效与特色亮点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left"/>
        <w:textAlignment w:val="auto"/>
        <w:rPr>
          <w:rFonts w:hint="eastAsia" w:ascii="楷体_GB2312" w:hAnsi="楷体_GB2312" w:eastAsia="楷体_GB2312" w:cs="楷体_GB2312"/>
          <w:color w:val="1F2329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1F2329"/>
          <w:sz w:val="32"/>
          <w:szCs w:val="32"/>
          <w:lang w:val="en-US" w:eastAsia="zh-CN"/>
        </w:rPr>
        <w:t>（一）党建引领筑阵地，特色办学树品牌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1F2329"/>
          <w:kern w:val="0"/>
          <w:sz w:val="32"/>
          <w:szCs w:val="32"/>
          <w:lang w:val="en-US" w:eastAsia="zh-CN" w:bidi="ar"/>
        </w:rPr>
        <w:t>各校坚持党建领航，将立德树人贯穿办学全过程，结合地域文化、红色资源打造差异化办学品牌，育人底色鲜明。哈密市第八小学依托“红军小学”身份，打造“红・融”文化，让红色基因浸润校园，红色育人成果获评自治区教学成果一等奖。哈密市第二小学以“1223”党建品牌为引领，打造“雅乐”校园文化与“一轴两翼三成”校本课程体系健全，孝德文化、红色教育深度融合，形成鲜明的办学特色。二堡镇第二小学深挖坎儿井历史文化，确立“井”文化与思源教育办学理念，创新打造“锄厨乐”劳动教育体系、整本书阅读两大特色项目，劳动实践与书香校园建设成效突出。沁城乡小堡侨心希望小学打造“党建+戍边文化”办学特色，创立“戍边铸魂”德育品牌，深度融入戍边精神、左宗棠精神、哈密精神与本土文化，形成铸心、铸魂育人模式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left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（二）抓实常规强管理，深耕课堂提效能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1F2329"/>
          <w:kern w:val="0"/>
          <w:sz w:val="32"/>
          <w:szCs w:val="32"/>
          <w:lang w:val="en-US" w:eastAsia="zh-CN" w:bidi="ar"/>
        </w:rPr>
        <w:t>各校严格落实“双减”政策，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none"/>
          <w:lang w:val="en-US" w:eastAsia="zh-CN" w:bidi="ar"/>
        </w:rPr>
        <w:t>规范课程开设与教学常规，</w:t>
      </w:r>
      <w:r>
        <w:rPr>
          <w:rFonts w:hint="eastAsia" w:ascii="仿宋_GB2312" w:hAnsi="仿宋_GB2312" w:eastAsia="仿宋_GB2312" w:cs="仿宋_GB2312"/>
          <w:color w:val="1F2329"/>
          <w:kern w:val="0"/>
          <w:sz w:val="32"/>
          <w:szCs w:val="32"/>
          <w:lang w:val="en-US" w:eastAsia="zh-CN" w:bidi="ar"/>
        </w:rPr>
        <w:t>持续推进课堂改革、课后服务与校本课程建设。哈密市第四小学秉持“和而不同、谐而共生”理念，打造“和善”课堂模式，开发篮球、硬笔书法等特色课程，获评自治区美育书法特色校，课后服务体系完善、形式丰富。哈密市第十五小学立足瓜乡地域文化，系统构建“甘甜教育”课程体系，开发十五门特色校本课程，形成“课堂+社团+活动”多元教学模式，课程建设体系化、特色化水平突出。陶家宫中心小学构建“根基教育”与“陶源课程”体系，联动空军雷达连开展军民共建活动，依托腰鼓、武术、书法等社团传承中华优秀传统文化，教学质量逐年提升。哈密市第十三小学聚焦科学教育，依托航模、无人机等特色课程，社团活动参与率高，教学成果显著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left"/>
        <w:textAlignment w:val="auto"/>
        <w:rPr>
          <w:rFonts w:hint="eastAsia" w:ascii="楷体_GB2312" w:hAnsi="楷体_GB2312" w:eastAsia="楷体_GB2312" w:cs="楷体_GB2312"/>
          <w:color w:val="1F2329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1F2329"/>
          <w:sz w:val="32"/>
          <w:szCs w:val="32"/>
          <w:lang w:val="en-US" w:eastAsia="zh-CN"/>
        </w:rPr>
        <w:t>（三）健全培育体系，激活队伍动能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1F2329"/>
          <w:kern w:val="0"/>
          <w:sz w:val="32"/>
          <w:szCs w:val="32"/>
          <w:lang w:val="en-US" w:eastAsia="zh-CN" w:bidi="ar"/>
        </w:rPr>
        <w:t>各校完善教师培养、考核与激励体系，抓实师德师风与专业发展，师资队伍建设成效显著。哈密市第五小学搭建“四阶梯队”（筑基、成长、成熟、成就）培养体系，完善“新秀-骨干-名师”梯队培养机制，助推教师成长，教师各级获奖数量多，梯队建设成果亮眼。十二中完善“新教师筑基—青年教师培优—骨干引领—学科带头人领航”四级阶梯培育体系，依托外出研修、赛课比拼、课题立项、数字技能实训等多元路径，分层提升教师专业素养与信息化执教能力。哈密市第七中学扎实推进校本研修与班主任队伍建设，以集体备课、推门听课等方式夯实教学基本功，教师业务能力稳步提升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left"/>
        <w:textAlignment w:val="auto"/>
        <w:rPr>
          <w:rFonts w:hint="eastAsia" w:ascii="楷体_GB2312" w:hAnsi="楷体_GB2312" w:eastAsia="楷体_GB2312" w:cs="楷体_GB2312"/>
          <w:color w:val="1F2329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1F2329"/>
          <w:sz w:val="32"/>
          <w:szCs w:val="32"/>
          <w:lang w:val="en-US" w:eastAsia="zh-CN"/>
        </w:rPr>
        <w:t>（四）推进精细管理，筑牢发展根基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1F2329"/>
          <w:kern w:val="0"/>
          <w:sz w:val="32"/>
          <w:szCs w:val="32"/>
          <w:lang w:val="en-US" w:eastAsia="zh-CN" w:bidi="ar"/>
        </w:rPr>
        <w:t>各校不断完善现代学校制度，抓实章程建设、民主管理、家校社协同育人、校园安全、校园文化等工作，治理能力和管理水平持续提升。哈密市第八中学以铁路文化、红色文化为核心，建设体现学校办学理念的校园文化体系，打造铁路文化长廊、红色文化展厅等教育阵地，明确学校内涵发展，办学活力持续增强。哈密市豫哈第三实验学校凝练以“三承”为核心的“融美”办学理念，通过“五育融合、文化相融、学段融通、家校社融联、科技融创”的路径，打造“一廊一坊两室六馆”特色空间，学校整体管理思路清晰，管理效能持续增强。哈密市第六中学坚守“让每一个学生都走向成功”办学宗旨，构建“润文化”育人体系，打造“哈昀润心”德育+科技创新双特色品牌，走出了一条内涵发展的办学之路。哈密市第十小学坚持精细化管理，完善教学常规、学籍管理、控辍保学等制度，校园文化以“立德、立人、立业”为内核，校风学风优良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left"/>
        <w:textAlignment w:val="auto"/>
        <w:rPr>
          <w:rFonts w:hint="eastAsia" w:ascii="楷体_GB2312" w:hAnsi="楷体_GB2312" w:eastAsia="楷体_GB2312" w:cs="楷体_GB2312"/>
          <w:color w:val="1F2329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1F2329"/>
          <w:sz w:val="32"/>
          <w:szCs w:val="32"/>
          <w:lang w:val="en-US" w:eastAsia="zh-CN"/>
        </w:rPr>
        <w:t>（五）坚持五育融合，促进全面发展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1F2329"/>
          <w:kern w:val="0"/>
          <w:sz w:val="32"/>
          <w:szCs w:val="32"/>
          <w:lang w:val="en-US" w:eastAsia="zh-CN" w:bidi="ar"/>
        </w:rPr>
        <w:t>各校聚焦五育融合，多措并举提升学生综合素养，文体、科创、实践活动硕果累累。哈密市第五小学打造“五彩品质”育人模型，构建“基础+拓展+探究”三级五彩品质课程，构建学生“五彩评价体系”，开展“五彩少年”评选，促进学生全面发展。哈密市第十六中学，建立多维度育人机制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围绕“红苗铸魂、雅苗润心、青苗塑形”构建“三苗”一体化的完整育人闭环，</w:t>
      </w:r>
      <w:r>
        <w:rPr>
          <w:rFonts w:hint="eastAsia" w:ascii="仿宋_GB2312" w:hAnsi="仿宋_GB2312" w:eastAsia="仿宋_GB2312" w:cs="仿宋_GB2312"/>
          <w:color w:val="1F2329"/>
          <w:kern w:val="0"/>
          <w:sz w:val="32"/>
          <w:szCs w:val="32"/>
          <w:lang w:val="en-US" w:eastAsia="zh-CN" w:bidi="ar"/>
        </w:rPr>
        <w:t>五育融合落地走深走实。哈密市第十一中学创新打造“校园吉尼斯”体育品牌，以体育带动学科协同发展，推进“小纸条+小目标”教学法，强化基础知识的落实，全方位培养学生综合素质。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1F2329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1F2329"/>
          <w:sz w:val="32"/>
          <w:szCs w:val="32"/>
          <w:lang w:val="en-US" w:eastAsia="zh-CN"/>
        </w:rPr>
        <w:t>四、存在的共性问题与不足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left"/>
        <w:textAlignment w:val="auto"/>
        <w:rPr>
          <w:rFonts w:hint="eastAsia" w:ascii="楷体_GB2312" w:hAnsi="楷体_GB2312" w:eastAsia="楷体_GB2312" w:cs="楷体_GB2312"/>
          <w:color w:val="1F2329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1F2329"/>
          <w:sz w:val="32"/>
          <w:szCs w:val="32"/>
          <w:lang w:val="en-US" w:eastAsia="zh-CN"/>
        </w:rPr>
        <w:t>（一）办学理念与规划落地不实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1F2329"/>
          <w:kern w:val="0"/>
          <w:sz w:val="32"/>
          <w:szCs w:val="32"/>
          <w:lang w:val="en-US" w:eastAsia="zh-CN" w:bidi="ar"/>
        </w:rPr>
        <w:t>多数学校虽明确办学理念、制定中长期发展规划，但存在“重制定、轻落实”问题。办学理念与课堂教学、班级管理、校本教研结合不紧密，未能全面融入日常工作；发展规划缺乏清单化、节点化管理，校内督导、复盘机制不完善，部分目标推进滞后。制度执行流于表面，精细化管理水平有待提升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left"/>
        <w:textAlignment w:val="auto"/>
        <w:rPr>
          <w:rFonts w:hint="eastAsia" w:ascii="楷体_GB2312" w:hAnsi="楷体_GB2312" w:eastAsia="楷体_GB2312" w:cs="楷体_GB2312"/>
          <w:color w:val="1F2329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1F2329"/>
          <w:sz w:val="32"/>
          <w:szCs w:val="32"/>
          <w:lang w:val="en-US" w:eastAsia="zh-CN"/>
        </w:rPr>
        <w:t>（二）教育教研能力整体偏弱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1F2329"/>
          <w:kern w:val="0"/>
          <w:sz w:val="32"/>
          <w:szCs w:val="32"/>
          <w:lang w:val="en-US" w:eastAsia="zh-CN" w:bidi="ar"/>
        </w:rPr>
        <w:t>各校普遍存在教科研氛围不浓厚的问题，部分教师教研主动性不足，存在“重教学、轻研究”的思想。校本教研形式单一，多以集体备课为主，研究深度不够；教学研究推进缓慢，研究内容与课堂实际脱节，教研成果偏少，成果转化、总结推广能力不足。此外，课后服务同质化问题突出，特色课程数量不足，校外优质资源引入较少，难以满足学生个性化发展需求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left"/>
        <w:textAlignment w:val="auto"/>
        <w:rPr>
          <w:rFonts w:hint="eastAsia" w:ascii="楷体_GB2312" w:hAnsi="楷体_GB2312" w:eastAsia="楷体_GB2312" w:cs="楷体_GB2312"/>
          <w:color w:val="1F2329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1F2329"/>
          <w:sz w:val="32"/>
          <w:szCs w:val="32"/>
          <w:lang w:val="en-US" w:eastAsia="zh-CN"/>
        </w:rPr>
        <w:t>（三）师资队伍存在结构性短板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1F2329"/>
          <w:kern w:val="0"/>
          <w:sz w:val="32"/>
          <w:szCs w:val="32"/>
          <w:lang w:val="en-US" w:eastAsia="zh-CN" w:bidi="ar"/>
        </w:rPr>
        <w:t>师资配置不均衡是普遍问题，音体美、心理健康、劳动教育等学科专任教师短缺，多由其他学科教师兼任。部分教师信息化教学能力、课堂创新能力不足，信息化资源运用不够充分。同时，骨干教师、名师工作室的辐射引领作用发挥不充分，教师分层培养、典型选树机制不够完善，队伍整体专业提升速度较慢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left"/>
        <w:textAlignment w:val="auto"/>
        <w:rPr>
          <w:rFonts w:hint="eastAsia" w:ascii="楷体_GB2312" w:hAnsi="楷体_GB2312" w:eastAsia="楷体_GB2312" w:cs="楷体_GB2312"/>
          <w:color w:val="1F2329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1F2329"/>
          <w:sz w:val="32"/>
          <w:szCs w:val="32"/>
          <w:lang w:val="en-US" w:eastAsia="zh-CN"/>
        </w:rPr>
        <w:t>（四）思政教育与评价体系不完善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1F2329"/>
          <w:kern w:val="0"/>
          <w:sz w:val="32"/>
          <w:szCs w:val="32"/>
          <w:lang w:val="en-US" w:eastAsia="zh-CN" w:bidi="ar"/>
        </w:rPr>
        <w:t>思政德育、心理健康教育形式较为传统，活动载体创新性不足，多以主题班会、讲座为主，实践类、体验类活动偏少。学生综合素质评价体系不够健全，评价指标不够细化，过程性资料收集不完整，连续性评价缺失，评价结果运用不足，未能充分发挥以评促学、以评促教的作用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left"/>
        <w:textAlignment w:val="auto"/>
        <w:rPr>
          <w:rFonts w:hint="eastAsia" w:ascii="楷体_GB2312" w:hAnsi="楷体_GB2312" w:eastAsia="楷体_GB2312" w:cs="楷体_GB2312"/>
          <w:b/>
          <w:bCs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b/>
          <w:bCs/>
          <w:color w:val="1F2329"/>
          <w:kern w:val="0"/>
          <w:sz w:val="32"/>
          <w:szCs w:val="32"/>
          <w:lang w:val="en-US" w:eastAsia="zh-CN" w:bidi="ar"/>
        </w:rPr>
        <w:t>（五）协同育人机制不健全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1F2329"/>
          <w:kern w:val="0"/>
          <w:sz w:val="32"/>
          <w:szCs w:val="32"/>
          <w:lang w:val="en-US" w:eastAsia="zh-CN" w:bidi="ar"/>
        </w:rPr>
        <w:t>家校社联动存在明显短板，家长学校、家委会功能未能充分激活，家校沟通形式单一，多以通知、家长会为主，深度互动不足。学校对社区、红色场馆、实践基地等社会资源利用不充分，</w:t>
      </w:r>
      <w:r>
        <w:rPr>
          <w:rFonts w:hint="eastAsia" w:ascii="仿宋_GB2312" w:hAnsi="仿宋_GB2312" w:eastAsia="仿宋_GB2312" w:cs="仿宋_GB2312"/>
          <w:color w:val="1F2329"/>
          <w:spacing w:val="-11"/>
          <w:kern w:val="0"/>
          <w:sz w:val="32"/>
          <w:szCs w:val="32"/>
          <w:lang w:val="en-US" w:eastAsia="zh-CN" w:bidi="ar"/>
        </w:rPr>
        <w:t>未能构建常态化协同育人模式，家校社三方育人合力尚未完全形成。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五、督导意见与改进建议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b/>
          <w:bCs/>
          <w:color w:val="1F2329"/>
          <w:kern w:val="0"/>
          <w:sz w:val="32"/>
          <w:szCs w:val="32"/>
          <w:lang w:val="en-US" w:eastAsia="zh-CN" w:bidi="ar"/>
        </w:rPr>
        <w:t>（一）抓实理念落地，强化规划执行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1F2329"/>
          <w:kern w:val="0"/>
          <w:sz w:val="32"/>
          <w:szCs w:val="32"/>
          <w:lang w:val="en-US" w:eastAsia="zh-CN" w:bidi="ar"/>
        </w:rPr>
        <w:t>各学校要深化办学理念解读与实践运用，将校园文化、办学特色融入教学、德育、管理各个环节。对中长期发展规划进行细化分解，实行清单化、台账式管理，确保各项任务落地见效。持续完善各项规章制度，加大制度执行的监督力度，全面提升学校精细化治理水平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kern w:val="0"/>
          <w:sz w:val="32"/>
          <w:szCs w:val="32"/>
          <w:lang w:val="en-US" w:eastAsia="zh-CN" w:bidi="ar"/>
        </w:rPr>
        <w:t>（二）深耕教研教改，提升教学质量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1F2329"/>
          <w:kern w:val="0"/>
          <w:sz w:val="32"/>
          <w:szCs w:val="32"/>
          <w:lang w:val="en-US" w:eastAsia="zh-CN" w:bidi="ar"/>
        </w:rPr>
        <w:t>树立“以研促教”理念，丰富校本教研形式，完善教科研激励机制。加强区域、校际教研联动，促进优质资源共享。同时丰富课后服务内容，积极对接校外机构、场馆，打造精品特色社团，推动课后服务提质升级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kern w:val="0"/>
          <w:sz w:val="32"/>
          <w:szCs w:val="32"/>
          <w:lang w:val="en-US" w:eastAsia="zh-CN" w:bidi="ar"/>
        </w:rPr>
        <w:t>（三）优化师资建设，强化队伍培养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1F2329"/>
          <w:kern w:val="0"/>
          <w:sz w:val="32"/>
          <w:szCs w:val="32"/>
          <w:lang w:val="en-US" w:eastAsia="zh-CN" w:bidi="ar"/>
        </w:rPr>
        <w:t>常态化开展信息化教学、课堂技能、师德师风专项培训，完善“青蓝工程”与名师工作室运行机制，充分发挥骨干名师的传帮带作用。健全评优树先机制，挖掘宣传先进典型，打造一支师德高尚、业务精湛的教师队伍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kern w:val="0"/>
          <w:sz w:val="32"/>
          <w:szCs w:val="32"/>
          <w:lang w:val="en-US" w:eastAsia="zh-CN" w:bidi="ar"/>
        </w:rPr>
        <w:t>（四）创新德育形式，完善评价体系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1F2329"/>
          <w:kern w:val="0"/>
          <w:sz w:val="32"/>
          <w:szCs w:val="32"/>
          <w:lang w:val="en-US" w:eastAsia="zh-CN" w:bidi="ar"/>
        </w:rPr>
        <w:t>丰富思政德育与心理健康教育载体，结合红色资源、传统文化、社会实践开展体验式、沉浸式活动，提升育人吸引力。进一步细化学生综合素质评价指标，强化评价结果运用，让评价真正服务于学生成长与教学改进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kern w:val="0"/>
          <w:sz w:val="32"/>
          <w:szCs w:val="32"/>
          <w:lang w:val="en-US" w:eastAsia="zh-CN" w:bidi="ar"/>
        </w:rPr>
        <w:t>（五）凝聚育人合力，深化特色发展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1F2329"/>
          <w:kern w:val="0"/>
          <w:sz w:val="32"/>
          <w:szCs w:val="32"/>
          <w:lang w:val="en-US" w:eastAsia="zh-CN" w:bidi="ar"/>
        </w:rPr>
        <w:t>激活家委会、家长学校职能，丰富家校互动。主动联动社区、红色教育基地、劳动实践场所等，搭建多元化实践平台，构建家校社协同育人共同体。立足现有特色基础，深挖地域、红色、文化资源，持续打磨“一校一品”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1F2329"/>
          <w:kern w:val="0"/>
          <w:sz w:val="32"/>
          <w:szCs w:val="32"/>
          <w:lang w:val="en-US" w:eastAsia="zh-CN" w:bidi="ar"/>
        </w:rPr>
        <w:t>办学品牌，积极争创各类示范校，以特色发展驱动学校内涵提升，全力推进区域义务教育优质均衡发展。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color w:val="1F2329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color w:val="1F2329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color w:val="1F2329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80" w:firstLineChars="1400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哈密市伊州区教育局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20" w:firstLineChars="1600"/>
        <w:textAlignment w:val="auto"/>
        <w:rPr>
          <w:rFonts w:hint="eastAsia" w:ascii="仿宋_GB2312" w:hAnsi="仿宋_GB2312" w:eastAsia="仿宋_GB2312" w:cs="仿宋_GB2312"/>
          <w:color w:val="FF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2026年6月</w:t>
      </w:r>
    </w:p>
    <w:sectPr>
      <w:footerReference r:id="rId3" w:type="default"/>
      <w:pgSz w:w="11906" w:h="16838"/>
      <w:pgMar w:top="2098" w:right="1531" w:bottom="1984" w:left="1531" w:header="851" w:footer="1417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altName w:val="方正仿宋_GBK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MS PGothic">
    <w:panose1 w:val="020B0600070205080204"/>
    <w:charset w:val="80"/>
    <w:family w:val="auto"/>
    <w:pitch w:val="default"/>
    <w:sig w:usb0="E00002FF" w:usb1="6AC7FDFB" w:usb2="00000012" w:usb3="00000000" w:csb0="4002009F" w:csb1="DFD7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-76200</wp:posOffset>
              </wp:positionV>
              <wp:extent cx="722630" cy="34036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2630" cy="3403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6pt;height:26.8pt;width:56.9pt;mso-position-horizontal:outside;mso-position-horizontal-relative:margin;z-index:251659264;mso-width-relative:page;mso-height-relative:page;" filled="f" stroked="f" coordsize="21600,21600" o:gfxdata="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D+LnbF1QAAAAcBAAAPAAAAAAAAAAEAIAAAACIAAABkcnMvZG93bnJldi54&#10;bWxQSwECFAAUAAAACACHTuJAEUUwDzYCAABhBAAADgAAAAAAAAABACAAAAAkAQAAZHJzL2Uyb0Rv&#10;Yy54bWxQSwUGAAAAAAYABgBZAQAAzAU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44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8D4C82"/>
    <w:rsid w:val="060B6548"/>
    <w:rsid w:val="065E48D5"/>
    <w:rsid w:val="0B0E45DE"/>
    <w:rsid w:val="0B556383"/>
    <w:rsid w:val="109E3515"/>
    <w:rsid w:val="12022BFD"/>
    <w:rsid w:val="13A97FE3"/>
    <w:rsid w:val="16A6414F"/>
    <w:rsid w:val="17DF4887"/>
    <w:rsid w:val="1C143113"/>
    <w:rsid w:val="1D803735"/>
    <w:rsid w:val="1DF7641C"/>
    <w:rsid w:val="1F7E121C"/>
    <w:rsid w:val="1FC71E3C"/>
    <w:rsid w:val="207548C7"/>
    <w:rsid w:val="21F34B36"/>
    <w:rsid w:val="2396001D"/>
    <w:rsid w:val="2DA921BD"/>
    <w:rsid w:val="35CD6D50"/>
    <w:rsid w:val="36BF764E"/>
    <w:rsid w:val="38571588"/>
    <w:rsid w:val="3888024E"/>
    <w:rsid w:val="3A3D3FFB"/>
    <w:rsid w:val="3CA03CE0"/>
    <w:rsid w:val="3CEB2A01"/>
    <w:rsid w:val="3E400E55"/>
    <w:rsid w:val="3F424C6F"/>
    <w:rsid w:val="409A5F8A"/>
    <w:rsid w:val="41423D8A"/>
    <w:rsid w:val="45217217"/>
    <w:rsid w:val="45B40671"/>
    <w:rsid w:val="461B726A"/>
    <w:rsid w:val="462875A5"/>
    <w:rsid w:val="494D05CE"/>
    <w:rsid w:val="49E95664"/>
    <w:rsid w:val="4F7E6CCC"/>
    <w:rsid w:val="50764320"/>
    <w:rsid w:val="51E979AC"/>
    <w:rsid w:val="54D2451C"/>
    <w:rsid w:val="574A04EC"/>
    <w:rsid w:val="598D4C82"/>
    <w:rsid w:val="5DE7A97F"/>
    <w:rsid w:val="5E181858"/>
    <w:rsid w:val="5F3F35A5"/>
    <w:rsid w:val="626F271D"/>
    <w:rsid w:val="65032333"/>
    <w:rsid w:val="65A704EF"/>
    <w:rsid w:val="6E7D4780"/>
    <w:rsid w:val="6FE10F0A"/>
    <w:rsid w:val="71023D91"/>
    <w:rsid w:val="74DC43D7"/>
    <w:rsid w:val="7B240639"/>
    <w:rsid w:val="7D80359C"/>
    <w:rsid w:val="7D8C2C10"/>
    <w:rsid w:val="7F7EC930"/>
    <w:rsid w:val="A3ADE73E"/>
    <w:rsid w:val="AFFD8225"/>
    <w:rsid w:val="B8768B3F"/>
    <w:rsid w:val="BE67E5E8"/>
    <w:rsid w:val="EBFA1091"/>
    <w:rsid w:val="FF549CCE"/>
    <w:rsid w:val="FFFF8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9">
    <w:name w:val="BodyText"/>
    <w:basedOn w:val="1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3345</Words>
  <Characters>3388</Characters>
  <Lines>0</Lines>
  <Paragraphs>0</Paragraphs>
  <TotalTime>3</TotalTime>
  <ScaleCrop>false</ScaleCrop>
  <LinksUpToDate>false</LinksUpToDate>
  <CharactersWithSpaces>3474</CharactersWithSpaces>
  <Application>WPS Office_11.8.2.12251_F1E327BC-269C-435d-A152-05C5408002CA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2025-08-29T01:34:00Z</dcterms:created>
  <dc:creator>Administrator</dc:creator>
  <cp:lastModifiedBy>Administrator</cp:lastModifiedBy>
  <cp:lastPrinted>2025-09-25T09:29:00Z</cp:lastPrinted>
  <dcterms:modified xsi:type="dcterms:W3CDTF">2026-06-25T08:50:11Z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2052-11.8.2.12251</vt:lpwstr>
  </property>
  <property fmtid="{D5CDD505-2E9C-101B-9397-08002B2CF9AE}" pid="3" name="KSOTemplateDocerSaveRecord">
    <vt:lpwstr>eyJoZGlkIjoiYjU2MzJhZDllMzY3MzFiYjIzZTcxZjlhYjM0M2NmMzMiLCJ1c2VySWQiOiI0NjA5NDA4NzcifQ==</vt:lpwstr>
  </property>
  <property fmtid="{D5CDD505-2E9C-101B-9397-08002B2CF9AE}" pid="4" name="ICV">
    <vt:lpwstr>648D2103064B426CAB532116E045D5D5_12</vt:lpwstr>
  </property>
</Properties>
</file>