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line="258" w:lineRule="auto"/>
      </w:pPr>
    </w:p>
    <w:p>
      <w:pPr>
        <w:pStyle w:val="2"/>
        <w:spacing w:line="258" w:lineRule="auto"/>
      </w:pPr>
    </w:p>
    <w:p>
      <w:pPr>
        <w:pStyle w:val="2"/>
        <w:spacing w:line="259" w:lineRule="auto"/>
      </w:pPr>
    </w:p>
    <w:p>
      <w:pPr>
        <w:pStyle w:val="2"/>
        <w:spacing w:line="259" w:lineRule="auto"/>
      </w:pPr>
    </w:p>
    <w:p>
      <w:pPr>
        <w:pStyle w:val="2"/>
        <w:spacing w:line="259" w:lineRule="auto"/>
      </w:pPr>
    </w:p>
    <w:p>
      <w:pPr>
        <w:widowControl w:val="0"/>
        <w:kinsoku/>
        <w:autoSpaceDE/>
        <w:autoSpaceDN/>
        <w:adjustRightInd/>
        <w:snapToGrid/>
        <w:spacing w:line="800" w:lineRule="exact"/>
        <w:jc w:val="center"/>
        <w:textAlignment w:val="auto"/>
        <w:rPr>
          <w:rFonts w:hint="eastAsia" w:eastAsia="方正小标宋简体" w:asciiTheme="minorHAnsi" w:hAnsiTheme="minorHAnsi" w:cstheme="minorBidi"/>
          <w:snapToGrid/>
          <w:kern w:val="2"/>
          <w:sz w:val="44"/>
          <w:szCs w:val="44"/>
          <w:lang w:eastAsia="zh-CN"/>
        </w:rPr>
      </w:pPr>
      <w:r>
        <w:rPr>
          <w:rFonts w:hint="eastAsia" w:eastAsia="方正小标宋简体" w:asciiTheme="minorHAnsi" w:hAnsiTheme="minorHAnsi" w:cstheme="minorBidi"/>
          <w:snapToGrid/>
          <w:kern w:val="2"/>
          <w:sz w:val="44"/>
          <w:szCs w:val="44"/>
          <w:lang w:eastAsia="zh-CN"/>
        </w:rPr>
        <w:t>伊州区部门整体支出绩效评价报告</w:t>
      </w:r>
    </w:p>
    <w:p>
      <w:pPr>
        <w:widowControl w:val="0"/>
        <w:kinsoku/>
        <w:autoSpaceDE/>
        <w:autoSpaceDN/>
        <w:adjustRightInd/>
        <w:snapToGrid/>
        <w:spacing w:line="800" w:lineRule="exact"/>
        <w:jc w:val="center"/>
        <w:textAlignment w:val="auto"/>
        <w:rPr>
          <w:rFonts w:ascii="方正舒体" w:hAnsi="方正舒体" w:eastAsia="方正舒体" w:cs="方正舒体"/>
          <w:sz w:val="44"/>
          <w:szCs w:val="44"/>
        </w:rPr>
      </w:pPr>
      <w:r>
        <w:rPr>
          <w:rFonts w:hint="eastAsia" w:eastAsia="方正小标宋简体" w:asciiTheme="minorHAnsi" w:hAnsiTheme="minorHAnsi" w:cstheme="minorBidi"/>
          <w:snapToGrid/>
          <w:kern w:val="2"/>
          <w:sz w:val="44"/>
          <w:szCs w:val="44"/>
          <w:lang w:eastAsia="zh-CN"/>
        </w:rPr>
        <w:t>（2026年度）</w:t>
      </w:r>
    </w:p>
    <w:p>
      <w:pPr>
        <w:pStyle w:val="2"/>
        <w:spacing w:line="252" w:lineRule="auto"/>
      </w:pPr>
    </w:p>
    <w:p>
      <w:pPr>
        <w:pStyle w:val="2"/>
        <w:spacing w:line="252" w:lineRule="auto"/>
      </w:pPr>
    </w:p>
    <w:p>
      <w:pPr>
        <w:pStyle w:val="2"/>
        <w:spacing w:line="252" w:lineRule="auto"/>
      </w:pPr>
    </w:p>
    <w:p>
      <w:pPr>
        <w:pStyle w:val="2"/>
        <w:spacing w:line="252" w:lineRule="auto"/>
      </w:pPr>
    </w:p>
    <w:p>
      <w:pPr>
        <w:pStyle w:val="2"/>
        <w:spacing w:line="252" w:lineRule="auto"/>
      </w:pPr>
    </w:p>
    <w:p>
      <w:pPr>
        <w:pStyle w:val="2"/>
        <w:spacing w:line="252" w:lineRule="auto"/>
      </w:pPr>
    </w:p>
    <w:p>
      <w:pPr>
        <w:pStyle w:val="2"/>
        <w:spacing w:line="252" w:lineRule="auto"/>
      </w:pPr>
    </w:p>
    <w:p>
      <w:pPr>
        <w:pStyle w:val="2"/>
        <w:spacing w:line="252" w:lineRule="auto"/>
      </w:pPr>
    </w:p>
    <w:p>
      <w:pPr>
        <w:pStyle w:val="2"/>
        <w:spacing w:line="252" w:lineRule="auto"/>
      </w:pPr>
    </w:p>
    <w:p>
      <w:pPr>
        <w:pStyle w:val="2"/>
        <w:spacing w:line="252" w:lineRule="auto"/>
      </w:pPr>
    </w:p>
    <w:p>
      <w:pPr>
        <w:pStyle w:val="2"/>
        <w:spacing w:line="252" w:lineRule="auto"/>
      </w:pPr>
    </w:p>
    <w:p>
      <w:pPr>
        <w:pStyle w:val="2"/>
        <w:spacing w:line="252" w:lineRule="auto"/>
      </w:pPr>
    </w:p>
    <w:p>
      <w:pPr>
        <w:pStyle w:val="2"/>
        <w:spacing w:line="252" w:lineRule="auto"/>
      </w:pPr>
    </w:p>
    <w:p>
      <w:pPr>
        <w:pStyle w:val="2"/>
        <w:spacing w:line="252" w:lineRule="auto"/>
      </w:pPr>
    </w:p>
    <w:p>
      <w:pPr>
        <w:pStyle w:val="2"/>
        <w:spacing w:line="252" w:lineRule="auto"/>
      </w:pPr>
    </w:p>
    <w:p>
      <w:pPr>
        <w:pStyle w:val="2"/>
        <w:spacing w:line="252" w:lineRule="auto"/>
      </w:pPr>
    </w:p>
    <w:p>
      <w:pPr>
        <w:pStyle w:val="2"/>
        <w:spacing w:line="252" w:lineRule="auto"/>
      </w:pPr>
    </w:p>
    <w:p>
      <w:pPr>
        <w:spacing w:before="133" w:line="189" w:lineRule="auto"/>
        <w:ind w:left="489" w:firstLine="640" w:firstLineChars="200"/>
        <w:rPr>
          <w:rFonts w:hint="eastAsia" w:ascii="Times New Roman" w:hAnsi="Times New Roman" w:eastAsia="仿宋_GB2312" w:cstheme="minorBidi"/>
          <w:snapToGrid/>
          <w:color w:val="000000"/>
          <w:kern w:val="2"/>
          <w:sz w:val="32"/>
          <w:szCs w:val="32"/>
          <w:u w:val="none"/>
          <w:lang w:val="en-US" w:eastAsia="zh-CN" w:bidi="ar-SA"/>
        </w:rPr>
      </w:pPr>
      <w:r>
        <w:rPr>
          <w:rFonts w:hint="eastAsia" w:ascii="Times New Roman" w:hAnsi="Times New Roman" w:eastAsia="仿宋_GB2312" w:cstheme="minorBidi"/>
          <w:snapToGrid/>
          <w:color w:val="000000"/>
          <w:kern w:val="2"/>
          <w:sz w:val="32"/>
          <w:szCs w:val="32"/>
          <w:u w:val="none"/>
          <w:lang w:val="en-US" w:eastAsia="zh-CN" w:bidi="ar-SA"/>
        </w:rPr>
        <w:t>部门名称：</w:t>
      </w:r>
      <w:r>
        <w:rPr>
          <w:rFonts w:hint="eastAsia" w:ascii="Times New Roman" w:hAnsi="Times New Roman" w:eastAsia="仿宋_GB2312" w:cstheme="minorBidi"/>
          <w:snapToGrid/>
          <w:color w:val="000000"/>
          <w:kern w:val="2"/>
          <w:sz w:val="32"/>
          <w:szCs w:val="32"/>
          <w:u w:val="single"/>
          <w:lang w:val="en-US" w:eastAsia="zh-CN" w:bidi="ar-SA"/>
        </w:rPr>
        <w:t>哈密市伊州区民政局</w:t>
      </w:r>
    </w:p>
    <w:p>
      <w:pPr>
        <w:spacing w:before="133" w:line="189" w:lineRule="auto"/>
        <w:ind w:left="489"/>
        <w:rPr>
          <w:rFonts w:hint="eastAsia" w:ascii="Times New Roman" w:hAnsi="Times New Roman" w:eastAsia="仿宋_GB2312" w:cstheme="minorBidi"/>
          <w:snapToGrid/>
          <w:color w:val="000000"/>
          <w:kern w:val="2"/>
          <w:sz w:val="32"/>
          <w:szCs w:val="32"/>
          <w:u w:val="none"/>
          <w:lang w:val="en-US" w:eastAsia="zh-CN" w:bidi="ar-SA"/>
        </w:rPr>
      </w:pPr>
    </w:p>
    <w:p>
      <w:pPr>
        <w:spacing w:before="133" w:line="189" w:lineRule="auto"/>
        <w:ind w:left="489" w:firstLine="640" w:firstLineChars="200"/>
        <w:rPr>
          <w:rFonts w:hint="eastAsia" w:ascii="Times New Roman" w:hAnsi="Times New Roman" w:eastAsia="仿宋_GB2312" w:cstheme="minorBidi"/>
          <w:snapToGrid/>
          <w:color w:val="000000"/>
          <w:kern w:val="2"/>
          <w:sz w:val="32"/>
          <w:szCs w:val="32"/>
          <w:u w:val="none"/>
          <w:lang w:val="en-US" w:eastAsia="zh-CN" w:bidi="ar-SA"/>
        </w:rPr>
      </w:pPr>
      <w:r>
        <w:rPr>
          <w:rFonts w:hint="eastAsia" w:ascii="Times New Roman" w:hAnsi="Times New Roman" w:eastAsia="仿宋_GB2312" w:cstheme="minorBidi"/>
          <w:snapToGrid/>
          <w:color w:val="000000"/>
          <w:kern w:val="2"/>
          <w:sz w:val="32"/>
          <w:szCs w:val="32"/>
          <w:u w:val="none"/>
          <w:lang w:val="en-US" w:eastAsia="zh-CN" w:bidi="ar-SA"/>
        </w:rPr>
        <w:t>委托单位：</w:t>
      </w:r>
      <w:r>
        <w:rPr>
          <w:rFonts w:hint="eastAsia" w:ascii="Times New Roman" w:hAnsi="Times New Roman" w:eastAsia="仿宋_GB2312" w:cstheme="minorBidi"/>
          <w:snapToGrid/>
          <w:color w:val="000000"/>
          <w:kern w:val="2"/>
          <w:sz w:val="32"/>
          <w:szCs w:val="32"/>
          <w:u w:val="single"/>
          <w:lang w:val="en-US" w:eastAsia="zh-CN" w:bidi="ar-SA"/>
        </w:rPr>
        <w:t>哈密市伊州区财政局</w:t>
      </w:r>
    </w:p>
    <w:p>
      <w:pPr>
        <w:spacing w:before="133" w:line="189" w:lineRule="auto"/>
        <w:ind w:left="489"/>
        <w:rPr>
          <w:rFonts w:hint="eastAsia" w:ascii="Times New Roman" w:hAnsi="Times New Roman" w:eastAsia="仿宋_GB2312" w:cstheme="minorBidi"/>
          <w:snapToGrid/>
          <w:color w:val="000000"/>
          <w:kern w:val="2"/>
          <w:sz w:val="32"/>
          <w:szCs w:val="32"/>
          <w:u w:val="none"/>
          <w:lang w:val="en-US" w:eastAsia="zh-CN" w:bidi="ar-SA"/>
        </w:rPr>
      </w:pPr>
    </w:p>
    <w:p>
      <w:pPr>
        <w:spacing w:before="133" w:line="189" w:lineRule="auto"/>
        <w:ind w:left="489" w:firstLine="640" w:firstLineChars="200"/>
        <w:rPr>
          <w:rFonts w:hint="eastAsia" w:ascii="Times New Roman" w:hAnsi="Times New Roman" w:eastAsia="仿宋_GB2312" w:cstheme="minorBidi"/>
          <w:snapToGrid/>
          <w:color w:val="000000"/>
          <w:kern w:val="2"/>
          <w:sz w:val="32"/>
          <w:szCs w:val="32"/>
          <w:u w:val="none"/>
          <w:lang w:val="en-US" w:eastAsia="zh-CN" w:bidi="ar-SA"/>
        </w:rPr>
      </w:pPr>
      <w:r>
        <w:rPr>
          <w:rFonts w:hint="eastAsia" w:ascii="Times New Roman" w:hAnsi="Times New Roman" w:eastAsia="仿宋_GB2312" w:cstheme="minorBidi"/>
          <w:snapToGrid/>
          <w:color w:val="000000"/>
          <w:kern w:val="2"/>
          <w:sz w:val="32"/>
          <w:szCs w:val="32"/>
          <w:u w:val="none"/>
          <w:lang w:val="en-US" w:eastAsia="zh-CN" w:bidi="ar-SA"/>
        </w:rPr>
        <w:t>评价年度：</w:t>
      </w:r>
      <w:r>
        <w:rPr>
          <w:rFonts w:hint="eastAsia" w:ascii="Times New Roman" w:hAnsi="Times New Roman" w:eastAsia="仿宋_GB2312" w:cstheme="minorBidi"/>
          <w:snapToGrid/>
          <w:color w:val="000000"/>
          <w:kern w:val="2"/>
          <w:sz w:val="32"/>
          <w:szCs w:val="32"/>
          <w:u w:val="single"/>
          <w:lang w:val="en-US" w:eastAsia="zh-CN" w:bidi="ar-SA"/>
        </w:rPr>
        <w:t>2025年度</w:t>
      </w:r>
    </w:p>
    <w:p>
      <w:pPr>
        <w:spacing w:before="133" w:line="189" w:lineRule="auto"/>
        <w:ind w:left="489"/>
        <w:rPr>
          <w:rFonts w:hint="eastAsia" w:ascii="Times New Roman" w:hAnsi="Times New Roman" w:eastAsia="仿宋_GB2312" w:cstheme="minorBidi"/>
          <w:snapToGrid/>
          <w:color w:val="000000"/>
          <w:kern w:val="2"/>
          <w:sz w:val="32"/>
          <w:szCs w:val="32"/>
          <w:u w:val="none"/>
          <w:lang w:val="en-US" w:eastAsia="zh-CN" w:bidi="ar-SA"/>
        </w:rPr>
      </w:pPr>
    </w:p>
    <w:p>
      <w:pPr>
        <w:spacing w:before="133" w:line="189" w:lineRule="auto"/>
        <w:ind w:left="489" w:firstLine="640" w:firstLineChars="200"/>
        <w:rPr>
          <w:rFonts w:hint="eastAsia" w:ascii="Times New Roman" w:hAnsi="Times New Roman" w:eastAsia="仿宋_GB2312" w:cstheme="minorBidi"/>
          <w:snapToGrid/>
          <w:color w:val="000000"/>
          <w:kern w:val="2"/>
          <w:sz w:val="32"/>
          <w:szCs w:val="32"/>
          <w:u w:val="none"/>
          <w:lang w:val="en-US" w:eastAsia="zh-CN" w:bidi="ar-SA"/>
        </w:rPr>
      </w:pPr>
      <w:r>
        <w:rPr>
          <w:rFonts w:hint="eastAsia" w:ascii="Times New Roman" w:hAnsi="Times New Roman" w:eastAsia="仿宋_GB2312" w:cstheme="minorBidi"/>
          <w:snapToGrid/>
          <w:color w:val="000000"/>
          <w:kern w:val="2"/>
          <w:sz w:val="32"/>
          <w:szCs w:val="32"/>
          <w:u w:val="none"/>
          <w:lang w:val="en-US" w:eastAsia="zh-CN" w:bidi="ar-SA"/>
        </w:rPr>
        <w:t>评价机构：</w:t>
      </w:r>
      <w:r>
        <w:rPr>
          <w:rFonts w:hint="eastAsia" w:ascii="Times New Roman" w:hAnsi="Times New Roman" w:eastAsia="仿宋_GB2312" w:cstheme="minorBidi"/>
          <w:snapToGrid/>
          <w:color w:val="000000"/>
          <w:kern w:val="2"/>
          <w:sz w:val="32"/>
          <w:szCs w:val="32"/>
          <w:u w:val="single"/>
          <w:lang w:val="en-US" w:eastAsia="zh-CN" w:bidi="ar-SA"/>
        </w:rPr>
        <w:t>天津安信管理咨询有限公司</w:t>
      </w:r>
    </w:p>
    <w:p>
      <w:pPr>
        <w:spacing w:before="133" w:line="189" w:lineRule="auto"/>
        <w:ind w:left="489"/>
        <w:rPr>
          <w:rFonts w:hint="default" w:ascii="Times New Roman" w:hAnsi="Times New Roman" w:eastAsia="仿宋_GB2312" w:cstheme="minorBidi"/>
          <w:snapToGrid/>
          <w:color w:val="000000"/>
          <w:kern w:val="2"/>
          <w:sz w:val="32"/>
          <w:szCs w:val="32"/>
          <w:u w:val="none"/>
          <w:lang w:val="en-US" w:eastAsia="zh-CN" w:bidi="ar-SA"/>
        </w:rPr>
      </w:pPr>
    </w:p>
    <w:p>
      <w:pPr>
        <w:spacing w:before="133" w:line="189" w:lineRule="auto"/>
        <w:ind w:left="489" w:firstLine="640" w:firstLineChars="200"/>
        <w:rPr>
          <w:rFonts w:hint="eastAsia" w:ascii="Times New Roman" w:hAnsi="Times New Roman" w:eastAsia="仿宋_GB2312" w:cstheme="minorBidi"/>
          <w:snapToGrid/>
          <w:color w:val="000000"/>
          <w:kern w:val="2"/>
          <w:sz w:val="32"/>
          <w:szCs w:val="32"/>
          <w:u w:val="none"/>
          <w:lang w:val="en-US" w:eastAsia="zh-CN" w:bidi="ar-SA"/>
        </w:rPr>
      </w:pPr>
      <w:r>
        <w:rPr>
          <w:rFonts w:hint="eastAsia" w:ascii="Times New Roman" w:hAnsi="Times New Roman" w:eastAsia="仿宋_GB2312" w:cstheme="minorBidi"/>
          <w:snapToGrid/>
          <w:color w:val="000000"/>
          <w:kern w:val="2"/>
          <w:sz w:val="32"/>
          <w:szCs w:val="32"/>
          <w:u w:val="none"/>
          <w:lang w:val="en-US" w:eastAsia="zh-CN" w:bidi="ar-SA"/>
        </w:rPr>
        <w:t>评价日期：</w:t>
      </w:r>
      <w:r>
        <w:rPr>
          <w:rFonts w:hint="eastAsia" w:ascii="Times New Roman" w:hAnsi="Times New Roman" w:eastAsia="仿宋_GB2312" w:cstheme="minorBidi"/>
          <w:snapToGrid/>
          <w:color w:val="000000"/>
          <w:kern w:val="2"/>
          <w:sz w:val="32"/>
          <w:szCs w:val="32"/>
          <w:u w:val="single"/>
          <w:lang w:val="en-US" w:eastAsia="zh-CN" w:bidi="ar-SA"/>
        </w:rPr>
        <w:t>2026年7月</w:t>
      </w:r>
    </w:p>
    <w:p>
      <w:pPr>
        <w:spacing w:before="133" w:line="188" w:lineRule="auto"/>
        <w:ind w:left="489"/>
        <w:rPr>
          <w:rFonts w:ascii="微软雅黑" w:hAnsi="微软雅黑" w:eastAsia="微软雅黑" w:cs="微软雅黑"/>
          <w:spacing w:val="2"/>
          <w:sz w:val="31"/>
          <w:szCs w:val="31"/>
          <w:u w:val="single" w:color="auto"/>
        </w:rPr>
      </w:pPr>
    </w:p>
    <w:p>
      <w:pPr>
        <w:spacing w:line="188" w:lineRule="auto"/>
        <w:rPr>
          <w:rFonts w:ascii="微软雅黑" w:hAnsi="微软雅黑" w:eastAsia="微软雅黑" w:cs="微软雅黑"/>
          <w:sz w:val="31"/>
          <w:szCs w:val="31"/>
        </w:rPr>
        <w:sectPr>
          <w:footerReference r:id="rId3" w:type="default"/>
          <w:pgSz w:w="11906" w:h="16839"/>
          <w:pgMar w:top="2098" w:right="1587" w:bottom="1984" w:left="1587" w:header="0" w:footer="2330" w:gutter="0"/>
          <w:cols w:space="0" w:num="1"/>
          <w:rtlGutter w:val="0"/>
          <w:docGrid w:linePitch="0" w:charSpace="0"/>
        </w:sectPr>
      </w:pPr>
    </w:p>
    <w:p>
      <w:pPr>
        <w:spacing w:before="114" w:line="228" w:lineRule="auto"/>
        <w:ind w:left="3638" w:firstLine="436" w:firstLineChars="100"/>
        <w:rPr>
          <w:rFonts w:ascii="黑体" w:hAnsi="黑体" w:eastAsia="黑体" w:cs="黑体"/>
          <w:sz w:val="44"/>
          <w:szCs w:val="44"/>
        </w:rPr>
      </w:pPr>
      <w:r>
        <w:rPr>
          <w:rFonts w:ascii="黑体" w:hAnsi="黑体" w:eastAsia="黑体" w:cs="黑体"/>
          <w:spacing w:val="-2"/>
          <w:sz w:val="44"/>
          <w:szCs w:val="44"/>
        </w:rPr>
        <w:t>摘要</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ascii="黑体" w:hAnsi="黑体" w:eastAsia="黑体" w:cs="黑体"/>
          <w:spacing w:val="0"/>
          <w:sz w:val="31"/>
          <w:szCs w:val="31"/>
        </w:rPr>
      </w:pPr>
      <w:r>
        <w:rPr>
          <w:rFonts w:hint="eastAsia" w:ascii="黑体" w:hAnsi="黑体" w:eastAsia="黑体" w:cs="黑体"/>
          <w:spacing w:val="0"/>
          <w:sz w:val="32"/>
          <w:szCs w:val="32"/>
        </w:rPr>
        <w:t>一、部门概况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ascii="楷体" w:hAnsi="楷体" w:eastAsia="楷体" w:cs="楷体"/>
          <w:spacing w:val="0"/>
          <w:sz w:val="31"/>
          <w:szCs w:val="31"/>
        </w:rPr>
      </w:pPr>
      <w:r>
        <w:rPr>
          <w:rFonts w:ascii="楷体" w:hAnsi="楷体" w:eastAsia="楷体" w:cs="楷体"/>
          <w:b w:val="0"/>
          <w:bCs w:val="0"/>
          <w:spacing w:val="0"/>
          <w:sz w:val="32"/>
          <w:szCs w:val="32"/>
        </w:rPr>
        <w:t>（一）部门基本情况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hint="eastAsia" w:ascii="Times New Roman" w:hAnsi="Times New Roman" w:eastAsia="仿宋_GB2312" w:cstheme="minorBidi"/>
          <w:snapToGrid/>
          <w:spacing w:val="0"/>
          <w:kern w:val="2"/>
          <w:sz w:val="32"/>
          <w:szCs w:val="32"/>
          <w:lang w:val="en-US" w:eastAsia="zh-CN" w:bidi="ar-SA"/>
        </w:rPr>
        <w:t>哈密市伊州区民政局（以下简称“区民政局”），于2016年更名履职，下属单位有哈密市伊州区殡葬服务所、哈密市伊州区社会福利服务中心、基层政权和社区建设办公室、区社会救助中心（居民家庭经济核对中心）、大泉湾乡敬老院及五堡镇敬老院。单位坐落于哈密市伊州区红星大道8号新惠大厦（红星大道与环城路交叉口东南侧），区民政局是哈密市伊州区人民政府工作部门</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Times New Roman" w:hAnsi="Times New Roman" w:eastAsia="仿宋_GB2312" w:cstheme="minorBidi"/>
          <w:snapToGrid/>
          <w:spacing w:val="0"/>
          <w:kern w:val="2"/>
          <w:sz w:val="32"/>
          <w:szCs w:val="32"/>
          <w:lang w:val="en-US" w:eastAsia="zh-CN" w:bidi="ar-SA"/>
        </w:rPr>
      </w:pPr>
      <w:r>
        <w:rPr>
          <w:rFonts w:hint="eastAsia" w:ascii="Times New Roman" w:hAnsi="Times New Roman" w:eastAsia="仿宋_GB2312" w:cstheme="minorBidi"/>
          <w:snapToGrid/>
          <w:spacing w:val="0"/>
          <w:kern w:val="2"/>
          <w:sz w:val="32"/>
          <w:szCs w:val="32"/>
          <w:lang w:val="en-US" w:eastAsia="zh-CN" w:bidi="ar-SA"/>
        </w:rPr>
        <w:t>区民政局内设科室5个，为综合办公室、社会事务室、区划地名室、社会组织执法管理室（慈善事业促进室）、老龄、养老和儿童工作室。</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hint="eastAsia" w:ascii="Times New Roman" w:hAnsi="Times New Roman" w:eastAsia="仿宋_GB2312" w:cstheme="minorBidi"/>
          <w:snapToGrid/>
          <w:spacing w:val="0"/>
          <w:kern w:val="2"/>
          <w:sz w:val="32"/>
          <w:szCs w:val="32"/>
          <w:lang w:val="en-US" w:eastAsia="zh-CN" w:bidi="ar-SA"/>
        </w:rPr>
        <w:t>2025年区民政局年初预算批复金额为16900.92万元，全年预算调整金额为17120.78万元，部门全年实际执行金额共计17120.78万元，全年部门预算调整率为1.3%，部门预算执行率达100%</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ascii="楷体" w:hAnsi="楷体" w:eastAsia="楷体" w:cs="楷体"/>
          <w:b w:val="0"/>
          <w:bCs w:val="0"/>
          <w:spacing w:val="0"/>
          <w:sz w:val="32"/>
          <w:szCs w:val="32"/>
        </w:rPr>
      </w:pPr>
      <w:r>
        <w:rPr>
          <w:rFonts w:ascii="楷体" w:hAnsi="楷体" w:eastAsia="楷体" w:cs="楷体"/>
          <w:b w:val="0"/>
          <w:bCs w:val="0"/>
          <w:spacing w:val="0"/>
          <w:sz w:val="32"/>
          <w:szCs w:val="32"/>
        </w:rPr>
        <w:t>（二）部门重点工作任务</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Times New Roman" w:hAnsi="Times New Roman" w:eastAsia="仿宋_GB2312" w:cstheme="minorBidi"/>
          <w:snapToGrid/>
          <w:spacing w:val="0"/>
          <w:kern w:val="2"/>
          <w:sz w:val="32"/>
          <w:szCs w:val="32"/>
          <w:lang w:val="en-US" w:eastAsia="zh-CN" w:bidi="ar-SA"/>
        </w:rPr>
      </w:pPr>
      <w:r>
        <w:rPr>
          <w:rFonts w:hint="eastAsia" w:ascii="Times New Roman" w:hAnsi="Times New Roman" w:eastAsia="仿宋_GB2312" w:cstheme="minorBidi"/>
          <w:snapToGrid/>
          <w:spacing w:val="0"/>
          <w:kern w:val="2"/>
          <w:sz w:val="32"/>
          <w:szCs w:val="32"/>
          <w:lang w:val="en-US" w:eastAsia="zh-CN" w:bidi="ar-SA"/>
        </w:rPr>
        <w:t>（1）健全城乡基层服务体系。一是提升居家和社区养老服务。实施老年人助餐“金色晚霞”服务示范点项目，优化伊州区老年人助餐服务网络，积极协调各项优惠政策落实，2025年依托“金色晚霞”老年人助餐服务示范点，对特殊老年人开展助餐服务。二是开展经济老年人家庭养老床位建设及居家上门服务。对人员及城乡低保户对象中完全失能、部分失能老年人开展家庭养老床位建设及居家上门,帮助经济老年人家庭改善居住条件，提升居家养老品质。三是积极发展老年助餐服务。利用已建成的街道养老服务中心、农村幸福大院及社区各类闲置资源，拓展老年助餐服务功能，依托有资质、有信誉、有爱心的商业餐饮服务场所设置“老年餐桌”，对部分关停助餐点位，采取替换方式进行优化。四是推进特殊老年人探访关爱服务。组织各乡(镇)、街道办事处、园区管委会面向独居、空巢、留守、失能、重残、计划生育特殊家庭等老年人开展月探访服务。五是推进农村幸福大院运营。做好资金保障、开展督查检查，指导各乡镇加强宣传引导，组织工作人员参加食品安全、消防安全培训3次，积极开展农村幸福大院转型发展。六是加强养老机构综合监管。联合消防救援大队及市场监督管理局组成检查组对运营的养老机构开展了消防安全及食品安全实地检查工作，排查治理养老机构各类食品消防安全风险隐患，守好养老机构安全底线，防止发生各类安全事故。七是提升人员供养服务机构服务能力。通过不断改造升级设施设备和优化服务，改善供养人员生活质量，实施社会福利服务中心改造提升，该项目作为自治区、哈密市、伊州区三级政府2025年重点民生实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Times New Roman" w:hAnsi="Times New Roman" w:eastAsia="仿宋_GB2312" w:cstheme="minorBidi"/>
          <w:snapToGrid/>
          <w:spacing w:val="0"/>
          <w:kern w:val="2"/>
          <w:sz w:val="32"/>
          <w:szCs w:val="32"/>
          <w:lang w:val="en-US" w:eastAsia="zh-CN" w:bidi="ar-SA"/>
        </w:rPr>
      </w:pPr>
      <w:r>
        <w:rPr>
          <w:rFonts w:hint="eastAsia" w:ascii="Times New Roman" w:hAnsi="Times New Roman" w:eastAsia="仿宋_GB2312" w:cstheme="minorBidi"/>
          <w:snapToGrid/>
          <w:spacing w:val="0"/>
          <w:kern w:val="2"/>
          <w:sz w:val="32"/>
          <w:szCs w:val="32"/>
          <w:lang w:val="en-US" w:eastAsia="zh-CN" w:bidi="ar-SA"/>
        </w:rPr>
        <w:t>（2）做好困境儿童关心关爱。一是实施乡镇(街道)未保站购买服务项目。购买第三方服务组织在乡镇实施政府购买未成年人保护工作站建设项目，为辖区内未成年人开展普法教育、防欺凌、防性侵及爱国主义教育、心理健康教育、民族融情等服务活动。二是开展流动儿童、留守儿童监测摸排及统计分析工作。依托乡镇（街道）民政服务站，购买第三方服务，对辖区流动儿童家庭开展随访，全面准确地掌握流动儿童和留守儿童的数量规模、分布区域，建立流动儿童和留守儿童信息库，提高关爱保护工作实效。</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Times New Roman" w:hAnsi="Times New Roman" w:eastAsia="仿宋_GB2312" w:cstheme="minorBidi"/>
          <w:snapToGrid/>
          <w:spacing w:val="0"/>
          <w:kern w:val="2"/>
          <w:sz w:val="32"/>
          <w:szCs w:val="32"/>
          <w:lang w:val="en-US" w:eastAsia="zh-CN" w:bidi="ar-SA"/>
        </w:rPr>
      </w:pPr>
      <w:r>
        <w:rPr>
          <w:rFonts w:hint="eastAsia" w:ascii="Times New Roman" w:hAnsi="Times New Roman" w:eastAsia="仿宋_GB2312" w:cstheme="minorBidi"/>
          <w:snapToGrid/>
          <w:spacing w:val="0"/>
          <w:kern w:val="2"/>
          <w:sz w:val="32"/>
          <w:szCs w:val="32"/>
          <w:lang w:val="en-US" w:eastAsia="zh-CN" w:bidi="ar-SA"/>
        </w:rPr>
        <w:t>（3）社会事务工作全面提质增效。一是精康融合行动。2025年哈密市心理协会承接民政局精康融合行动服务项目，针对伊州区辖区内的精神障碍患者开展精神障碍社区康复服务。二是做好婚姻登记服务。三是开展收养登记服务。</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hint="eastAsia" w:ascii="Times New Roman" w:hAnsi="Times New Roman" w:eastAsia="仿宋_GB2312" w:cstheme="minorBidi"/>
          <w:snapToGrid/>
          <w:spacing w:val="0"/>
          <w:kern w:val="2"/>
          <w:sz w:val="32"/>
          <w:szCs w:val="32"/>
          <w:lang w:val="en-US" w:eastAsia="zh-CN" w:bidi="ar-SA"/>
        </w:rPr>
        <w:t>（4）推动社会组织和慈善事业健康发展。一是提升社会组织覆盖面。二是在行政服务大厅设立“一次办”窗口。三是促进慈善事业健康有序发展。四是积极鼓励社会组织承接政府购买服务项目</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ascii="黑体" w:hAnsi="黑体" w:eastAsia="黑体" w:cs="黑体"/>
          <w:spacing w:val="0"/>
          <w:sz w:val="32"/>
          <w:szCs w:val="32"/>
        </w:rPr>
      </w:pPr>
      <w:r>
        <w:rPr>
          <w:rFonts w:ascii="黑体" w:hAnsi="黑体" w:eastAsia="黑体" w:cs="黑体"/>
          <w:spacing w:val="0"/>
          <w:sz w:val="32"/>
          <w:szCs w:val="32"/>
        </w:rPr>
        <w:t>二、评价结论与绩效分析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ascii="楷体" w:hAnsi="楷体" w:eastAsia="楷体" w:cs="楷体"/>
          <w:b w:val="0"/>
          <w:bCs w:val="0"/>
          <w:spacing w:val="0"/>
          <w:sz w:val="32"/>
          <w:szCs w:val="32"/>
        </w:rPr>
      </w:pPr>
      <w:r>
        <w:rPr>
          <w:rFonts w:ascii="楷体" w:hAnsi="楷体" w:eastAsia="楷体" w:cs="楷体"/>
          <w:b w:val="0"/>
          <w:bCs w:val="0"/>
          <w:spacing w:val="0"/>
          <w:sz w:val="32"/>
          <w:szCs w:val="32"/>
        </w:rPr>
        <w:t>（一）评价结论</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hint="eastAsia" w:ascii="Times New Roman" w:hAnsi="Times New Roman" w:eastAsia="仿宋_GB2312" w:cstheme="minorBidi"/>
          <w:snapToGrid/>
          <w:spacing w:val="0"/>
          <w:kern w:val="2"/>
          <w:sz w:val="32"/>
          <w:szCs w:val="32"/>
          <w:lang w:val="en-US" w:eastAsia="zh-CN" w:bidi="ar-SA"/>
        </w:rPr>
        <w:t>根据部门整体评价指标体系及评分标准，通过数据采集、问卷调查及访谈等方法，对2025年区民政局整体支出绩效进行客观评价，最终评分结果：总得分为89.1分，绩效评级为“良”。各部分得分情况详见表2-1。指标评分具体情况详见附件1</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jc w:val="center"/>
        <w:textAlignment w:val="baseline"/>
        <w:rPr>
          <w:rFonts w:hint="eastAsia" w:ascii="黑体" w:hAnsi="黑体" w:eastAsia="黑体" w:cs="黑体"/>
          <w:b w:val="0"/>
          <w:bCs w:val="0"/>
          <w:sz w:val="32"/>
          <w:szCs w:val="32"/>
        </w:rPr>
      </w:pPr>
      <w:r>
        <w:rPr>
          <w:rFonts w:hint="eastAsia" w:ascii="黑体" w:hAnsi="黑体" w:eastAsia="黑体" w:cs="黑体"/>
          <w:b w:val="0"/>
          <w:bCs w:val="0"/>
          <w:spacing w:val="-1"/>
          <w:sz w:val="32"/>
          <w:szCs w:val="32"/>
        </w:rPr>
        <w:t>表2-1部门绩效评价得分情况表</w:t>
      </w:r>
    </w:p>
    <w:p>
      <w:pPr>
        <w:spacing w:line="95" w:lineRule="auto"/>
        <w:rPr>
          <w:rFonts w:ascii="Arial"/>
          <w:sz w:val="2"/>
        </w:rPr>
      </w:pPr>
    </w:p>
    <w:tbl>
      <w:tblPr>
        <w:tblStyle w:val="7"/>
        <w:tblW w:w="8296" w:type="dxa"/>
        <w:tblInd w:w="1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723"/>
        <w:gridCol w:w="1596"/>
        <w:gridCol w:w="1458"/>
        <w:gridCol w:w="151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66" w:hRule="atLeast"/>
        </w:trPr>
        <w:tc>
          <w:tcPr>
            <w:tcW w:w="3723" w:type="dxa"/>
            <w:vAlign w:val="top"/>
          </w:tcPr>
          <w:p>
            <w:pPr>
              <w:spacing w:before="128" w:line="228" w:lineRule="auto"/>
              <w:ind w:left="1443"/>
              <w:rPr>
                <w:rFonts w:ascii="宋体" w:hAnsi="宋体" w:eastAsia="宋体" w:cs="宋体"/>
                <w:sz w:val="20"/>
                <w:szCs w:val="20"/>
              </w:rPr>
            </w:pPr>
            <w:r>
              <w:rPr>
                <w:rFonts w:ascii="宋体" w:hAnsi="宋体" w:eastAsia="宋体" w:cs="宋体"/>
                <w:b/>
                <w:bCs/>
                <w:spacing w:val="5"/>
                <w:sz w:val="20"/>
                <w:szCs w:val="20"/>
              </w:rPr>
              <w:t>一级指标</w:t>
            </w:r>
          </w:p>
        </w:tc>
        <w:tc>
          <w:tcPr>
            <w:tcW w:w="1596" w:type="dxa"/>
            <w:vAlign w:val="top"/>
          </w:tcPr>
          <w:p>
            <w:pPr>
              <w:spacing w:before="127" w:line="228" w:lineRule="auto"/>
              <w:ind w:left="587"/>
              <w:rPr>
                <w:rFonts w:ascii="宋体" w:hAnsi="宋体" w:eastAsia="宋体" w:cs="宋体"/>
                <w:sz w:val="20"/>
                <w:szCs w:val="20"/>
              </w:rPr>
            </w:pPr>
            <w:r>
              <w:rPr>
                <w:rFonts w:ascii="宋体" w:hAnsi="宋体" w:eastAsia="宋体" w:cs="宋体"/>
                <w:b/>
                <w:bCs/>
                <w:spacing w:val="4"/>
                <w:sz w:val="20"/>
                <w:szCs w:val="20"/>
              </w:rPr>
              <w:t>权重</w:t>
            </w:r>
          </w:p>
        </w:tc>
        <w:tc>
          <w:tcPr>
            <w:tcW w:w="1458" w:type="dxa"/>
            <w:vAlign w:val="top"/>
          </w:tcPr>
          <w:p>
            <w:pPr>
              <w:spacing w:before="127" w:line="228" w:lineRule="auto"/>
              <w:ind w:left="521"/>
              <w:rPr>
                <w:rFonts w:ascii="宋体" w:hAnsi="宋体" w:eastAsia="宋体" w:cs="宋体"/>
                <w:sz w:val="20"/>
                <w:szCs w:val="20"/>
              </w:rPr>
            </w:pPr>
            <w:r>
              <w:rPr>
                <w:rFonts w:ascii="宋体" w:hAnsi="宋体" w:eastAsia="宋体" w:cs="宋体"/>
                <w:b/>
                <w:bCs/>
                <w:spacing w:val="3"/>
                <w:sz w:val="20"/>
                <w:szCs w:val="20"/>
              </w:rPr>
              <w:t>得分</w:t>
            </w:r>
          </w:p>
        </w:tc>
        <w:tc>
          <w:tcPr>
            <w:tcW w:w="1519" w:type="dxa"/>
            <w:vAlign w:val="top"/>
          </w:tcPr>
          <w:p>
            <w:pPr>
              <w:spacing w:before="127" w:line="228" w:lineRule="auto"/>
              <w:ind w:left="445"/>
              <w:rPr>
                <w:rFonts w:ascii="宋体" w:hAnsi="宋体" w:eastAsia="宋体" w:cs="宋体"/>
                <w:sz w:val="20"/>
                <w:szCs w:val="20"/>
              </w:rPr>
            </w:pPr>
            <w:r>
              <w:rPr>
                <w:rFonts w:ascii="宋体" w:hAnsi="宋体" w:eastAsia="宋体" w:cs="宋体"/>
                <w:b/>
                <w:bCs/>
                <w:spacing w:val="5"/>
                <w:sz w:val="20"/>
                <w:szCs w:val="20"/>
              </w:rPr>
              <w:t>得分率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0" w:hRule="atLeast"/>
        </w:trPr>
        <w:tc>
          <w:tcPr>
            <w:tcW w:w="3723" w:type="dxa"/>
            <w:vAlign w:val="top"/>
          </w:tcPr>
          <w:p>
            <w:pPr>
              <w:spacing w:before="126" w:line="228" w:lineRule="auto"/>
              <w:ind w:left="1445"/>
              <w:rPr>
                <w:rFonts w:ascii="宋体" w:hAnsi="宋体" w:eastAsia="宋体" w:cs="宋体"/>
                <w:sz w:val="20"/>
                <w:szCs w:val="20"/>
              </w:rPr>
            </w:pPr>
            <w:r>
              <w:rPr>
                <w:rFonts w:ascii="宋体" w:hAnsi="宋体" w:eastAsia="宋体" w:cs="宋体"/>
                <w:spacing w:val="6"/>
                <w:sz w:val="20"/>
                <w:szCs w:val="20"/>
              </w:rPr>
              <w:t>部门决策</w:t>
            </w:r>
          </w:p>
        </w:tc>
        <w:tc>
          <w:tcPr>
            <w:tcW w:w="1596" w:type="dxa"/>
            <w:vAlign w:val="top"/>
          </w:tcPr>
          <w:p>
            <w:pPr>
              <w:spacing w:before="162" w:line="195" w:lineRule="auto"/>
              <w:ind w:left="709"/>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15</w:t>
            </w:r>
          </w:p>
        </w:tc>
        <w:tc>
          <w:tcPr>
            <w:tcW w:w="1458" w:type="dxa"/>
            <w:vAlign w:val="top"/>
          </w:tcPr>
          <w:p>
            <w:pPr>
              <w:spacing w:before="162" w:line="195" w:lineRule="auto"/>
              <w:ind w:left="56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11.5</w:t>
            </w:r>
          </w:p>
        </w:tc>
        <w:tc>
          <w:tcPr>
            <w:tcW w:w="1519" w:type="dxa"/>
            <w:vAlign w:val="top"/>
          </w:tcPr>
          <w:p>
            <w:pPr>
              <w:spacing w:before="162" w:line="195" w:lineRule="auto"/>
              <w:ind w:left="43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76.67%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0" w:hRule="atLeast"/>
        </w:trPr>
        <w:tc>
          <w:tcPr>
            <w:tcW w:w="3723" w:type="dxa"/>
            <w:vAlign w:val="top"/>
          </w:tcPr>
          <w:p>
            <w:pPr>
              <w:spacing w:before="128" w:line="228" w:lineRule="auto"/>
              <w:ind w:left="1445"/>
              <w:rPr>
                <w:rFonts w:ascii="宋体" w:hAnsi="宋体" w:eastAsia="宋体" w:cs="宋体"/>
                <w:sz w:val="20"/>
                <w:szCs w:val="20"/>
              </w:rPr>
            </w:pPr>
            <w:r>
              <w:rPr>
                <w:rFonts w:ascii="宋体" w:hAnsi="宋体" w:eastAsia="宋体" w:cs="宋体"/>
                <w:spacing w:val="6"/>
                <w:sz w:val="20"/>
                <w:szCs w:val="20"/>
              </w:rPr>
              <w:t>部门管理</w:t>
            </w:r>
          </w:p>
        </w:tc>
        <w:tc>
          <w:tcPr>
            <w:tcW w:w="1596" w:type="dxa"/>
            <w:vAlign w:val="top"/>
          </w:tcPr>
          <w:p>
            <w:pPr>
              <w:spacing w:before="165" w:line="195" w:lineRule="auto"/>
              <w:ind w:left="693"/>
              <w:rPr>
                <w:rFonts w:ascii="Times New Roman" w:hAnsi="Times New Roman" w:eastAsia="Times New Roman" w:cs="Times New Roman"/>
                <w:sz w:val="20"/>
                <w:szCs w:val="20"/>
              </w:rPr>
            </w:pPr>
            <w:r>
              <w:rPr>
                <w:rFonts w:ascii="Times New Roman" w:hAnsi="Times New Roman" w:eastAsia="Times New Roman" w:cs="Times New Roman"/>
                <w:sz w:val="20"/>
                <w:szCs w:val="20"/>
              </w:rPr>
              <w:t>35</w:t>
            </w:r>
          </w:p>
        </w:tc>
        <w:tc>
          <w:tcPr>
            <w:tcW w:w="1458" w:type="dxa"/>
            <w:vAlign w:val="top"/>
          </w:tcPr>
          <w:p>
            <w:pPr>
              <w:spacing w:before="165" w:line="195" w:lineRule="auto"/>
              <w:ind w:left="54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34.1</w:t>
            </w:r>
          </w:p>
        </w:tc>
        <w:tc>
          <w:tcPr>
            <w:tcW w:w="1519" w:type="dxa"/>
            <w:vAlign w:val="top"/>
          </w:tcPr>
          <w:p>
            <w:pPr>
              <w:spacing w:before="165" w:line="195" w:lineRule="auto"/>
              <w:ind w:left="43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97.43%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0" w:hRule="atLeast"/>
        </w:trPr>
        <w:tc>
          <w:tcPr>
            <w:tcW w:w="3723" w:type="dxa"/>
            <w:vAlign w:val="top"/>
          </w:tcPr>
          <w:p>
            <w:pPr>
              <w:spacing w:before="133" w:line="228" w:lineRule="auto"/>
              <w:ind w:left="1445"/>
              <w:rPr>
                <w:rFonts w:ascii="宋体" w:hAnsi="宋体" w:eastAsia="宋体" w:cs="宋体"/>
                <w:sz w:val="20"/>
                <w:szCs w:val="20"/>
              </w:rPr>
            </w:pPr>
            <w:r>
              <w:rPr>
                <w:rFonts w:ascii="宋体" w:hAnsi="宋体" w:eastAsia="宋体" w:cs="宋体"/>
                <w:spacing w:val="6"/>
                <w:sz w:val="20"/>
                <w:szCs w:val="20"/>
              </w:rPr>
              <w:t>部门绩效</w:t>
            </w:r>
          </w:p>
        </w:tc>
        <w:tc>
          <w:tcPr>
            <w:tcW w:w="1596" w:type="dxa"/>
            <w:vAlign w:val="top"/>
          </w:tcPr>
          <w:p>
            <w:pPr>
              <w:spacing w:before="169" w:line="195" w:lineRule="auto"/>
              <w:ind w:left="695"/>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c>
          <w:tcPr>
            <w:tcW w:w="1458" w:type="dxa"/>
            <w:vAlign w:val="top"/>
          </w:tcPr>
          <w:p>
            <w:pPr>
              <w:spacing w:before="169" w:line="195" w:lineRule="auto"/>
              <w:ind w:left="544"/>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43.5</w:t>
            </w:r>
          </w:p>
        </w:tc>
        <w:tc>
          <w:tcPr>
            <w:tcW w:w="1519" w:type="dxa"/>
            <w:vAlign w:val="top"/>
          </w:tcPr>
          <w:p>
            <w:pPr>
              <w:spacing w:before="169" w:line="195" w:lineRule="auto"/>
              <w:ind w:left="57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9" w:hRule="atLeast"/>
        </w:trPr>
        <w:tc>
          <w:tcPr>
            <w:tcW w:w="3723" w:type="dxa"/>
            <w:vAlign w:val="top"/>
          </w:tcPr>
          <w:p>
            <w:pPr>
              <w:spacing w:before="136" w:line="228" w:lineRule="auto"/>
              <w:ind w:left="1657"/>
              <w:rPr>
                <w:rFonts w:ascii="宋体" w:hAnsi="宋体" w:eastAsia="宋体" w:cs="宋体"/>
                <w:sz w:val="20"/>
                <w:szCs w:val="20"/>
              </w:rPr>
            </w:pPr>
            <w:r>
              <w:rPr>
                <w:rFonts w:ascii="宋体" w:hAnsi="宋体" w:eastAsia="宋体" w:cs="宋体"/>
                <w:b/>
                <w:bCs/>
                <w:spacing w:val="1"/>
                <w:sz w:val="20"/>
                <w:szCs w:val="20"/>
              </w:rPr>
              <w:t>总分</w:t>
            </w:r>
          </w:p>
        </w:tc>
        <w:tc>
          <w:tcPr>
            <w:tcW w:w="1596" w:type="dxa"/>
            <w:vAlign w:val="top"/>
          </w:tcPr>
          <w:p>
            <w:pPr>
              <w:spacing w:before="171" w:line="195" w:lineRule="auto"/>
              <w:ind w:left="646"/>
              <w:rPr>
                <w:rFonts w:ascii="Times New Roman" w:hAnsi="Times New Roman" w:eastAsia="Times New Roman" w:cs="Times New Roman"/>
                <w:sz w:val="20"/>
                <w:szCs w:val="20"/>
              </w:rPr>
            </w:pPr>
            <w:r>
              <w:rPr>
                <w:rFonts w:ascii="Times New Roman" w:hAnsi="Times New Roman" w:eastAsia="Times New Roman" w:cs="Times New Roman"/>
                <w:b/>
                <w:bCs/>
                <w:sz w:val="20"/>
                <w:szCs w:val="20"/>
              </w:rPr>
              <w:t>100</w:t>
            </w:r>
          </w:p>
        </w:tc>
        <w:tc>
          <w:tcPr>
            <w:tcW w:w="1458" w:type="dxa"/>
            <w:vAlign w:val="top"/>
          </w:tcPr>
          <w:p>
            <w:pPr>
              <w:spacing w:before="171" w:line="195" w:lineRule="auto"/>
              <w:ind w:left="548"/>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89.1</w:t>
            </w:r>
          </w:p>
        </w:tc>
        <w:tc>
          <w:tcPr>
            <w:tcW w:w="1519" w:type="dxa"/>
            <w:vAlign w:val="top"/>
          </w:tcPr>
          <w:p>
            <w:pPr>
              <w:spacing w:before="172" w:line="195" w:lineRule="auto"/>
              <w:ind w:left="470"/>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89.1%</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楷体" w:hAnsi="楷体" w:eastAsia="楷体" w:cs="楷体"/>
          <w:spacing w:val="0"/>
          <w:sz w:val="32"/>
          <w:szCs w:val="32"/>
        </w:rPr>
      </w:pPr>
      <w:r>
        <w:rPr>
          <w:rFonts w:ascii="楷体" w:hAnsi="楷体" w:eastAsia="楷体" w:cs="楷体"/>
          <w:b/>
          <w:bCs/>
          <w:spacing w:val="0"/>
          <w:sz w:val="32"/>
          <w:szCs w:val="32"/>
        </w:rPr>
        <w:t>（二）绩效分析</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微软雅黑" w:hAnsi="微软雅黑" w:eastAsia="微软雅黑" w:cs="微软雅黑"/>
          <w:spacing w:val="0"/>
          <w:sz w:val="31"/>
          <w:szCs w:val="31"/>
        </w:rPr>
      </w:pPr>
      <w:r>
        <w:rPr>
          <w:rFonts w:hint="eastAsia" w:ascii="Times New Roman" w:hAnsi="Times New Roman" w:eastAsia="仿宋_GB2312" w:cstheme="minorBidi"/>
          <w:snapToGrid/>
          <w:color w:val="000000"/>
          <w:spacing w:val="0"/>
          <w:kern w:val="2"/>
          <w:sz w:val="32"/>
          <w:szCs w:val="32"/>
          <w:lang w:val="en-US" w:eastAsia="zh-CN" w:bidi="ar-SA"/>
        </w:rPr>
        <w:t>通过调研、数据分析、访谈等方式，根据绩效评价方案确定的指标体系及评分标准，对区民政局部门绩效进行客观评价，得出综合评价结论如下：区民政局整体支出绩效评价共设置三级绩效指标33个，满分指标25个，满分指标占比率75.76%。部门决策三级指标共设置6个，满分指标3个，满分指标占比率50%；部门管理三级指标共设置16个，满分指标14个，满分指标占比率87.5%；部门绩效三级指标共设置11个，满分指标8个，满分指标占比率72.73%。区民政局2025年部门履职效果综合评价良好，大部分指标实现了预期目标，但是在中长期规划制定、绩效目标制定、部门预算资金管理、部门履职社会效益、残疾人两项补贴和失地搬迁补贴等工作方面还存在不足。</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黑体" w:hAnsi="黑体" w:eastAsia="黑体" w:cs="黑体"/>
          <w:b w:val="0"/>
          <w:bCs w:val="0"/>
          <w:spacing w:val="0"/>
          <w:sz w:val="32"/>
          <w:szCs w:val="32"/>
        </w:rPr>
      </w:pPr>
      <w:r>
        <w:rPr>
          <w:rFonts w:ascii="黑体" w:hAnsi="黑体" w:eastAsia="黑体" w:cs="黑体"/>
          <w:b w:val="0"/>
          <w:bCs w:val="0"/>
          <w:spacing w:val="0"/>
          <w:sz w:val="32"/>
          <w:szCs w:val="32"/>
        </w:rPr>
        <w:t>三、存在的问题及建议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 w:hAnsi="楷体" w:eastAsia="楷体" w:cs="楷体"/>
          <w:b w:val="0"/>
          <w:bCs w:val="0"/>
          <w:spacing w:val="0"/>
          <w:sz w:val="32"/>
          <w:szCs w:val="32"/>
        </w:rPr>
      </w:pPr>
      <w:r>
        <w:rPr>
          <w:rFonts w:hint="eastAsia" w:ascii="楷体" w:hAnsi="楷体" w:eastAsia="楷体" w:cs="楷体"/>
          <w:b w:val="0"/>
          <w:bCs w:val="0"/>
          <w:spacing w:val="0"/>
          <w:sz w:val="32"/>
          <w:szCs w:val="32"/>
        </w:rPr>
        <w:t>（一）存在问题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b/>
          <w:bCs/>
          <w:snapToGrid/>
          <w:color w:val="000000"/>
          <w:spacing w:val="0"/>
          <w:kern w:val="2"/>
          <w:sz w:val="32"/>
          <w:szCs w:val="32"/>
          <w:lang w:val="en-US" w:eastAsia="zh-CN" w:bidi="ar-SA"/>
        </w:rPr>
      </w:pPr>
      <w:r>
        <w:rPr>
          <w:rFonts w:hint="eastAsia" w:ascii="Times New Roman" w:hAnsi="Times New Roman" w:eastAsia="仿宋_GB2312" w:cstheme="minorBidi"/>
          <w:b/>
          <w:bCs/>
          <w:snapToGrid/>
          <w:color w:val="000000"/>
          <w:spacing w:val="0"/>
          <w:kern w:val="2"/>
          <w:sz w:val="32"/>
          <w:szCs w:val="32"/>
          <w:lang w:val="en-US" w:eastAsia="zh-CN" w:bidi="ar-SA"/>
        </w:rPr>
        <w:t>1.部门未编制中长期规划</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Times New Roman" w:hAnsi="Times New Roman" w:eastAsia="仿宋_GB2312" w:cstheme="minorBidi"/>
          <w:snapToGrid/>
          <w:color w:val="000000"/>
          <w:spacing w:val="0"/>
          <w:kern w:val="2"/>
          <w:sz w:val="32"/>
          <w:szCs w:val="32"/>
          <w:lang w:val="en-US" w:eastAsia="zh-CN" w:bidi="ar-SA"/>
        </w:rPr>
      </w:pPr>
      <w:r>
        <w:rPr>
          <w:rFonts w:hint="eastAsia" w:ascii="Times New Roman" w:hAnsi="Times New Roman" w:eastAsia="仿宋_GB2312" w:cstheme="minorBidi"/>
          <w:snapToGrid/>
          <w:color w:val="000000"/>
          <w:spacing w:val="0"/>
          <w:kern w:val="2"/>
          <w:sz w:val="32"/>
          <w:szCs w:val="32"/>
          <w:lang w:val="en-US" w:eastAsia="zh-CN" w:bidi="ar-SA"/>
        </w:rPr>
        <w:t>区民政局在2025年度未完成部门中长期规划编制工作，截至评价期间，部门提供相关佐证资料不完整。</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b/>
          <w:bCs/>
          <w:snapToGrid/>
          <w:color w:val="000000"/>
          <w:spacing w:val="0"/>
          <w:kern w:val="2"/>
          <w:sz w:val="32"/>
          <w:szCs w:val="32"/>
          <w:lang w:val="en-US" w:eastAsia="zh-CN" w:bidi="ar-SA"/>
        </w:rPr>
      </w:pPr>
      <w:r>
        <w:rPr>
          <w:rFonts w:hint="eastAsia" w:ascii="Times New Roman" w:hAnsi="Times New Roman" w:eastAsia="仿宋_GB2312" w:cstheme="minorBidi"/>
          <w:b/>
          <w:bCs/>
          <w:snapToGrid/>
          <w:color w:val="000000"/>
          <w:spacing w:val="0"/>
          <w:kern w:val="2"/>
          <w:sz w:val="32"/>
          <w:szCs w:val="32"/>
          <w:lang w:val="en-US" w:eastAsia="zh-CN" w:bidi="ar-SA"/>
        </w:rPr>
        <w:t>2.部门绩效管理不规范</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Times New Roman" w:hAnsi="Times New Roman" w:eastAsia="仿宋_GB2312" w:cstheme="minorBidi"/>
          <w:snapToGrid/>
          <w:color w:val="000000"/>
          <w:spacing w:val="0"/>
          <w:kern w:val="2"/>
          <w:sz w:val="32"/>
          <w:szCs w:val="32"/>
          <w:lang w:val="en-US" w:eastAsia="zh-CN" w:bidi="ar-SA"/>
        </w:rPr>
      </w:pPr>
      <w:r>
        <w:rPr>
          <w:rFonts w:hint="eastAsia" w:ascii="Times New Roman" w:hAnsi="Times New Roman" w:eastAsia="仿宋_GB2312" w:cstheme="minorBidi"/>
          <w:snapToGrid/>
          <w:color w:val="000000"/>
          <w:spacing w:val="0"/>
          <w:kern w:val="2"/>
          <w:sz w:val="32"/>
          <w:szCs w:val="32"/>
          <w:lang w:val="en-US" w:eastAsia="zh-CN" w:bidi="ar-SA"/>
        </w:rPr>
        <w:t>一是部门预算绩效管理责任在各业务部门，绩效目标的申报、监控、自评均由各业务部门负责，调研时需查看项目设立依据、测算依据、测算标准等资料，均由各业务部门单独提供；二是部门绩效目标设置不规范，在设置部门整体绩效目标时，部分绩效指标细化不规范，整体目标的年度工作内容描述过于简单，未描述部门单位核心工作内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b/>
          <w:bCs/>
          <w:snapToGrid/>
          <w:color w:val="000000"/>
          <w:spacing w:val="0"/>
          <w:kern w:val="2"/>
          <w:sz w:val="32"/>
          <w:szCs w:val="32"/>
          <w:lang w:val="en-US" w:eastAsia="zh-CN" w:bidi="ar-SA"/>
        </w:rPr>
      </w:pPr>
      <w:r>
        <w:rPr>
          <w:rFonts w:hint="eastAsia" w:ascii="Times New Roman" w:hAnsi="Times New Roman" w:eastAsia="仿宋_GB2312" w:cstheme="minorBidi"/>
          <w:b/>
          <w:bCs/>
          <w:snapToGrid/>
          <w:color w:val="000000"/>
          <w:spacing w:val="0"/>
          <w:kern w:val="2"/>
          <w:sz w:val="32"/>
          <w:szCs w:val="32"/>
          <w:lang w:val="en-US" w:eastAsia="zh-CN" w:bidi="ar-SA"/>
        </w:rPr>
        <w:t>3.部门年度工作计划完成度不高</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Times New Roman" w:hAnsi="Times New Roman" w:eastAsia="仿宋_GB2312" w:cstheme="minorBidi"/>
          <w:snapToGrid/>
          <w:color w:val="000000"/>
          <w:spacing w:val="0"/>
          <w:kern w:val="2"/>
          <w:sz w:val="32"/>
          <w:szCs w:val="32"/>
          <w:lang w:val="en-US" w:eastAsia="zh-CN" w:bidi="ar-SA"/>
        </w:rPr>
      </w:pPr>
      <w:r>
        <w:rPr>
          <w:rFonts w:hint="eastAsia" w:ascii="Times New Roman" w:hAnsi="Times New Roman" w:eastAsia="仿宋_GB2312" w:cstheme="minorBidi"/>
          <w:snapToGrid/>
          <w:color w:val="000000"/>
          <w:spacing w:val="0"/>
          <w:kern w:val="2"/>
          <w:sz w:val="32"/>
          <w:szCs w:val="32"/>
          <w:lang w:val="en-US" w:eastAsia="zh-CN" w:bidi="ar-SA"/>
        </w:rPr>
        <w:t>一是区民政局在2025年开展了残疾人两项补贴工作方面，根据补贴标准对符合要求的残疾人、重度残疾人进行每月</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Times New Roman" w:hAnsi="Times New Roman" w:eastAsia="仿宋_GB2312" w:cstheme="minorBidi"/>
          <w:snapToGrid/>
          <w:color w:val="000000"/>
          <w:spacing w:val="0"/>
          <w:kern w:val="2"/>
          <w:sz w:val="32"/>
          <w:szCs w:val="32"/>
          <w:lang w:val="en-US" w:eastAsia="zh-CN" w:bidi="ar-SA"/>
        </w:rPr>
      </w:pPr>
      <w:r>
        <w:rPr>
          <w:rFonts w:hint="eastAsia" w:ascii="Times New Roman" w:hAnsi="Times New Roman" w:eastAsia="仿宋_GB2312" w:cstheme="minorBidi"/>
          <w:snapToGrid/>
          <w:color w:val="000000"/>
          <w:spacing w:val="0"/>
          <w:kern w:val="2"/>
          <w:sz w:val="32"/>
          <w:szCs w:val="32"/>
          <w:lang w:val="en-US" w:eastAsia="zh-CN" w:bidi="ar-SA"/>
        </w:rPr>
        <w:t>补助，截至目前，根据区民政局提供的补贴人数清单印证，民政局未达成年初补贴人数预期目标；二是失地搬迁补贴工作方面，根据补贴标准对符合要求的失地农牧民、搬迁人员男超过50岁，女超过45岁人员、搬迁农民进行每月补助，截至目前，根据区民政局提供的补贴人数清单印证，区民政局三项补贴人数均未达成年初预期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b/>
          <w:bCs/>
          <w:snapToGrid/>
          <w:color w:val="000000"/>
          <w:spacing w:val="0"/>
          <w:kern w:val="2"/>
          <w:sz w:val="32"/>
          <w:szCs w:val="32"/>
          <w:lang w:val="en-US" w:eastAsia="zh-CN" w:bidi="ar-SA"/>
        </w:rPr>
      </w:pPr>
      <w:r>
        <w:rPr>
          <w:rFonts w:hint="eastAsia" w:ascii="Times New Roman" w:hAnsi="Times New Roman" w:eastAsia="仿宋_GB2312" w:cstheme="minorBidi"/>
          <w:b/>
          <w:bCs/>
          <w:snapToGrid/>
          <w:color w:val="000000"/>
          <w:spacing w:val="0"/>
          <w:kern w:val="2"/>
          <w:sz w:val="32"/>
          <w:szCs w:val="32"/>
          <w:lang w:val="en-US" w:eastAsia="zh-CN" w:bidi="ar-SA"/>
        </w:rPr>
        <w:t>4.部门履职工作效益不显著</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hint="eastAsia" w:ascii="Times New Roman" w:hAnsi="Times New Roman" w:eastAsia="仿宋_GB2312" w:cstheme="minorBidi"/>
          <w:snapToGrid/>
          <w:color w:val="000000"/>
          <w:spacing w:val="0"/>
          <w:kern w:val="2"/>
          <w:sz w:val="32"/>
          <w:szCs w:val="32"/>
          <w:lang w:val="en-US" w:eastAsia="zh-CN" w:bidi="ar-SA"/>
        </w:rPr>
        <w:t>根据区民政局提供的2025年重点工作计划和项目资料可知，区民政局2025年开展提升殡葬基础设施建设、整治殡葬领域腐败乱象专项行动方面的工作，通过区民政去申报的“伊州区殡葬领域墓地基础设施规范化建设项目”，针对殡葬墓地周围，做绿化修缮工作，通过项目资料可知，修建G30南侧墓地修建围栏5480米，并做殡仪馆绿化服务1次，通过项目完成，有效提升城市风貌，推动殡葬领域健康有序发展。但部门单位未提供有关殡葬改革相关工作文件、会议纪要或落实措施，同时针对整治殡葬领域腐败乱象专项行动方面的工作未提供相关整改措施和落实内容，无法印证2025年殡葬文化建设工作是否得到有效改革</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 w:hAnsi="楷体" w:eastAsia="楷体" w:cs="楷体"/>
          <w:b w:val="0"/>
          <w:bCs w:val="0"/>
          <w:spacing w:val="0"/>
          <w:sz w:val="32"/>
          <w:szCs w:val="32"/>
        </w:rPr>
      </w:pPr>
      <w:r>
        <w:rPr>
          <w:rFonts w:hint="eastAsia" w:ascii="楷体" w:hAnsi="楷体" w:eastAsia="楷体" w:cs="楷体"/>
          <w:b w:val="0"/>
          <w:bCs w:val="0"/>
          <w:spacing w:val="0"/>
          <w:sz w:val="32"/>
          <w:szCs w:val="32"/>
        </w:rPr>
        <w:t>（二）改进建议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b/>
          <w:bCs/>
          <w:snapToGrid/>
          <w:color w:val="000000"/>
          <w:spacing w:val="-20"/>
          <w:kern w:val="2"/>
          <w:sz w:val="32"/>
          <w:szCs w:val="32"/>
          <w:lang w:val="en-US" w:eastAsia="zh-CN" w:bidi="ar-SA"/>
        </w:rPr>
      </w:pPr>
      <w:r>
        <w:rPr>
          <w:rFonts w:hint="eastAsia" w:ascii="Times New Roman" w:hAnsi="Times New Roman" w:eastAsia="仿宋_GB2312" w:cstheme="minorBidi"/>
          <w:b/>
          <w:bCs/>
          <w:snapToGrid/>
          <w:color w:val="000000"/>
          <w:spacing w:val="0"/>
          <w:kern w:val="2"/>
          <w:sz w:val="32"/>
          <w:szCs w:val="32"/>
          <w:lang w:val="en-US" w:eastAsia="zh-CN" w:bidi="ar-SA"/>
        </w:rPr>
        <w:t>1.</w:t>
      </w:r>
      <w:r>
        <w:rPr>
          <w:rFonts w:hint="eastAsia" w:ascii="Times New Roman" w:hAnsi="Times New Roman" w:eastAsia="仿宋_GB2312" w:cstheme="minorBidi"/>
          <w:b/>
          <w:bCs/>
          <w:snapToGrid/>
          <w:color w:val="000000"/>
          <w:spacing w:val="-20"/>
          <w:kern w:val="2"/>
          <w:sz w:val="32"/>
          <w:szCs w:val="32"/>
          <w:lang w:val="en-US" w:eastAsia="zh-CN" w:bidi="ar-SA"/>
        </w:rPr>
        <w:t>落实中长期规划编制要求，按时完成中长期规划编制工作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Times New Roman" w:hAnsi="Times New Roman" w:eastAsia="仿宋_GB2312" w:cstheme="minorBidi"/>
          <w:snapToGrid/>
          <w:color w:val="000000"/>
          <w:spacing w:val="0"/>
          <w:kern w:val="2"/>
          <w:sz w:val="32"/>
          <w:szCs w:val="32"/>
          <w:lang w:val="en-US" w:eastAsia="zh-CN" w:bidi="ar-SA"/>
        </w:rPr>
        <w:sectPr>
          <w:footerReference r:id="rId4" w:type="default"/>
          <w:pgSz w:w="11906" w:h="16839"/>
          <w:pgMar w:top="2098" w:right="1587" w:bottom="1984" w:left="1587" w:header="0" w:footer="0" w:gutter="0"/>
          <w:cols w:space="0" w:num="1"/>
          <w:rtlGutter w:val="0"/>
          <w:docGrid w:linePitch="0" w:charSpace="0"/>
        </w:sectPr>
      </w:pPr>
      <w:r>
        <w:rPr>
          <w:rFonts w:hint="eastAsia" w:ascii="Times New Roman" w:hAnsi="Times New Roman" w:eastAsia="仿宋_GB2312" w:cstheme="minorBidi"/>
          <w:snapToGrid/>
          <w:color w:val="000000"/>
          <w:spacing w:val="0"/>
          <w:kern w:val="2"/>
          <w:sz w:val="32"/>
          <w:szCs w:val="32"/>
          <w:lang w:val="en-US" w:eastAsia="zh-CN" w:bidi="ar-SA"/>
        </w:rPr>
        <w:t>建议区民政局高度重视部门中长期规划编制工作，及时完善区民政行业发展顶层设计，把握时间进度，加强各部门之间沟通，按照规划编制工作方案的要求及时完成部门中长</w:t>
      </w:r>
      <w:r>
        <w:rPr>
          <w:rFonts w:ascii="华文仿宋" w:hAnsi="华文仿宋" w:eastAsia="华文仿宋" w:cs="华文仿宋"/>
          <w:spacing w:val="0"/>
          <w:sz w:val="31"/>
          <w:szCs w:val="31"/>
        </w:rPr>
        <w:t>期规划的审定、印发工作。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b/>
          <w:bCs/>
          <w:snapToGrid/>
          <w:color w:val="000000"/>
          <w:spacing w:val="0"/>
          <w:kern w:val="2"/>
          <w:sz w:val="32"/>
          <w:szCs w:val="32"/>
          <w:lang w:val="en-US" w:eastAsia="zh-CN" w:bidi="ar-SA"/>
        </w:rPr>
      </w:pPr>
      <w:r>
        <w:rPr>
          <w:rFonts w:hint="eastAsia" w:ascii="Times New Roman" w:hAnsi="Times New Roman" w:eastAsia="仿宋_GB2312" w:cstheme="minorBidi"/>
          <w:b/>
          <w:bCs/>
          <w:snapToGrid/>
          <w:color w:val="000000"/>
          <w:spacing w:val="0"/>
          <w:kern w:val="2"/>
          <w:sz w:val="32"/>
          <w:szCs w:val="32"/>
          <w:lang w:val="en-US" w:eastAsia="zh-CN" w:bidi="ar-SA"/>
        </w:rPr>
        <w:t>2.强化预算编制管理力度，提升预算测算准确性</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Times New Roman" w:hAnsi="Times New Roman" w:eastAsia="仿宋_GB2312" w:cstheme="minorBidi"/>
          <w:snapToGrid/>
          <w:color w:val="000000"/>
          <w:spacing w:val="0"/>
          <w:kern w:val="2"/>
          <w:sz w:val="32"/>
          <w:szCs w:val="32"/>
          <w:lang w:val="en-US" w:eastAsia="zh-CN" w:bidi="ar-SA"/>
        </w:rPr>
      </w:pPr>
      <w:r>
        <w:rPr>
          <w:rFonts w:hint="eastAsia" w:ascii="Times New Roman" w:hAnsi="Times New Roman" w:eastAsia="仿宋_GB2312" w:cstheme="minorBidi"/>
          <w:snapToGrid/>
          <w:color w:val="000000"/>
          <w:spacing w:val="0"/>
          <w:kern w:val="2"/>
          <w:sz w:val="32"/>
          <w:szCs w:val="32"/>
          <w:lang w:val="en-US" w:eastAsia="zh-CN" w:bidi="ar-SA"/>
        </w:rPr>
        <w:t>一是建议区民政局完善预算编制制度和流程，明确重大事项需进行集体会议决策的重要性，细化各环节的责任和时间节点，严格按照流程执行；二是建议部门加强前期调研和历史数据分析，预算编制时充分了解业务需求、资源状况以及过往的预算执行情况，通过各项数据分析为预算编制提供有力依据；三是建议加强预算审核和监督，设立专门的审核岗位，对预算编制内容、测算内容等事项进行严格审核，确保预算编制的合理性、准确性、规范性。</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b/>
          <w:bCs/>
          <w:snapToGrid/>
          <w:color w:val="000000"/>
          <w:spacing w:val="0"/>
          <w:kern w:val="2"/>
          <w:sz w:val="32"/>
          <w:szCs w:val="32"/>
          <w:lang w:val="en-US" w:eastAsia="zh-CN" w:bidi="ar-SA"/>
        </w:rPr>
      </w:pPr>
      <w:r>
        <w:rPr>
          <w:rFonts w:hint="eastAsia" w:ascii="Times New Roman" w:hAnsi="Times New Roman" w:eastAsia="仿宋_GB2312" w:cstheme="minorBidi"/>
          <w:b/>
          <w:bCs/>
          <w:snapToGrid/>
          <w:color w:val="000000"/>
          <w:spacing w:val="0"/>
          <w:kern w:val="2"/>
          <w:sz w:val="32"/>
          <w:szCs w:val="32"/>
          <w:lang w:val="en-US" w:eastAsia="zh-CN" w:bidi="ar-SA"/>
        </w:rPr>
        <w:t>3.建立履职工作实施监管措施，保障各项工作按计划完成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Times New Roman" w:hAnsi="Times New Roman" w:eastAsia="仿宋_GB2312" w:cstheme="minorBidi"/>
          <w:snapToGrid/>
          <w:color w:val="000000"/>
          <w:spacing w:val="-20"/>
          <w:kern w:val="2"/>
          <w:sz w:val="32"/>
          <w:szCs w:val="32"/>
          <w:lang w:val="en-US" w:eastAsia="zh-CN" w:bidi="ar-SA"/>
        </w:rPr>
      </w:pPr>
      <w:r>
        <w:rPr>
          <w:rFonts w:hint="eastAsia" w:ascii="Times New Roman" w:hAnsi="Times New Roman" w:eastAsia="仿宋_GB2312" w:cstheme="minorBidi"/>
          <w:snapToGrid/>
          <w:color w:val="000000"/>
          <w:spacing w:val="0"/>
          <w:kern w:val="2"/>
          <w:sz w:val="32"/>
          <w:szCs w:val="32"/>
          <w:lang w:val="en-US" w:eastAsia="zh-CN" w:bidi="ar-SA"/>
        </w:rPr>
        <w:t>一是建议年初制定工作计划前开展全面评估，分析资金资源、人力保障等各项因素是否完备，科学、合理的设置年初计划目标，减少实施后的偏离度。同时针对各项工作内容制定详细的实施方案，合理调配人力、物力和财力等资源，确保核心履职工作能够得到足够的支持，并明确各项工作完成的时间节点和责任人，以便更好地跟踪和执行；二是建议建立监督机制，强化履职工作实施中的监管力度，定期对各项工作进展情况进行检查，发现偏离年初目标或实施方案时及时反馈相关负责人，并针对偏离原因制定相应的举措，</w:t>
      </w:r>
      <w:r>
        <w:rPr>
          <w:rFonts w:hint="eastAsia" w:ascii="Times New Roman" w:hAnsi="Times New Roman" w:eastAsia="仿宋_GB2312" w:cstheme="minorBidi"/>
          <w:snapToGrid/>
          <w:color w:val="000000"/>
          <w:spacing w:val="-20"/>
          <w:kern w:val="2"/>
          <w:sz w:val="32"/>
          <w:szCs w:val="32"/>
          <w:lang w:val="en-US" w:eastAsia="zh-CN" w:bidi="ar-SA"/>
        </w:rPr>
        <w:t>确保各项履职工作按计划完成。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b/>
          <w:bCs/>
          <w:snapToGrid/>
          <w:color w:val="000000"/>
          <w:spacing w:val="0"/>
          <w:kern w:val="2"/>
          <w:sz w:val="32"/>
          <w:szCs w:val="32"/>
          <w:lang w:val="en-US" w:eastAsia="zh-CN" w:bidi="ar-SA"/>
        </w:rPr>
      </w:pPr>
      <w:r>
        <w:rPr>
          <w:rFonts w:hint="eastAsia" w:ascii="Times New Roman" w:hAnsi="Times New Roman" w:eastAsia="仿宋_GB2312" w:cstheme="minorBidi"/>
          <w:b/>
          <w:bCs/>
          <w:snapToGrid/>
          <w:color w:val="000000"/>
          <w:spacing w:val="0"/>
          <w:kern w:val="2"/>
          <w:sz w:val="32"/>
          <w:szCs w:val="32"/>
          <w:lang w:val="en-US" w:eastAsia="zh-CN" w:bidi="ar-SA"/>
        </w:rPr>
        <w:t>4.加大履职成果管控力度，确保履职工作提质增效</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hint="eastAsia" w:ascii="Times New Roman" w:hAnsi="Times New Roman" w:eastAsia="仿宋_GB2312" w:cstheme="minorBidi"/>
          <w:snapToGrid/>
          <w:color w:val="000000"/>
          <w:spacing w:val="0"/>
          <w:kern w:val="2"/>
          <w:sz w:val="32"/>
          <w:szCs w:val="32"/>
          <w:lang w:val="en-US" w:eastAsia="zh-CN" w:bidi="ar-SA"/>
        </w:rPr>
        <w:t>建议区民政局健全殡葬领域腐败乱象专项整治运行机制，系统梳理专项行动各项工作流程，厘清各环节权责边界，剔除繁琐重复工作节点，推动整治工作高效运转。建立常态化廉政风险排查长效机制，定期开展殡葬领域突出问题摸底排查，做到风险早发现、隐患早处置。完善问题整改闭环管理机制，对排查出的腐败苗头、违规乱象分类建立问题清单，精准制定整改方案，动态跟踪整改进度，适时开展整改成效“回头看”，坚决防止问题整改流于形式，持续夯实殡葬领域廉政防线</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rPr>
          <w:rFonts w:ascii="华文仿宋" w:hAnsi="华文仿宋" w:eastAsia="华文仿宋" w:cs="华文仿宋"/>
          <w:spacing w:val="0"/>
          <w:sz w:val="31"/>
          <w:szCs w:val="31"/>
        </w:rPr>
        <w:sectPr>
          <w:pgSz w:w="11906" w:h="16839"/>
          <w:pgMar w:top="2098" w:right="1587" w:bottom="1984" w:left="1587" w:header="0" w:footer="0" w:gutter="0"/>
          <w:cols w:space="0" w:num="1"/>
          <w:rtlGutter w:val="0"/>
          <w:docGrid w:linePitch="0" w:charSpace="0"/>
        </w:sectPr>
      </w:pPr>
    </w:p>
    <w:sdt>
      <w:sdtPr>
        <w:rPr>
          <w:rFonts w:ascii="黑体" w:hAnsi="黑体" w:eastAsia="黑体" w:cs="黑体"/>
          <w:sz w:val="31"/>
          <w:szCs w:val="31"/>
        </w:rPr>
        <w:id w:val="147460278"/>
        <w:docPartObj>
          <w:docPartGallery w:val="Table of Contents"/>
          <w:docPartUnique/>
        </w:docPartObj>
      </w:sdtPr>
      <w:sdtEndPr>
        <w:rPr>
          <w:rFonts w:ascii="仿宋" w:hAnsi="仿宋" w:eastAsia="仿宋" w:cs="仿宋"/>
          <w:spacing w:val="-29"/>
          <w:position w:val="2"/>
          <w:sz w:val="31"/>
          <w:szCs w:val="31"/>
        </w:rPr>
      </w:sdtEndPr>
      <w:sdtContent>
        <w:p>
          <w:pPr>
            <w:spacing w:before="100" w:line="227" w:lineRule="auto"/>
            <w:ind w:left="3738"/>
            <w:rPr>
              <w:rFonts w:ascii="黑体" w:hAnsi="黑体" w:eastAsia="黑体" w:cs="黑体"/>
              <w:sz w:val="31"/>
              <w:szCs w:val="31"/>
            </w:rPr>
          </w:pPr>
          <w:r>
            <w:rPr>
              <w:rFonts w:ascii="黑体" w:hAnsi="黑体" w:eastAsia="黑体" w:cs="黑体"/>
              <w:spacing w:val="-22"/>
              <w:sz w:val="32"/>
              <w:szCs w:val="32"/>
            </w:rPr>
            <w:t>目录</w:t>
          </w:r>
        </w:p>
        <w:p>
          <w:pPr>
            <w:tabs>
              <w:tab w:val="right" w:leader="dot" w:pos="8312"/>
            </w:tabs>
            <w:spacing w:before="175" w:line="175" w:lineRule="auto"/>
            <w:ind w:left="29"/>
            <w:rPr>
              <w:rFonts w:ascii="宋体" w:hAnsi="宋体" w:eastAsia="宋体" w:cs="宋体"/>
              <w:b/>
              <w:bCs/>
              <w:spacing w:val="5"/>
              <w:sz w:val="31"/>
              <w:szCs w:val="31"/>
            </w:rPr>
          </w:pPr>
          <w:r>
            <w:rPr>
              <w:rFonts w:ascii="宋体" w:hAnsi="宋体" w:eastAsia="宋体" w:cs="宋体"/>
              <w:b/>
              <w:bCs/>
              <w:spacing w:val="5"/>
              <w:sz w:val="31"/>
              <w:szCs w:val="31"/>
            </w:rPr>
            <w:fldChar w:fldCharType="begin"/>
          </w:r>
          <w:r>
            <w:rPr>
              <w:rFonts w:ascii="宋体" w:hAnsi="宋体" w:eastAsia="宋体" w:cs="宋体"/>
              <w:b/>
              <w:bCs/>
              <w:spacing w:val="5"/>
              <w:sz w:val="31"/>
              <w:szCs w:val="31"/>
            </w:rPr>
            <w:instrText xml:space="preserve"> HYPERLINK \l "bookmark1" </w:instrText>
          </w:r>
          <w:r>
            <w:rPr>
              <w:rFonts w:ascii="宋体" w:hAnsi="宋体" w:eastAsia="宋体" w:cs="宋体"/>
              <w:b/>
              <w:bCs/>
              <w:spacing w:val="5"/>
              <w:sz w:val="31"/>
              <w:szCs w:val="31"/>
            </w:rPr>
            <w:fldChar w:fldCharType="separate"/>
          </w:r>
          <w:r>
            <w:rPr>
              <w:rFonts w:hint="eastAsia" w:ascii="楷体" w:hAnsi="楷体" w:eastAsia="楷体" w:cs="楷体"/>
              <w:b/>
              <w:bCs/>
              <w:spacing w:val="4"/>
              <w:position w:val="2"/>
              <w:sz w:val="32"/>
              <w:szCs w:val="32"/>
            </w:rPr>
            <w:t>一、基本情况</w:t>
          </w:r>
          <w:r>
            <w:rPr>
              <w:rFonts w:ascii="宋体" w:hAnsi="宋体" w:eastAsia="宋体" w:cs="宋体"/>
              <w:b/>
              <w:bCs/>
              <w:spacing w:val="5"/>
              <w:sz w:val="31"/>
              <w:szCs w:val="31"/>
            </w:rPr>
            <w:tab/>
          </w:r>
          <w:r>
            <w:rPr>
              <w:rFonts w:hint="eastAsia" w:ascii="楷体" w:hAnsi="楷体" w:eastAsia="楷体" w:cs="楷体"/>
              <w:b/>
              <w:bCs/>
              <w:spacing w:val="4"/>
              <w:position w:val="2"/>
              <w:sz w:val="32"/>
              <w:szCs w:val="32"/>
            </w:rPr>
            <w:t>1</w:t>
          </w:r>
          <w:r>
            <w:rPr>
              <w:rFonts w:ascii="宋体" w:hAnsi="宋体" w:eastAsia="宋体" w:cs="宋体"/>
              <w:b/>
              <w:bCs/>
              <w:spacing w:val="5"/>
              <w:sz w:val="31"/>
              <w:szCs w:val="31"/>
            </w:rPr>
            <w:fldChar w:fldCharType="end"/>
          </w:r>
        </w:p>
        <w:p>
          <w:pPr>
            <w:tabs>
              <w:tab w:val="right" w:leader="dot" w:pos="8335"/>
            </w:tabs>
            <w:spacing w:before="287" w:line="437" w:lineRule="exact"/>
            <w:ind w:left="320"/>
            <w:rPr>
              <w:rFonts w:ascii="仿宋" w:hAnsi="仿宋" w:eastAsia="仿宋" w:cs="仿宋"/>
              <w:spacing w:val="-29"/>
              <w:position w:val="2"/>
              <w:sz w:val="31"/>
              <w:szCs w:val="31"/>
            </w:rPr>
          </w:pPr>
          <w:r>
            <w:rPr>
              <w:rFonts w:ascii="仿宋" w:hAnsi="仿宋" w:eastAsia="仿宋" w:cs="仿宋"/>
              <w:spacing w:val="-29"/>
              <w:position w:val="2"/>
              <w:sz w:val="31"/>
              <w:szCs w:val="31"/>
            </w:rPr>
            <w:fldChar w:fldCharType="begin"/>
          </w:r>
          <w:r>
            <w:rPr>
              <w:rFonts w:ascii="仿宋" w:hAnsi="仿宋" w:eastAsia="仿宋" w:cs="仿宋"/>
              <w:spacing w:val="-29"/>
              <w:position w:val="2"/>
              <w:sz w:val="31"/>
              <w:szCs w:val="31"/>
            </w:rPr>
            <w:instrText xml:space="preserve"> HYPERLINK \l "bookmark2" </w:instrText>
          </w:r>
          <w:r>
            <w:rPr>
              <w:rFonts w:ascii="仿宋" w:hAnsi="仿宋" w:eastAsia="仿宋" w:cs="仿宋"/>
              <w:spacing w:val="-29"/>
              <w:position w:val="2"/>
              <w:sz w:val="31"/>
              <w:szCs w:val="31"/>
            </w:rPr>
            <w:fldChar w:fldCharType="separate"/>
          </w:r>
          <w:r>
            <w:rPr>
              <w:rFonts w:ascii="仿宋" w:hAnsi="仿宋" w:eastAsia="仿宋" w:cs="仿宋"/>
              <w:spacing w:val="-29"/>
              <w:position w:val="2"/>
              <w:sz w:val="31"/>
              <w:szCs w:val="31"/>
            </w:rPr>
            <w:t>（一）部门基本情况</w:t>
          </w:r>
          <w:r>
            <w:rPr>
              <w:rFonts w:ascii="仿宋" w:hAnsi="仿宋" w:eastAsia="仿宋" w:cs="仿宋"/>
              <w:spacing w:val="-29"/>
              <w:position w:val="2"/>
              <w:sz w:val="31"/>
              <w:szCs w:val="31"/>
            </w:rPr>
            <w:tab/>
          </w:r>
          <w:r>
            <w:rPr>
              <w:rFonts w:ascii="仿宋" w:hAnsi="仿宋" w:eastAsia="仿宋" w:cs="仿宋"/>
              <w:spacing w:val="-29"/>
              <w:position w:val="2"/>
              <w:sz w:val="31"/>
              <w:szCs w:val="31"/>
            </w:rPr>
            <w:t>1</w:t>
          </w:r>
          <w:r>
            <w:rPr>
              <w:rFonts w:ascii="仿宋" w:hAnsi="仿宋" w:eastAsia="仿宋" w:cs="仿宋"/>
              <w:spacing w:val="-29"/>
              <w:position w:val="2"/>
              <w:sz w:val="31"/>
              <w:szCs w:val="31"/>
            </w:rPr>
            <w:fldChar w:fldCharType="end"/>
          </w:r>
        </w:p>
        <w:p>
          <w:pPr>
            <w:tabs>
              <w:tab w:val="right" w:leader="dot" w:pos="8335"/>
            </w:tabs>
            <w:spacing w:before="287" w:line="437" w:lineRule="exact"/>
            <w:ind w:left="320"/>
            <w:rPr>
              <w:rFonts w:ascii="仿宋" w:hAnsi="仿宋" w:eastAsia="仿宋" w:cs="仿宋"/>
              <w:spacing w:val="-29"/>
              <w:position w:val="2"/>
              <w:sz w:val="31"/>
              <w:szCs w:val="31"/>
            </w:rPr>
          </w:pPr>
          <w:r>
            <w:rPr>
              <w:rFonts w:ascii="仿宋" w:hAnsi="仿宋" w:eastAsia="仿宋" w:cs="仿宋"/>
              <w:spacing w:val="-29"/>
              <w:position w:val="2"/>
              <w:sz w:val="31"/>
              <w:szCs w:val="31"/>
            </w:rPr>
            <w:fldChar w:fldCharType="begin"/>
          </w:r>
          <w:r>
            <w:rPr>
              <w:rFonts w:ascii="仿宋" w:hAnsi="仿宋" w:eastAsia="仿宋" w:cs="仿宋"/>
              <w:spacing w:val="-29"/>
              <w:position w:val="2"/>
              <w:sz w:val="31"/>
              <w:szCs w:val="31"/>
            </w:rPr>
            <w:instrText xml:space="preserve"> HYPERLINK \l "bookmark3" </w:instrText>
          </w:r>
          <w:r>
            <w:rPr>
              <w:rFonts w:ascii="仿宋" w:hAnsi="仿宋" w:eastAsia="仿宋" w:cs="仿宋"/>
              <w:spacing w:val="-29"/>
              <w:position w:val="2"/>
              <w:sz w:val="31"/>
              <w:szCs w:val="31"/>
            </w:rPr>
            <w:fldChar w:fldCharType="separate"/>
          </w:r>
          <w:r>
            <w:rPr>
              <w:rFonts w:ascii="仿宋" w:hAnsi="仿宋" w:eastAsia="仿宋" w:cs="仿宋"/>
              <w:spacing w:val="-29"/>
              <w:position w:val="2"/>
              <w:sz w:val="31"/>
              <w:szCs w:val="31"/>
            </w:rPr>
            <w:t>（二）部门单位整体支出规模</w:t>
          </w:r>
          <w:r>
            <w:rPr>
              <w:rFonts w:ascii="仿宋" w:hAnsi="仿宋" w:eastAsia="仿宋" w:cs="仿宋"/>
              <w:spacing w:val="-29"/>
              <w:position w:val="2"/>
              <w:sz w:val="31"/>
              <w:szCs w:val="31"/>
            </w:rPr>
            <w:tab/>
          </w:r>
          <w:r>
            <w:rPr>
              <w:rFonts w:ascii="仿宋" w:hAnsi="仿宋" w:eastAsia="仿宋" w:cs="仿宋"/>
              <w:spacing w:val="-29"/>
              <w:position w:val="2"/>
              <w:sz w:val="31"/>
              <w:szCs w:val="31"/>
            </w:rPr>
            <w:t>6</w:t>
          </w:r>
          <w:r>
            <w:rPr>
              <w:rFonts w:ascii="仿宋" w:hAnsi="仿宋" w:eastAsia="仿宋" w:cs="仿宋"/>
              <w:spacing w:val="-29"/>
              <w:position w:val="2"/>
              <w:sz w:val="31"/>
              <w:szCs w:val="31"/>
            </w:rPr>
            <w:fldChar w:fldCharType="end"/>
          </w:r>
        </w:p>
        <w:p>
          <w:pPr>
            <w:tabs>
              <w:tab w:val="right" w:leader="dot" w:pos="8335"/>
            </w:tabs>
            <w:spacing w:before="287" w:line="437" w:lineRule="exact"/>
            <w:ind w:left="320"/>
            <w:rPr>
              <w:rFonts w:ascii="仿宋" w:hAnsi="仿宋" w:eastAsia="仿宋" w:cs="仿宋"/>
              <w:spacing w:val="-29"/>
              <w:position w:val="2"/>
              <w:sz w:val="31"/>
              <w:szCs w:val="31"/>
            </w:rPr>
          </w:pPr>
          <w:r>
            <w:rPr>
              <w:rFonts w:ascii="仿宋" w:hAnsi="仿宋" w:eastAsia="仿宋" w:cs="仿宋"/>
              <w:spacing w:val="-29"/>
              <w:position w:val="2"/>
              <w:sz w:val="31"/>
              <w:szCs w:val="31"/>
            </w:rPr>
            <w:fldChar w:fldCharType="begin"/>
          </w:r>
          <w:r>
            <w:rPr>
              <w:rFonts w:ascii="仿宋" w:hAnsi="仿宋" w:eastAsia="仿宋" w:cs="仿宋"/>
              <w:spacing w:val="-29"/>
              <w:position w:val="2"/>
              <w:sz w:val="31"/>
              <w:szCs w:val="31"/>
            </w:rPr>
            <w:instrText xml:space="preserve"> HYPERLINK \l "bookmark4" </w:instrText>
          </w:r>
          <w:r>
            <w:rPr>
              <w:rFonts w:ascii="仿宋" w:hAnsi="仿宋" w:eastAsia="仿宋" w:cs="仿宋"/>
              <w:spacing w:val="-29"/>
              <w:position w:val="2"/>
              <w:sz w:val="31"/>
              <w:szCs w:val="31"/>
            </w:rPr>
            <w:fldChar w:fldCharType="separate"/>
          </w:r>
          <w:r>
            <w:rPr>
              <w:rFonts w:ascii="仿宋" w:hAnsi="仿宋" w:eastAsia="仿宋" w:cs="仿宋"/>
              <w:spacing w:val="-29"/>
              <w:position w:val="2"/>
              <w:sz w:val="31"/>
              <w:szCs w:val="31"/>
            </w:rPr>
            <w:t>（三）部门管理情况</w:t>
          </w:r>
          <w:r>
            <w:rPr>
              <w:rFonts w:ascii="仿宋" w:hAnsi="仿宋" w:eastAsia="仿宋" w:cs="仿宋"/>
              <w:spacing w:val="-29"/>
              <w:position w:val="2"/>
              <w:sz w:val="31"/>
              <w:szCs w:val="31"/>
            </w:rPr>
            <w:tab/>
          </w:r>
          <w:r>
            <w:rPr>
              <w:rFonts w:ascii="仿宋" w:hAnsi="仿宋" w:eastAsia="仿宋" w:cs="仿宋"/>
              <w:spacing w:val="-29"/>
              <w:position w:val="2"/>
              <w:sz w:val="31"/>
              <w:szCs w:val="31"/>
            </w:rPr>
            <w:t>8</w:t>
          </w:r>
          <w:r>
            <w:rPr>
              <w:rFonts w:ascii="仿宋" w:hAnsi="仿宋" w:eastAsia="仿宋" w:cs="仿宋"/>
              <w:spacing w:val="-29"/>
              <w:position w:val="2"/>
              <w:sz w:val="31"/>
              <w:szCs w:val="31"/>
            </w:rPr>
            <w:fldChar w:fldCharType="end"/>
          </w:r>
        </w:p>
        <w:p>
          <w:pPr>
            <w:tabs>
              <w:tab w:val="right" w:leader="dot" w:pos="8335"/>
            </w:tabs>
            <w:spacing w:before="287" w:line="437" w:lineRule="exact"/>
            <w:ind w:left="320"/>
            <w:rPr>
              <w:rFonts w:ascii="仿宋" w:hAnsi="仿宋" w:eastAsia="仿宋" w:cs="仿宋"/>
              <w:spacing w:val="-29"/>
              <w:position w:val="2"/>
              <w:sz w:val="31"/>
              <w:szCs w:val="31"/>
            </w:rPr>
          </w:pPr>
          <w:r>
            <w:rPr>
              <w:rFonts w:ascii="仿宋" w:hAnsi="仿宋" w:eastAsia="仿宋" w:cs="仿宋"/>
              <w:spacing w:val="-29"/>
              <w:position w:val="2"/>
              <w:sz w:val="31"/>
              <w:szCs w:val="31"/>
            </w:rPr>
            <w:fldChar w:fldCharType="begin"/>
          </w:r>
          <w:r>
            <w:rPr>
              <w:rFonts w:ascii="仿宋" w:hAnsi="仿宋" w:eastAsia="仿宋" w:cs="仿宋"/>
              <w:spacing w:val="-29"/>
              <w:position w:val="2"/>
              <w:sz w:val="31"/>
              <w:szCs w:val="31"/>
            </w:rPr>
            <w:instrText xml:space="preserve"> HYPERLINK \l "bookmark5" </w:instrText>
          </w:r>
          <w:r>
            <w:rPr>
              <w:rFonts w:ascii="仿宋" w:hAnsi="仿宋" w:eastAsia="仿宋" w:cs="仿宋"/>
              <w:spacing w:val="-29"/>
              <w:position w:val="2"/>
              <w:sz w:val="31"/>
              <w:szCs w:val="31"/>
            </w:rPr>
            <w:fldChar w:fldCharType="separate"/>
          </w:r>
          <w:r>
            <w:rPr>
              <w:rFonts w:ascii="仿宋" w:hAnsi="仿宋" w:eastAsia="仿宋" w:cs="仿宋"/>
              <w:spacing w:val="-29"/>
              <w:position w:val="2"/>
              <w:sz w:val="31"/>
              <w:szCs w:val="31"/>
            </w:rPr>
            <w:t>（四）部门绩效目标</w:t>
          </w:r>
          <w:r>
            <w:rPr>
              <w:rFonts w:ascii="仿宋" w:hAnsi="仿宋" w:eastAsia="仿宋" w:cs="仿宋"/>
              <w:spacing w:val="-29"/>
              <w:position w:val="2"/>
              <w:sz w:val="31"/>
              <w:szCs w:val="31"/>
            </w:rPr>
            <w:tab/>
          </w:r>
          <w:r>
            <w:rPr>
              <w:rFonts w:ascii="仿宋" w:hAnsi="仿宋" w:eastAsia="仿宋" w:cs="仿宋"/>
              <w:spacing w:val="-29"/>
              <w:position w:val="2"/>
              <w:sz w:val="31"/>
              <w:szCs w:val="31"/>
            </w:rPr>
            <w:t>9</w:t>
          </w:r>
          <w:r>
            <w:rPr>
              <w:rFonts w:ascii="仿宋" w:hAnsi="仿宋" w:eastAsia="仿宋" w:cs="仿宋"/>
              <w:spacing w:val="-29"/>
              <w:position w:val="2"/>
              <w:sz w:val="31"/>
              <w:szCs w:val="31"/>
            </w:rPr>
            <w:fldChar w:fldCharType="end"/>
          </w:r>
        </w:p>
        <w:p>
          <w:pPr>
            <w:tabs>
              <w:tab w:val="right" w:leader="dot" w:pos="8335"/>
            </w:tabs>
            <w:spacing w:before="287" w:line="437" w:lineRule="exact"/>
            <w:ind w:left="320"/>
            <w:rPr>
              <w:rFonts w:ascii="宋体" w:hAnsi="宋体" w:eastAsia="宋体" w:cs="宋体"/>
              <w:b/>
              <w:bCs/>
              <w:spacing w:val="5"/>
              <w:sz w:val="31"/>
              <w:szCs w:val="31"/>
            </w:rPr>
          </w:pPr>
          <w:r>
            <w:rPr>
              <w:rFonts w:ascii="仿宋" w:hAnsi="仿宋" w:eastAsia="仿宋" w:cs="仿宋"/>
              <w:spacing w:val="-29"/>
              <w:position w:val="2"/>
              <w:sz w:val="31"/>
              <w:szCs w:val="31"/>
            </w:rPr>
            <w:fldChar w:fldCharType="begin"/>
          </w:r>
          <w:r>
            <w:rPr>
              <w:rFonts w:ascii="仿宋" w:hAnsi="仿宋" w:eastAsia="仿宋" w:cs="仿宋"/>
              <w:spacing w:val="-29"/>
              <w:position w:val="2"/>
              <w:sz w:val="31"/>
              <w:szCs w:val="31"/>
            </w:rPr>
            <w:instrText xml:space="preserve"> HYPERLINK \l "bookmark6" </w:instrText>
          </w:r>
          <w:r>
            <w:rPr>
              <w:rFonts w:ascii="仿宋" w:hAnsi="仿宋" w:eastAsia="仿宋" w:cs="仿宋"/>
              <w:spacing w:val="-29"/>
              <w:position w:val="2"/>
              <w:sz w:val="31"/>
              <w:szCs w:val="31"/>
            </w:rPr>
            <w:fldChar w:fldCharType="separate"/>
          </w:r>
          <w:r>
            <w:rPr>
              <w:rFonts w:ascii="仿宋" w:hAnsi="仿宋" w:eastAsia="仿宋" w:cs="仿宋"/>
              <w:spacing w:val="-29"/>
              <w:position w:val="2"/>
              <w:sz w:val="31"/>
              <w:szCs w:val="31"/>
            </w:rPr>
            <w:t>（五）评价对象和范围、主要内容</w:t>
          </w:r>
          <w:r>
            <w:rPr>
              <w:rFonts w:ascii="仿宋" w:hAnsi="仿宋" w:eastAsia="仿宋" w:cs="仿宋"/>
              <w:spacing w:val="-29"/>
              <w:position w:val="2"/>
              <w:sz w:val="31"/>
              <w:szCs w:val="31"/>
            </w:rPr>
            <w:tab/>
          </w:r>
          <w:r>
            <w:rPr>
              <w:rFonts w:ascii="仿宋" w:hAnsi="仿宋" w:eastAsia="仿宋" w:cs="仿宋"/>
              <w:spacing w:val="-29"/>
              <w:position w:val="2"/>
              <w:sz w:val="31"/>
              <w:szCs w:val="31"/>
            </w:rPr>
            <w:t>9</w:t>
          </w:r>
          <w:r>
            <w:rPr>
              <w:rFonts w:ascii="仿宋" w:hAnsi="仿宋" w:eastAsia="仿宋" w:cs="仿宋"/>
              <w:spacing w:val="-29"/>
              <w:position w:val="2"/>
              <w:sz w:val="31"/>
              <w:szCs w:val="31"/>
            </w:rPr>
            <w:fldChar w:fldCharType="end"/>
          </w:r>
        </w:p>
        <w:p>
          <w:pPr>
            <w:tabs>
              <w:tab w:val="right" w:leader="dot" w:pos="8312"/>
            </w:tabs>
            <w:spacing w:before="175" w:line="175" w:lineRule="auto"/>
            <w:ind w:left="29"/>
            <w:rPr>
              <w:rFonts w:ascii="宋体" w:hAnsi="宋体" w:eastAsia="宋体" w:cs="宋体"/>
              <w:b/>
              <w:bCs/>
              <w:spacing w:val="5"/>
              <w:sz w:val="31"/>
              <w:szCs w:val="31"/>
            </w:rPr>
          </w:pPr>
          <w:r>
            <w:rPr>
              <w:rFonts w:hint="eastAsia" w:ascii="楷体" w:hAnsi="楷体" w:eastAsia="楷体" w:cs="楷体"/>
              <w:b/>
              <w:bCs/>
              <w:spacing w:val="4"/>
              <w:position w:val="2"/>
              <w:sz w:val="32"/>
              <w:szCs w:val="32"/>
            </w:rPr>
            <w:fldChar w:fldCharType="begin"/>
          </w:r>
          <w:r>
            <w:rPr>
              <w:rFonts w:hint="eastAsia" w:ascii="楷体" w:hAnsi="楷体" w:eastAsia="楷体" w:cs="楷体"/>
              <w:b/>
              <w:bCs/>
              <w:spacing w:val="4"/>
              <w:position w:val="2"/>
              <w:sz w:val="32"/>
              <w:szCs w:val="32"/>
            </w:rPr>
            <w:instrText xml:space="preserve"> HYPERLINK \l "bookmark7" </w:instrText>
          </w:r>
          <w:r>
            <w:rPr>
              <w:rFonts w:hint="eastAsia" w:ascii="楷体" w:hAnsi="楷体" w:eastAsia="楷体" w:cs="楷体"/>
              <w:b/>
              <w:bCs/>
              <w:spacing w:val="4"/>
              <w:position w:val="2"/>
              <w:sz w:val="32"/>
              <w:szCs w:val="32"/>
            </w:rPr>
            <w:fldChar w:fldCharType="separate"/>
          </w:r>
          <w:r>
            <w:rPr>
              <w:rFonts w:hint="eastAsia" w:ascii="楷体" w:hAnsi="楷体" w:eastAsia="楷体" w:cs="楷体"/>
              <w:b/>
              <w:bCs/>
              <w:spacing w:val="4"/>
              <w:position w:val="2"/>
              <w:sz w:val="32"/>
              <w:szCs w:val="32"/>
            </w:rPr>
            <w:t>二、评价工作简述</w:t>
          </w:r>
          <w:r>
            <w:rPr>
              <w:rFonts w:hint="eastAsia" w:ascii="楷体" w:hAnsi="楷体" w:eastAsia="楷体" w:cs="楷体"/>
              <w:b/>
              <w:bCs/>
              <w:spacing w:val="4"/>
              <w:position w:val="2"/>
              <w:sz w:val="32"/>
              <w:szCs w:val="32"/>
            </w:rPr>
            <w:tab/>
          </w:r>
          <w:r>
            <w:rPr>
              <w:rFonts w:hint="eastAsia" w:ascii="楷体" w:hAnsi="楷体" w:eastAsia="楷体" w:cs="楷体"/>
              <w:b/>
              <w:bCs/>
              <w:spacing w:val="4"/>
              <w:position w:val="2"/>
              <w:sz w:val="32"/>
              <w:szCs w:val="32"/>
            </w:rPr>
            <w:t>1</w:t>
          </w:r>
          <w:r>
            <w:rPr>
              <w:rFonts w:hint="eastAsia" w:ascii="楷体" w:hAnsi="楷体" w:eastAsia="楷体" w:cs="楷体"/>
              <w:b/>
              <w:bCs/>
              <w:spacing w:val="4"/>
              <w:position w:val="2"/>
              <w:sz w:val="32"/>
              <w:szCs w:val="32"/>
            </w:rPr>
            <w:fldChar w:fldCharType="end"/>
          </w:r>
          <w:r>
            <w:rPr>
              <w:rFonts w:hint="eastAsia" w:ascii="楷体" w:hAnsi="楷体" w:eastAsia="楷体" w:cs="楷体"/>
              <w:b/>
              <w:bCs/>
              <w:spacing w:val="4"/>
              <w:position w:val="2"/>
              <w:sz w:val="32"/>
              <w:szCs w:val="32"/>
            </w:rPr>
            <w:t>0</w:t>
          </w:r>
        </w:p>
        <w:p>
          <w:pPr>
            <w:tabs>
              <w:tab w:val="right" w:leader="dot" w:pos="8335"/>
            </w:tabs>
            <w:spacing w:before="287" w:line="437" w:lineRule="exact"/>
            <w:ind w:left="320"/>
            <w:rPr>
              <w:rFonts w:ascii="仿宋" w:hAnsi="仿宋" w:eastAsia="仿宋" w:cs="仿宋"/>
              <w:spacing w:val="-29"/>
              <w:position w:val="2"/>
              <w:sz w:val="31"/>
              <w:szCs w:val="31"/>
            </w:rPr>
          </w:pPr>
          <w:r>
            <w:rPr>
              <w:rFonts w:ascii="仿宋" w:hAnsi="仿宋" w:eastAsia="仿宋" w:cs="仿宋"/>
              <w:spacing w:val="-29"/>
              <w:position w:val="2"/>
              <w:sz w:val="31"/>
              <w:szCs w:val="31"/>
            </w:rPr>
            <w:fldChar w:fldCharType="begin"/>
          </w:r>
          <w:r>
            <w:rPr>
              <w:rFonts w:ascii="仿宋" w:hAnsi="仿宋" w:eastAsia="仿宋" w:cs="仿宋"/>
              <w:spacing w:val="-29"/>
              <w:position w:val="2"/>
              <w:sz w:val="31"/>
              <w:szCs w:val="31"/>
            </w:rPr>
            <w:instrText xml:space="preserve"> HYPERLINK \l "bookmark8" </w:instrText>
          </w:r>
          <w:r>
            <w:rPr>
              <w:rFonts w:ascii="仿宋" w:hAnsi="仿宋" w:eastAsia="仿宋" w:cs="仿宋"/>
              <w:spacing w:val="-29"/>
              <w:position w:val="2"/>
              <w:sz w:val="31"/>
              <w:szCs w:val="31"/>
            </w:rPr>
            <w:fldChar w:fldCharType="separate"/>
          </w:r>
          <w:r>
            <w:rPr>
              <w:rFonts w:ascii="仿宋" w:hAnsi="仿宋" w:eastAsia="仿宋" w:cs="仿宋"/>
              <w:spacing w:val="-29"/>
              <w:position w:val="2"/>
              <w:sz w:val="31"/>
              <w:szCs w:val="31"/>
            </w:rPr>
            <w:t>（一）评价依据</w:t>
          </w:r>
          <w:r>
            <w:rPr>
              <w:rFonts w:ascii="仿宋" w:hAnsi="仿宋" w:eastAsia="仿宋" w:cs="仿宋"/>
              <w:spacing w:val="-29"/>
              <w:position w:val="2"/>
              <w:sz w:val="31"/>
              <w:szCs w:val="31"/>
            </w:rPr>
            <w:tab/>
          </w:r>
          <w:r>
            <w:rPr>
              <w:rFonts w:ascii="仿宋" w:hAnsi="仿宋" w:eastAsia="仿宋" w:cs="仿宋"/>
              <w:spacing w:val="-29"/>
              <w:position w:val="2"/>
              <w:sz w:val="31"/>
              <w:szCs w:val="31"/>
            </w:rPr>
            <w:t>10</w:t>
          </w:r>
          <w:r>
            <w:rPr>
              <w:rFonts w:ascii="仿宋" w:hAnsi="仿宋" w:eastAsia="仿宋" w:cs="仿宋"/>
              <w:spacing w:val="-29"/>
              <w:position w:val="2"/>
              <w:sz w:val="31"/>
              <w:szCs w:val="31"/>
            </w:rPr>
            <w:fldChar w:fldCharType="end"/>
          </w:r>
        </w:p>
        <w:p>
          <w:pPr>
            <w:tabs>
              <w:tab w:val="right" w:leader="dot" w:pos="8335"/>
            </w:tabs>
            <w:spacing w:before="287" w:line="437" w:lineRule="exact"/>
            <w:ind w:left="320"/>
            <w:rPr>
              <w:rFonts w:ascii="仿宋" w:hAnsi="仿宋" w:eastAsia="仿宋" w:cs="仿宋"/>
              <w:spacing w:val="-29"/>
              <w:position w:val="2"/>
              <w:sz w:val="31"/>
              <w:szCs w:val="31"/>
            </w:rPr>
          </w:pPr>
          <w:r>
            <w:rPr>
              <w:rFonts w:ascii="仿宋" w:hAnsi="仿宋" w:eastAsia="仿宋" w:cs="仿宋"/>
              <w:spacing w:val="-29"/>
              <w:position w:val="2"/>
              <w:sz w:val="31"/>
              <w:szCs w:val="31"/>
            </w:rPr>
            <w:fldChar w:fldCharType="begin"/>
          </w:r>
          <w:r>
            <w:rPr>
              <w:rFonts w:ascii="仿宋" w:hAnsi="仿宋" w:eastAsia="仿宋" w:cs="仿宋"/>
              <w:spacing w:val="-29"/>
              <w:position w:val="2"/>
              <w:sz w:val="31"/>
              <w:szCs w:val="31"/>
            </w:rPr>
            <w:instrText xml:space="preserve"> HYPERLINK \l "bookmark9" </w:instrText>
          </w:r>
          <w:r>
            <w:rPr>
              <w:rFonts w:ascii="仿宋" w:hAnsi="仿宋" w:eastAsia="仿宋" w:cs="仿宋"/>
              <w:spacing w:val="-29"/>
              <w:position w:val="2"/>
              <w:sz w:val="31"/>
              <w:szCs w:val="31"/>
            </w:rPr>
            <w:fldChar w:fldCharType="separate"/>
          </w:r>
          <w:r>
            <w:rPr>
              <w:rFonts w:ascii="仿宋" w:hAnsi="仿宋" w:eastAsia="仿宋" w:cs="仿宋"/>
              <w:spacing w:val="-29"/>
              <w:position w:val="2"/>
              <w:sz w:val="31"/>
              <w:szCs w:val="31"/>
            </w:rPr>
            <w:t>（二）评价目的</w:t>
          </w:r>
          <w:r>
            <w:rPr>
              <w:rFonts w:ascii="仿宋" w:hAnsi="仿宋" w:eastAsia="仿宋" w:cs="仿宋"/>
              <w:spacing w:val="-29"/>
              <w:position w:val="2"/>
              <w:sz w:val="31"/>
              <w:szCs w:val="31"/>
            </w:rPr>
            <w:tab/>
          </w:r>
          <w:r>
            <w:rPr>
              <w:rFonts w:ascii="仿宋" w:hAnsi="仿宋" w:eastAsia="仿宋" w:cs="仿宋"/>
              <w:spacing w:val="-29"/>
              <w:position w:val="2"/>
              <w:sz w:val="31"/>
              <w:szCs w:val="31"/>
            </w:rPr>
            <w:t>1</w:t>
          </w:r>
          <w:r>
            <w:rPr>
              <w:rFonts w:ascii="仿宋" w:hAnsi="仿宋" w:eastAsia="仿宋" w:cs="仿宋"/>
              <w:spacing w:val="-29"/>
              <w:position w:val="2"/>
              <w:sz w:val="31"/>
              <w:szCs w:val="31"/>
            </w:rPr>
            <w:fldChar w:fldCharType="end"/>
          </w:r>
          <w:r>
            <w:rPr>
              <w:rFonts w:ascii="仿宋" w:hAnsi="仿宋" w:eastAsia="仿宋" w:cs="仿宋"/>
              <w:spacing w:val="-29"/>
              <w:position w:val="2"/>
              <w:sz w:val="31"/>
              <w:szCs w:val="31"/>
            </w:rPr>
            <w:t>1</w:t>
          </w:r>
        </w:p>
        <w:p>
          <w:pPr>
            <w:tabs>
              <w:tab w:val="right" w:leader="dot" w:pos="8335"/>
            </w:tabs>
            <w:spacing w:before="287" w:line="437" w:lineRule="exact"/>
            <w:ind w:left="320"/>
            <w:rPr>
              <w:rFonts w:ascii="仿宋" w:hAnsi="仿宋" w:eastAsia="仿宋" w:cs="仿宋"/>
              <w:spacing w:val="-29"/>
              <w:position w:val="2"/>
              <w:sz w:val="31"/>
              <w:szCs w:val="31"/>
            </w:rPr>
          </w:pPr>
          <w:r>
            <w:rPr>
              <w:rFonts w:ascii="仿宋" w:hAnsi="仿宋" w:eastAsia="仿宋" w:cs="仿宋"/>
              <w:spacing w:val="-29"/>
              <w:position w:val="2"/>
              <w:sz w:val="31"/>
              <w:szCs w:val="31"/>
            </w:rPr>
            <w:fldChar w:fldCharType="begin"/>
          </w:r>
          <w:r>
            <w:rPr>
              <w:rFonts w:ascii="仿宋" w:hAnsi="仿宋" w:eastAsia="仿宋" w:cs="仿宋"/>
              <w:spacing w:val="-29"/>
              <w:position w:val="2"/>
              <w:sz w:val="31"/>
              <w:szCs w:val="31"/>
            </w:rPr>
            <w:instrText xml:space="preserve"> HYPERLINK \l "bookmark10" </w:instrText>
          </w:r>
          <w:r>
            <w:rPr>
              <w:rFonts w:ascii="仿宋" w:hAnsi="仿宋" w:eastAsia="仿宋" w:cs="仿宋"/>
              <w:spacing w:val="-29"/>
              <w:position w:val="2"/>
              <w:sz w:val="31"/>
              <w:szCs w:val="31"/>
            </w:rPr>
            <w:fldChar w:fldCharType="separate"/>
          </w:r>
          <w:r>
            <w:rPr>
              <w:rFonts w:ascii="仿宋" w:hAnsi="仿宋" w:eastAsia="仿宋" w:cs="仿宋"/>
              <w:spacing w:val="-29"/>
              <w:position w:val="2"/>
              <w:sz w:val="31"/>
              <w:szCs w:val="31"/>
            </w:rPr>
            <w:t>（三）评价原则</w:t>
          </w:r>
          <w:r>
            <w:rPr>
              <w:rFonts w:ascii="仿宋" w:hAnsi="仿宋" w:eastAsia="仿宋" w:cs="仿宋"/>
              <w:spacing w:val="-29"/>
              <w:position w:val="2"/>
              <w:sz w:val="31"/>
              <w:szCs w:val="31"/>
            </w:rPr>
            <w:tab/>
          </w:r>
          <w:r>
            <w:rPr>
              <w:rFonts w:ascii="仿宋" w:hAnsi="仿宋" w:eastAsia="仿宋" w:cs="仿宋"/>
              <w:spacing w:val="-29"/>
              <w:position w:val="2"/>
              <w:sz w:val="31"/>
              <w:szCs w:val="31"/>
            </w:rPr>
            <w:t>11</w:t>
          </w:r>
          <w:r>
            <w:rPr>
              <w:rFonts w:ascii="仿宋" w:hAnsi="仿宋" w:eastAsia="仿宋" w:cs="仿宋"/>
              <w:spacing w:val="-29"/>
              <w:position w:val="2"/>
              <w:sz w:val="31"/>
              <w:szCs w:val="31"/>
            </w:rPr>
            <w:fldChar w:fldCharType="end"/>
          </w:r>
        </w:p>
        <w:p>
          <w:pPr>
            <w:tabs>
              <w:tab w:val="right" w:leader="dot" w:pos="8335"/>
            </w:tabs>
            <w:spacing w:before="287" w:line="437" w:lineRule="exact"/>
            <w:ind w:left="320"/>
            <w:rPr>
              <w:rFonts w:ascii="仿宋" w:hAnsi="仿宋" w:eastAsia="仿宋" w:cs="仿宋"/>
              <w:spacing w:val="-29"/>
              <w:position w:val="2"/>
              <w:sz w:val="31"/>
              <w:szCs w:val="31"/>
            </w:rPr>
          </w:pPr>
          <w:r>
            <w:rPr>
              <w:rFonts w:ascii="仿宋" w:hAnsi="仿宋" w:eastAsia="仿宋" w:cs="仿宋"/>
              <w:spacing w:val="-29"/>
              <w:position w:val="2"/>
              <w:sz w:val="31"/>
              <w:szCs w:val="31"/>
            </w:rPr>
            <w:fldChar w:fldCharType="begin"/>
          </w:r>
          <w:r>
            <w:rPr>
              <w:rFonts w:ascii="仿宋" w:hAnsi="仿宋" w:eastAsia="仿宋" w:cs="仿宋"/>
              <w:spacing w:val="-29"/>
              <w:position w:val="2"/>
              <w:sz w:val="31"/>
              <w:szCs w:val="31"/>
            </w:rPr>
            <w:instrText xml:space="preserve"> HYPERLINK \l "bookmark11" </w:instrText>
          </w:r>
          <w:r>
            <w:rPr>
              <w:rFonts w:ascii="仿宋" w:hAnsi="仿宋" w:eastAsia="仿宋" w:cs="仿宋"/>
              <w:spacing w:val="-29"/>
              <w:position w:val="2"/>
              <w:sz w:val="31"/>
              <w:szCs w:val="31"/>
            </w:rPr>
            <w:fldChar w:fldCharType="separate"/>
          </w:r>
          <w:r>
            <w:rPr>
              <w:rFonts w:ascii="仿宋" w:hAnsi="仿宋" w:eastAsia="仿宋" w:cs="仿宋"/>
              <w:spacing w:val="-29"/>
              <w:position w:val="2"/>
              <w:sz w:val="31"/>
              <w:szCs w:val="31"/>
            </w:rPr>
            <w:t>（四）评价方法</w:t>
          </w:r>
          <w:r>
            <w:rPr>
              <w:rFonts w:ascii="仿宋" w:hAnsi="仿宋" w:eastAsia="仿宋" w:cs="仿宋"/>
              <w:spacing w:val="-29"/>
              <w:position w:val="2"/>
              <w:sz w:val="31"/>
              <w:szCs w:val="31"/>
            </w:rPr>
            <w:tab/>
          </w:r>
          <w:r>
            <w:rPr>
              <w:rFonts w:ascii="仿宋" w:hAnsi="仿宋" w:eastAsia="仿宋" w:cs="仿宋"/>
              <w:spacing w:val="-29"/>
              <w:position w:val="2"/>
              <w:sz w:val="31"/>
              <w:szCs w:val="31"/>
            </w:rPr>
            <w:t>1</w:t>
          </w:r>
          <w:r>
            <w:rPr>
              <w:rFonts w:hint="eastAsia" w:ascii="仿宋" w:hAnsi="仿宋" w:eastAsia="仿宋" w:cs="仿宋"/>
              <w:spacing w:val="-29"/>
              <w:position w:val="2"/>
              <w:sz w:val="31"/>
              <w:szCs w:val="31"/>
              <w:lang w:val="en-US" w:eastAsia="zh-CN"/>
            </w:rPr>
            <w:t>1</w:t>
          </w:r>
          <w:r>
            <w:rPr>
              <w:rFonts w:ascii="仿宋" w:hAnsi="仿宋" w:eastAsia="仿宋" w:cs="仿宋"/>
              <w:spacing w:val="-29"/>
              <w:position w:val="2"/>
              <w:sz w:val="31"/>
              <w:szCs w:val="31"/>
            </w:rPr>
            <w:fldChar w:fldCharType="end"/>
          </w:r>
        </w:p>
        <w:p>
          <w:pPr>
            <w:tabs>
              <w:tab w:val="right" w:leader="dot" w:pos="8335"/>
            </w:tabs>
            <w:spacing w:before="287" w:line="437" w:lineRule="exact"/>
            <w:ind w:left="320"/>
            <w:rPr>
              <w:rFonts w:ascii="仿宋" w:hAnsi="仿宋" w:eastAsia="仿宋" w:cs="仿宋"/>
              <w:spacing w:val="-29"/>
              <w:position w:val="2"/>
              <w:sz w:val="31"/>
              <w:szCs w:val="31"/>
            </w:rPr>
          </w:pPr>
          <w:r>
            <w:rPr>
              <w:rFonts w:ascii="仿宋" w:hAnsi="仿宋" w:eastAsia="仿宋" w:cs="仿宋"/>
              <w:spacing w:val="-29"/>
              <w:position w:val="2"/>
              <w:sz w:val="31"/>
              <w:szCs w:val="31"/>
            </w:rPr>
            <w:fldChar w:fldCharType="begin"/>
          </w:r>
          <w:r>
            <w:rPr>
              <w:rFonts w:ascii="仿宋" w:hAnsi="仿宋" w:eastAsia="仿宋" w:cs="仿宋"/>
              <w:spacing w:val="-29"/>
              <w:position w:val="2"/>
              <w:sz w:val="31"/>
              <w:szCs w:val="31"/>
            </w:rPr>
            <w:instrText xml:space="preserve"> HYPERLINK \l "bookmark12" </w:instrText>
          </w:r>
          <w:r>
            <w:rPr>
              <w:rFonts w:ascii="仿宋" w:hAnsi="仿宋" w:eastAsia="仿宋" w:cs="仿宋"/>
              <w:spacing w:val="-29"/>
              <w:position w:val="2"/>
              <w:sz w:val="31"/>
              <w:szCs w:val="31"/>
            </w:rPr>
            <w:fldChar w:fldCharType="separate"/>
          </w:r>
          <w:r>
            <w:rPr>
              <w:rFonts w:ascii="仿宋" w:hAnsi="仿宋" w:eastAsia="仿宋" w:cs="仿宋"/>
              <w:spacing w:val="-29"/>
              <w:position w:val="2"/>
              <w:sz w:val="31"/>
              <w:szCs w:val="31"/>
            </w:rPr>
            <w:t>（五）评价指标体系及评价标准</w:t>
          </w:r>
          <w:r>
            <w:rPr>
              <w:rFonts w:ascii="仿宋" w:hAnsi="仿宋" w:eastAsia="仿宋" w:cs="仿宋"/>
              <w:spacing w:val="-29"/>
              <w:position w:val="2"/>
              <w:sz w:val="31"/>
              <w:szCs w:val="31"/>
            </w:rPr>
            <w:tab/>
          </w:r>
          <w:r>
            <w:rPr>
              <w:rFonts w:ascii="仿宋" w:hAnsi="仿宋" w:eastAsia="仿宋" w:cs="仿宋"/>
              <w:spacing w:val="-29"/>
              <w:position w:val="2"/>
              <w:sz w:val="31"/>
              <w:szCs w:val="31"/>
            </w:rPr>
            <w:t>1</w:t>
          </w:r>
          <w:r>
            <w:rPr>
              <w:rFonts w:hint="eastAsia" w:ascii="仿宋" w:hAnsi="仿宋" w:eastAsia="仿宋" w:cs="仿宋"/>
              <w:spacing w:val="-29"/>
              <w:position w:val="2"/>
              <w:sz w:val="31"/>
              <w:szCs w:val="31"/>
              <w:lang w:val="en-US" w:eastAsia="zh-CN"/>
            </w:rPr>
            <w:t>2</w:t>
          </w:r>
          <w:r>
            <w:rPr>
              <w:rFonts w:ascii="仿宋" w:hAnsi="仿宋" w:eastAsia="仿宋" w:cs="仿宋"/>
              <w:spacing w:val="-29"/>
              <w:position w:val="2"/>
              <w:sz w:val="31"/>
              <w:szCs w:val="31"/>
            </w:rPr>
            <w:fldChar w:fldCharType="end"/>
          </w:r>
        </w:p>
        <w:p>
          <w:pPr>
            <w:tabs>
              <w:tab w:val="right" w:leader="dot" w:pos="8335"/>
            </w:tabs>
            <w:spacing w:before="287" w:line="437" w:lineRule="exact"/>
            <w:ind w:left="320"/>
            <w:rPr>
              <w:rFonts w:ascii="宋体" w:hAnsi="宋体" w:eastAsia="宋体" w:cs="宋体"/>
              <w:b/>
              <w:bCs/>
              <w:spacing w:val="5"/>
              <w:sz w:val="31"/>
              <w:szCs w:val="31"/>
            </w:rPr>
          </w:pPr>
          <w:r>
            <w:rPr>
              <w:rFonts w:ascii="仿宋" w:hAnsi="仿宋" w:eastAsia="仿宋" w:cs="仿宋"/>
              <w:spacing w:val="-29"/>
              <w:position w:val="2"/>
              <w:sz w:val="31"/>
              <w:szCs w:val="31"/>
            </w:rPr>
            <w:fldChar w:fldCharType="begin"/>
          </w:r>
          <w:r>
            <w:rPr>
              <w:rFonts w:ascii="仿宋" w:hAnsi="仿宋" w:eastAsia="仿宋" w:cs="仿宋"/>
              <w:spacing w:val="-29"/>
              <w:position w:val="2"/>
              <w:sz w:val="31"/>
              <w:szCs w:val="31"/>
            </w:rPr>
            <w:instrText xml:space="preserve"> HYPERLINK \l "bookmark13" </w:instrText>
          </w:r>
          <w:r>
            <w:rPr>
              <w:rFonts w:ascii="仿宋" w:hAnsi="仿宋" w:eastAsia="仿宋" w:cs="仿宋"/>
              <w:spacing w:val="-29"/>
              <w:position w:val="2"/>
              <w:sz w:val="31"/>
              <w:szCs w:val="31"/>
            </w:rPr>
            <w:fldChar w:fldCharType="separate"/>
          </w:r>
          <w:r>
            <w:rPr>
              <w:rFonts w:ascii="仿宋" w:hAnsi="仿宋" w:eastAsia="仿宋" w:cs="仿宋"/>
              <w:spacing w:val="-29"/>
              <w:position w:val="2"/>
              <w:sz w:val="31"/>
              <w:szCs w:val="31"/>
            </w:rPr>
            <w:t>（六）评价组织实施情况</w:t>
          </w:r>
          <w:r>
            <w:rPr>
              <w:rFonts w:ascii="仿宋" w:hAnsi="仿宋" w:eastAsia="仿宋" w:cs="仿宋"/>
              <w:spacing w:val="-29"/>
              <w:position w:val="2"/>
              <w:sz w:val="31"/>
              <w:szCs w:val="31"/>
            </w:rPr>
            <w:tab/>
          </w:r>
          <w:r>
            <w:rPr>
              <w:rFonts w:ascii="仿宋" w:hAnsi="仿宋" w:eastAsia="仿宋" w:cs="仿宋"/>
              <w:spacing w:val="-29"/>
              <w:position w:val="2"/>
              <w:sz w:val="31"/>
              <w:szCs w:val="31"/>
            </w:rPr>
            <w:t>1</w:t>
          </w:r>
          <w:r>
            <w:rPr>
              <w:rFonts w:hint="eastAsia" w:ascii="仿宋" w:hAnsi="仿宋" w:eastAsia="仿宋" w:cs="仿宋"/>
              <w:spacing w:val="-29"/>
              <w:position w:val="2"/>
              <w:sz w:val="31"/>
              <w:szCs w:val="31"/>
              <w:lang w:val="en-US" w:eastAsia="zh-CN"/>
            </w:rPr>
            <w:t>3</w:t>
          </w:r>
          <w:r>
            <w:rPr>
              <w:rFonts w:ascii="仿宋" w:hAnsi="仿宋" w:eastAsia="仿宋" w:cs="仿宋"/>
              <w:spacing w:val="-29"/>
              <w:position w:val="2"/>
              <w:sz w:val="31"/>
              <w:szCs w:val="31"/>
            </w:rPr>
            <w:fldChar w:fldCharType="end"/>
          </w:r>
        </w:p>
        <w:p>
          <w:pPr>
            <w:tabs>
              <w:tab w:val="right" w:leader="dot" w:pos="8312"/>
            </w:tabs>
            <w:spacing w:before="175" w:line="175" w:lineRule="auto"/>
            <w:ind w:left="29"/>
            <w:rPr>
              <w:rFonts w:hint="eastAsia" w:ascii="楷体" w:hAnsi="楷体" w:eastAsia="楷体" w:cs="楷体"/>
              <w:b/>
              <w:bCs/>
              <w:spacing w:val="4"/>
              <w:position w:val="2"/>
              <w:sz w:val="32"/>
              <w:szCs w:val="32"/>
              <w:lang w:val="en-US" w:eastAsia="zh-CN"/>
            </w:rPr>
          </w:pPr>
          <w:r>
            <w:rPr>
              <w:rFonts w:hint="eastAsia" w:ascii="楷体" w:hAnsi="楷体" w:eastAsia="楷体" w:cs="楷体"/>
              <w:b/>
              <w:bCs/>
              <w:spacing w:val="4"/>
              <w:position w:val="2"/>
              <w:sz w:val="32"/>
              <w:szCs w:val="32"/>
            </w:rPr>
            <w:fldChar w:fldCharType="begin"/>
          </w:r>
          <w:r>
            <w:rPr>
              <w:rFonts w:hint="eastAsia" w:ascii="楷体" w:hAnsi="楷体" w:eastAsia="楷体" w:cs="楷体"/>
              <w:b/>
              <w:bCs/>
              <w:spacing w:val="4"/>
              <w:position w:val="2"/>
              <w:sz w:val="32"/>
              <w:szCs w:val="32"/>
            </w:rPr>
            <w:instrText xml:space="preserve"> HYPERLINK \l "bookmark14" </w:instrText>
          </w:r>
          <w:r>
            <w:rPr>
              <w:rFonts w:hint="eastAsia" w:ascii="楷体" w:hAnsi="楷体" w:eastAsia="楷体" w:cs="楷体"/>
              <w:b/>
              <w:bCs/>
              <w:spacing w:val="4"/>
              <w:position w:val="2"/>
              <w:sz w:val="32"/>
              <w:szCs w:val="32"/>
            </w:rPr>
            <w:fldChar w:fldCharType="separate"/>
          </w:r>
          <w:r>
            <w:rPr>
              <w:rFonts w:hint="eastAsia" w:ascii="楷体" w:hAnsi="楷体" w:eastAsia="楷体" w:cs="楷体"/>
              <w:b/>
              <w:bCs/>
              <w:spacing w:val="4"/>
              <w:position w:val="2"/>
              <w:sz w:val="32"/>
              <w:szCs w:val="32"/>
            </w:rPr>
            <w:t>三、绩效评价分析</w:t>
          </w:r>
          <w:r>
            <w:rPr>
              <w:rFonts w:hint="eastAsia" w:ascii="楷体" w:hAnsi="楷体" w:eastAsia="楷体" w:cs="楷体"/>
              <w:b/>
              <w:bCs/>
              <w:spacing w:val="4"/>
              <w:position w:val="2"/>
              <w:sz w:val="32"/>
              <w:szCs w:val="32"/>
            </w:rPr>
            <w:tab/>
          </w:r>
          <w:r>
            <w:rPr>
              <w:rFonts w:hint="eastAsia" w:ascii="楷体" w:hAnsi="楷体" w:eastAsia="楷体" w:cs="楷体"/>
              <w:b/>
              <w:bCs/>
              <w:spacing w:val="4"/>
              <w:position w:val="2"/>
              <w:sz w:val="32"/>
              <w:szCs w:val="32"/>
              <w:lang w:val="en-US" w:eastAsia="zh-CN"/>
            </w:rPr>
            <w:t>1</w:t>
          </w:r>
          <w:r>
            <w:rPr>
              <w:rFonts w:hint="eastAsia" w:ascii="楷体" w:hAnsi="楷体" w:eastAsia="楷体" w:cs="楷体"/>
              <w:b/>
              <w:bCs/>
              <w:spacing w:val="4"/>
              <w:position w:val="2"/>
              <w:sz w:val="32"/>
              <w:szCs w:val="32"/>
            </w:rPr>
            <w:fldChar w:fldCharType="end"/>
          </w:r>
          <w:r>
            <w:rPr>
              <w:rFonts w:hint="eastAsia" w:ascii="楷体" w:hAnsi="楷体" w:eastAsia="楷体" w:cs="楷体"/>
              <w:b/>
              <w:bCs/>
              <w:spacing w:val="4"/>
              <w:position w:val="2"/>
              <w:sz w:val="32"/>
              <w:szCs w:val="32"/>
              <w:lang w:val="en-US" w:eastAsia="zh-CN"/>
            </w:rPr>
            <w:t>5</w:t>
          </w:r>
        </w:p>
        <w:p>
          <w:pPr>
            <w:tabs>
              <w:tab w:val="right" w:leader="dot" w:pos="8335"/>
            </w:tabs>
            <w:spacing w:before="287" w:line="437" w:lineRule="exact"/>
            <w:ind w:left="320"/>
            <w:rPr>
              <w:rFonts w:ascii="仿宋" w:hAnsi="仿宋" w:eastAsia="仿宋" w:cs="仿宋"/>
              <w:spacing w:val="-29"/>
              <w:position w:val="2"/>
              <w:sz w:val="31"/>
              <w:szCs w:val="31"/>
            </w:rPr>
          </w:pPr>
          <w:r>
            <w:rPr>
              <w:rFonts w:ascii="仿宋" w:hAnsi="仿宋" w:eastAsia="仿宋" w:cs="仿宋"/>
              <w:spacing w:val="-29"/>
              <w:position w:val="2"/>
              <w:sz w:val="31"/>
              <w:szCs w:val="31"/>
            </w:rPr>
            <w:fldChar w:fldCharType="begin"/>
          </w:r>
          <w:r>
            <w:rPr>
              <w:rFonts w:ascii="仿宋" w:hAnsi="仿宋" w:eastAsia="仿宋" w:cs="仿宋"/>
              <w:spacing w:val="-29"/>
              <w:position w:val="2"/>
              <w:sz w:val="31"/>
              <w:szCs w:val="31"/>
            </w:rPr>
            <w:instrText xml:space="preserve"> HYPERLINK \l "bookmark15" </w:instrText>
          </w:r>
          <w:r>
            <w:rPr>
              <w:rFonts w:ascii="仿宋" w:hAnsi="仿宋" w:eastAsia="仿宋" w:cs="仿宋"/>
              <w:spacing w:val="-29"/>
              <w:position w:val="2"/>
              <w:sz w:val="31"/>
              <w:szCs w:val="31"/>
            </w:rPr>
            <w:fldChar w:fldCharType="separate"/>
          </w:r>
          <w:r>
            <w:rPr>
              <w:rFonts w:ascii="仿宋" w:hAnsi="仿宋" w:eastAsia="仿宋" w:cs="仿宋"/>
              <w:spacing w:val="-29"/>
              <w:position w:val="2"/>
              <w:sz w:val="31"/>
              <w:szCs w:val="31"/>
            </w:rPr>
            <w:t>（一）部门决策</w:t>
          </w:r>
          <w:r>
            <w:rPr>
              <w:rFonts w:ascii="仿宋" w:hAnsi="仿宋" w:eastAsia="仿宋" w:cs="仿宋"/>
              <w:spacing w:val="-29"/>
              <w:position w:val="2"/>
              <w:sz w:val="31"/>
              <w:szCs w:val="31"/>
            </w:rPr>
            <w:tab/>
          </w:r>
          <w:r>
            <w:rPr>
              <w:rFonts w:ascii="仿宋" w:hAnsi="仿宋" w:eastAsia="仿宋" w:cs="仿宋"/>
              <w:spacing w:val="-29"/>
              <w:position w:val="2"/>
              <w:sz w:val="31"/>
              <w:szCs w:val="31"/>
            </w:rPr>
            <w:t>1</w:t>
          </w:r>
          <w:r>
            <w:rPr>
              <w:rFonts w:ascii="仿宋" w:hAnsi="仿宋" w:eastAsia="仿宋" w:cs="仿宋"/>
              <w:spacing w:val="-29"/>
              <w:position w:val="2"/>
              <w:sz w:val="31"/>
              <w:szCs w:val="31"/>
            </w:rPr>
            <w:fldChar w:fldCharType="end"/>
          </w:r>
          <w:r>
            <w:rPr>
              <w:rFonts w:hint="eastAsia" w:ascii="仿宋" w:hAnsi="仿宋" w:eastAsia="仿宋" w:cs="仿宋"/>
              <w:spacing w:val="-29"/>
              <w:position w:val="2"/>
              <w:sz w:val="31"/>
              <w:szCs w:val="31"/>
              <w:lang w:val="en-US" w:eastAsia="zh-CN"/>
            </w:rPr>
            <w:t>5</w:t>
          </w:r>
        </w:p>
      </w:sdtContent>
    </w:sdt>
    <w:p>
      <w:pPr>
        <w:tabs>
          <w:tab w:val="right" w:leader="dot" w:pos="8335"/>
        </w:tabs>
        <w:spacing w:before="287" w:line="437" w:lineRule="exact"/>
        <w:ind w:left="320"/>
        <w:rPr>
          <w:rFonts w:ascii="仿宋" w:hAnsi="仿宋" w:eastAsia="仿宋" w:cs="仿宋"/>
          <w:spacing w:val="-29"/>
          <w:position w:val="2"/>
          <w:sz w:val="31"/>
          <w:szCs w:val="31"/>
        </w:rPr>
        <w:sectPr>
          <w:pgSz w:w="11906" w:h="16839"/>
          <w:pgMar w:top="2098" w:right="1587" w:bottom="1984" w:left="1587" w:header="0" w:footer="0" w:gutter="0"/>
          <w:cols w:space="0" w:num="1"/>
          <w:rtlGutter w:val="0"/>
          <w:docGrid w:linePitch="0" w:charSpace="0"/>
        </w:sectPr>
      </w:pPr>
    </w:p>
    <w:sdt>
      <w:sdtPr>
        <w:rPr>
          <w:rFonts w:ascii="宋体" w:hAnsi="宋体" w:eastAsia="宋体" w:cs="宋体"/>
          <w:b w:val="0"/>
          <w:bCs w:val="0"/>
          <w:spacing w:val="5"/>
          <w:sz w:val="31"/>
          <w:szCs w:val="31"/>
        </w:rPr>
        <w:id w:val="147456993"/>
        <w:docPartObj>
          <w:docPartGallery w:val="Table of Contents"/>
          <w:docPartUnique/>
        </w:docPartObj>
      </w:sdtPr>
      <w:sdtEndPr>
        <w:rPr>
          <w:rFonts w:hint="eastAsia" w:ascii="楷体" w:hAnsi="楷体" w:eastAsia="楷体" w:cs="楷体"/>
          <w:b/>
          <w:bCs/>
          <w:spacing w:val="4"/>
          <w:position w:val="2"/>
          <w:sz w:val="32"/>
          <w:szCs w:val="32"/>
        </w:rPr>
      </w:sdtEndPr>
      <w:sdtContent>
        <w:p>
          <w:pPr>
            <w:tabs>
              <w:tab w:val="right" w:leader="dot" w:pos="8335"/>
            </w:tabs>
            <w:spacing w:before="287" w:line="437" w:lineRule="exact"/>
            <w:ind w:left="320"/>
            <w:rPr>
              <w:rFonts w:ascii="仿宋" w:hAnsi="仿宋" w:eastAsia="仿宋" w:cs="仿宋"/>
              <w:spacing w:val="-29"/>
              <w:position w:val="2"/>
              <w:sz w:val="31"/>
              <w:szCs w:val="31"/>
            </w:rPr>
          </w:pPr>
          <w:r>
            <w:rPr>
              <w:rFonts w:ascii="仿宋" w:hAnsi="仿宋" w:eastAsia="仿宋" w:cs="仿宋"/>
              <w:spacing w:val="-29"/>
              <w:position w:val="2"/>
              <w:sz w:val="31"/>
              <w:szCs w:val="31"/>
            </w:rPr>
            <w:fldChar w:fldCharType="begin"/>
          </w:r>
          <w:r>
            <w:rPr>
              <w:rFonts w:ascii="仿宋" w:hAnsi="仿宋" w:eastAsia="仿宋" w:cs="仿宋"/>
              <w:spacing w:val="-29"/>
              <w:position w:val="2"/>
              <w:sz w:val="31"/>
              <w:szCs w:val="31"/>
            </w:rPr>
            <w:instrText xml:space="preserve"> HYPERLINK \l "bookmark16" </w:instrText>
          </w:r>
          <w:r>
            <w:rPr>
              <w:rFonts w:ascii="仿宋" w:hAnsi="仿宋" w:eastAsia="仿宋" w:cs="仿宋"/>
              <w:spacing w:val="-29"/>
              <w:position w:val="2"/>
              <w:sz w:val="31"/>
              <w:szCs w:val="31"/>
            </w:rPr>
            <w:fldChar w:fldCharType="separate"/>
          </w:r>
          <w:r>
            <w:rPr>
              <w:rFonts w:ascii="仿宋" w:hAnsi="仿宋" w:eastAsia="仿宋" w:cs="仿宋"/>
              <w:spacing w:val="-29"/>
              <w:position w:val="2"/>
              <w:sz w:val="31"/>
              <w:szCs w:val="31"/>
            </w:rPr>
            <w:t>（二）部门管理</w:t>
          </w:r>
          <w:r>
            <w:rPr>
              <w:rFonts w:ascii="仿宋" w:hAnsi="仿宋" w:eastAsia="仿宋" w:cs="仿宋"/>
              <w:spacing w:val="-29"/>
              <w:position w:val="2"/>
              <w:sz w:val="31"/>
              <w:szCs w:val="31"/>
            </w:rPr>
            <w:tab/>
          </w:r>
          <w:r>
            <w:rPr>
              <w:rFonts w:ascii="仿宋" w:hAnsi="仿宋" w:eastAsia="仿宋" w:cs="仿宋"/>
              <w:spacing w:val="-29"/>
              <w:position w:val="2"/>
              <w:sz w:val="31"/>
              <w:szCs w:val="31"/>
            </w:rPr>
            <w:t>1</w:t>
          </w:r>
          <w:r>
            <w:rPr>
              <w:rFonts w:hint="eastAsia" w:ascii="仿宋" w:hAnsi="仿宋" w:eastAsia="仿宋" w:cs="仿宋"/>
              <w:spacing w:val="-29"/>
              <w:position w:val="2"/>
              <w:sz w:val="31"/>
              <w:szCs w:val="31"/>
              <w:lang w:val="en-US" w:eastAsia="zh-CN"/>
            </w:rPr>
            <w:t>8</w:t>
          </w:r>
          <w:r>
            <w:rPr>
              <w:rFonts w:ascii="仿宋" w:hAnsi="仿宋" w:eastAsia="仿宋" w:cs="仿宋"/>
              <w:spacing w:val="-29"/>
              <w:position w:val="2"/>
              <w:sz w:val="31"/>
              <w:szCs w:val="31"/>
            </w:rPr>
            <w:fldChar w:fldCharType="end"/>
          </w:r>
        </w:p>
        <w:p>
          <w:pPr>
            <w:tabs>
              <w:tab w:val="right" w:leader="dot" w:pos="8335"/>
            </w:tabs>
            <w:spacing w:before="287" w:line="437" w:lineRule="exact"/>
            <w:ind w:left="320"/>
            <w:rPr>
              <w:rFonts w:ascii="宋体" w:hAnsi="宋体" w:eastAsia="宋体" w:cs="宋体"/>
              <w:b w:val="0"/>
              <w:bCs w:val="0"/>
              <w:spacing w:val="5"/>
              <w:sz w:val="31"/>
              <w:szCs w:val="31"/>
            </w:rPr>
          </w:pPr>
          <w:r>
            <w:rPr>
              <w:rFonts w:ascii="仿宋" w:hAnsi="仿宋" w:eastAsia="仿宋" w:cs="仿宋"/>
              <w:spacing w:val="-29"/>
              <w:position w:val="2"/>
              <w:sz w:val="31"/>
              <w:szCs w:val="31"/>
            </w:rPr>
            <w:fldChar w:fldCharType="begin"/>
          </w:r>
          <w:r>
            <w:rPr>
              <w:rFonts w:ascii="仿宋" w:hAnsi="仿宋" w:eastAsia="仿宋" w:cs="仿宋"/>
              <w:spacing w:val="-29"/>
              <w:position w:val="2"/>
              <w:sz w:val="31"/>
              <w:szCs w:val="31"/>
            </w:rPr>
            <w:instrText xml:space="preserve"> HYPERLINK \l "bookmark17" </w:instrText>
          </w:r>
          <w:r>
            <w:rPr>
              <w:rFonts w:ascii="仿宋" w:hAnsi="仿宋" w:eastAsia="仿宋" w:cs="仿宋"/>
              <w:spacing w:val="-29"/>
              <w:position w:val="2"/>
              <w:sz w:val="31"/>
              <w:szCs w:val="31"/>
            </w:rPr>
            <w:fldChar w:fldCharType="separate"/>
          </w:r>
          <w:r>
            <w:rPr>
              <w:rFonts w:ascii="仿宋" w:hAnsi="仿宋" w:eastAsia="仿宋" w:cs="仿宋"/>
              <w:spacing w:val="-29"/>
              <w:position w:val="2"/>
              <w:sz w:val="31"/>
              <w:szCs w:val="31"/>
            </w:rPr>
            <w:t>（三）部门绩效</w:t>
          </w:r>
          <w:r>
            <w:rPr>
              <w:rFonts w:ascii="仿宋" w:hAnsi="仿宋" w:eastAsia="仿宋" w:cs="仿宋"/>
              <w:spacing w:val="-29"/>
              <w:position w:val="2"/>
              <w:sz w:val="31"/>
              <w:szCs w:val="31"/>
            </w:rPr>
            <w:tab/>
          </w:r>
          <w:r>
            <w:rPr>
              <w:rFonts w:ascii="仿宋" w:hAnsi="仿宋" w:eastAsia="仿宋" w:cs="仿宋"/>
              <w:spacing w:val="-29"/>
              <w:position w:val="2"/>
              <w:sz w:val="31"/>
              <w:szCs w:val="31"/>
            </w:rPr>
            <w:t>2</w:t>
          </w:r>
          <w:r>
            <w:rPr>
              <w:rFonts w:hint="eastAsia" w:ascii="仿宋" w:hAnsi="仿宋" w:eastAsia="仿宋" w:cs="仿宋"/>
              <w:spacing w:val="-29"/>
              <w:position w:val="2"/>
              <w:sz w:val="31"/>
              <w:szCs w:val="31"/>
              <w:lang w:val="en-US" w:eastAsia="zh-CN"/>
            </w:rPr>
            <w:t>4</w:t>
          </w:r>
          <w:r>
            <w:rPr>
              <w:rFonts w:ascii="仿宋" w:hAnsi="仿宋" w:eastAsia="仿宋" w:cs="仿宋"/>
              <w:spacing w:val="-29"/>
              <w:position w:val="2"/>
              <w:sz w:val="31"/>
              <w:szCs w:val="31"/>
            </w:rPr>
            <w:fldChar w:fldCharType="end"/>
          </w:r>
        </w:p>
        <w:p>
          <w:pPr>
            <w:tabs>
              <w:tab w:val="right" w:leader="dot" w:pos="8312"/>
            </w:tabs>
            <w:spacing w:before="175" w:line="175" w:lineRule="auto"/>
            <w:ind w:left="29"/>
            <w:rPr>
              <w:rFonts w:hint="eastAsia" w:ascii="楷体" w:hAnsi="楷体" w:eastAsia="楷体" w:cs="楷体"/>
              <w:b/>
              <w:bCs/>
              <w:spacing w:val="4"/>
              <w:position w:val="2"/>
              <w:sz w:val="32"/>
              <w:szCs w:val="32"/>
            </w:rPr>
          </w:pPr>
          <w:r>
            <w:rPr>
              <w:rFonts w:hint="eastAsia" w:ascii="楷体" w:hAnsi="楷体" w:eastAsia="楷体" w:cs="楷体"/>
              <w:b/>
              <w:bCs/>
              <w:spacing w:val="4"/>
              <w:position w:val="2"/>
              <w:sz w:val="32"/>
              <w:szCs w:val="32"/>
            </w:rPr>
            <w:fldChar w:fldCharType="begin"/>
          </w:r>
          <w:r>
            <w:rPr>
              <w:rFonts w:hint="eastAsia" w:ascii="楷体" w:hAnsi="楷体" w:eastAsia="楷体" w:cs="楷体"/>
              <w:b/>
              <w:bCs/>
              <w:spacing w:val="4"/>
              <w:position w:val="2"/>
              <w:sz w:val="32"/>
              <w:szCs w:val="32"/>
            </w:rPr>
            <w:instrText xml:space="preserve"> HYPERLINK \l "bookmark18" </w:instrText>
          </w:r>
          <w:r>
            <w:rPr>
              <w:rFonts w:hint="eastAsia" w:ascii="楷体" w:hAnsi="楷体" w:eastAsia="楷体" w:cs="楷体"/>
              <w:b/>
              <w:bCs/>
              <w:spacing w:val="4"/>
              <w:position w:val="2"/>
              <w:sz w:val="32"/>
              <w:szCs w:val="32"/>
            </w:rPr>
            <w:fldChar w:fldCharType="separate"/>
          </w:r>
          <w:r>
            <w:rPr>
              <w:rFonts w:hint="eastAsia" w:ascii="楷体" w:hAnsi="楷体" w:eastAsia="楷体" w:cs="楷体"/>
              <w:b/>
              <w:bCs/>
              <w:spacing w:val="4"/>
              <w:position w:val="2"/>
              <w:sz w:val="32"/>
              <w:szCs w:val="32"/>
            </w:rPr>
            <w:t>四、评价结论</w:t>
          </w:r>
          <w:r>
            <w:rPr>
              <w:rFonts w:hint="eastAsia" w:ascii="楷体" w:hAnsi="楷体" w:eastAsia="楷体" w:cs="楷体"/>
              <w:b/>
              <w:bCs/>
              <w:spacing w:val="4"/>
              <w:position w:val="2"/>
              <w:sz w:val="32"/>
              <w:szCs w:val="32"/>
            </w:rPr>
            <w:tab/>
          </w:r>
          <w:r>
            <w:rPr>
              <w:rFonts w:hint="eastAsia" w:ascii="楷体" w:hAnsi="楷体" w:eastAsia="楷体" w:cs="楷体"/>
              <w:b/>
              <w:bCs/>
              <w:spacing w:val="4"/>
              <w:position w:val="2"/>
              <w:sz w:val="32"/>
              <w:szCs w:val="32"/>
            </w:rPr>
            <w:t>3</w:t>
          </w:r>
          <w:r>
            <w:rPr>
              <w:rFonts w:hint="eastAsia" w:ascii="楷体" w:hAnsi="楷体" w:eastAsia="楷体" w:cs="楷体"/>
              <w:b/>
              <w:bCs/>
              <w:spacing w:val="4"/>
              <w:position w:val="2"/>
              <w:sz w:val="32"/>
              <w:szCs w:val="32"/>
              <w:lang w:val="en-US" w:eastAsia="zh-CN"/>
            </w:rPr>
            <w:t>0</w:t>
          </w:r>
          <w:r>
            <w:rPr>
              <w:rFonts w:hint="eastAsia" w:ascii="楷体" w:hAnsi="楷体" w:eastAsia="楷体" w:cs="楷体"/>
              <w:b/>
              <w:bCs/>
              <w:spacing w:val="4"/>
              <w:position w:val="2"/>
              <w:sz w:val="32"/>
              <w:szCs w:val="32"/>
            </w:rPr>
            <w:fldChar w:fldCharType="end"/>
          </w:r>
        </w:p>
        <w:p>
          <w:pPr>
            <w:tabs>
              <w:tab w:val="right" w:leader="dot" w:pos="8335"/>
            </w:tabs>
            <w:spacing w:before="287" w:line="437" w:lineRule="exact"/>
            <w:ind w:left="320"/>
            <w:rPr>
              <w:rFonts w:ascii="仿宋" w:hAnsi="仿宋" w:eastAsia="仿宋" w:cs="仿宋"/>
              <w:spacing w:val="-29"/>
              <w:position w:val="2"/>
              <w:sz w:val="31"/>
              <w:szCs w:val="31"/>
            </w:rPr>
          </w:pPr>
          <w:r>
            <w:rPr>
              <w:rFonts w:ascii="仿宋" w:hAnsi="仿宋" w:eastAsia="仿宋" w:cs="仿宋"/>
              <w:spacing w:val="-29"/>
              <w:position w:val="2"/>
              <w:sz w:val="31"/>
              <w:szCs w:val="31"/>
            </w:rPr>
            <w:fldChar w:fldCharType="begin"/>
          </w:r>
          <w:r>
            <w:rPr>
              <w:rFonts w:ascii="仿宋" w:hAnsi="仿宋" w:eastAsia="仿宋" w:cs="仿宋"/>
              <w:spacing w:val="-29"/>
              <w:position w:val="2"/>
              <w:sz w:val="31"/>
              <w:szCs w:val="31"/>
            </w:rPr>
            <w:instrText xml:space="preserve"> HYPERLINK \l "bookmark19" </w:instrText>
          </w:r>
          <w:r>
            <w:rPr>
              <w:rFonts w:ascii="仿宋" w:hAnsi="仿宋" w:eastAsia="仿宋" w:cs="仿宋"/>
              <w:spacing w:val="-29"/>
              <w:position w:val="2"/>
              <w:sz w:val="31"/>
              <w:szCs w:val="31"/>
            </w:rPr>
            <w:fldChar w:fldCharType="separate"/>
          </w:r>
          <w:r>
            <w:rPr>
              <w:rFonts w:ascii="仿宋" w:hAnsi="仿宋" w:eastAsia="仿宋" w:cs="仿宋"/>
              <w:spacing w:val="-29"/>
              <w:position w:val="2"/>
              <w:sz w:val="31"/>
              <w:szCs w:val="31"/>
            </w:rPr>
            <w:t>（一）总体评价结论</w:t>
          </w:r>
          <w:r>
            <w:rPr>
              <w:rFonts w:ascii="仿宋" w:hAnsi="仿宋" w:eastAsia="仿宋" w:cs="仿宋"/>
              <w:spacing w:val="-29"/>
              <w:position w:val="2"/>
              <w:sz w:val="31"/>
              <w:szCs w:val="31"/>
            </w:rPr>
            <w:tab/>
          </w:r>
          <w:r>
            <w:rPr>
              <w:rFonts w:ascii="仿宋" w:hAnsi="仿宋" w:eastAsia="仿宋" w:cs="仿宋"/>
              <w:spacing w:val="-29"/>
              <w:position w:val="2"/>
              <w:sz w:val="31"/>
              <w:szCs w:val="31"/>
            </w:rPr>
            <w:t>3</w:t>
          </w:r>
          <w:r>
            <w:rPr>
              <w:rFonts w:hint="eastAsia" w:ascii="仿宋" w:hAnsi="仿宋" w:eastAsia="仿宋" w:cs="仿宋"/>
              <w:spacing w:val="-29"/>
              <w:position w:val="2"/>
              <w:sz w:val="31"/>
              <w:szCs w:val="31"/>
              <w:lang w:val="en-US" w:eastAsia="zh-CN"/>
            </w:rPr>
            <w:t>0</w:t>
          </w:r>
          <w:r>
            <w:rPr>
              <w:rFonts w:ascii="仿宋" w:hAnsi="仿宋" w:eastAsia="仿宋" w:cs="仿宋"/>
              <w:spacing w:val="-29"/>
              <w:position w:val="2"/>
              <w:sz w:val="31"/>
              <w:szCs w:val="31"/>
            </w:rPr>
            <w:fldChar w:fldCharType="end"/>
          </w:r>
        </w:p>
        <w:p>
          <w:pPr>
            <w:tabs>
              <w:tab w:val="right" w:leader="dot" w:pos="8335"/>
            </w:tabs>
            <w:spacing w:before="287" w:line="437" w:lineRule="exact"/>
            <w:ind w:left="320"/>
            <w:rPr>
              <w:rFonts w:ascii="宋体" w:hAnsi="宋体" w:eastAsia="宋体" w:cs="宋体"/>
              <w:b/>
              <w:bCs/>
              <w:spacing w:val="5"/>
              <w:sz w:val="31"/>
              <w:szCs w:val="31"/>
            </w:rPr>
          </w:pPr>
          <w:r>
            <w:rPr>
              <w:rFonts w:ascii="仿宋" w:hAnsi="仿宋" w:eastAsia="仿宋" w:cs="仿宋"/>
              <w:spacing w:val="-29"/>
              <w:position w:val="2"/>
              <w:sz w:val="31"/>
              <w:szCs w:val="31"/>
            </w:rPr>
            <w:fldChar w:fldCharType="begin"/>
          </w:r>
          <w:r>
            <w:rPr>
              <w:rFonts w:ascii="仿宋" w:hAnsi="仿宋" w:eastAsia="仿宋" w:cs="仿宋"/>
              <w:spacing w:val="-29"/>
              <w:position w:val="2"/>
              <w:sz w:val="31"/>
              <w:szCs w:val="31"/>
            </w:rPr>
            <w:instrText xml:space="preserve"> HYPERLINK \l "bookmark20" </w:instrText>
          </w:r>
          <w:r>
            <w:rPr>
              <w:rFonts w:ascii="仿宋" w:hAnsi="仿宋" w:eastAsia="仿宋" w:cs="仿宋"/>
              <w:spacing w:val="-29"/>
              <w:position w:val="2"/>
              <w:sz w:val="31"/>
              <w:szCs w:val="31"/>
            </w:rPr>
            <w:fldChar w:fldCharType="separate"/>
          </w:r>
          <w:r>
            <w:rPr>
              <w:rFonts w:ascii="仿宋" w:hAnsi="仿宋" w:eastAsia="仿宋" w:cs="仿宋"/>
              <w:spacing w:val="-29"/>
              <w:position w:val="2"/>
              <w:sz w:val="31"/>
              <w:szCs w:val="31"/>
            </w:rPr>
            <w:t>（二）评分结果</w:t>
          </w:r>
          <w:r>
            <w:rPr>
              <w:rFonts w:ascii="仿宋" w:hAnsi="仿宋" w:eastAsia="仿宋" w:cs="仿宋"/>
              <w:spacing w:val="-29"/>
              <w:position w:val="2"/>
              <w:sz w:val="31"/>
              <w:szCs w:val="31"/>
            </w:rPr>
            <w:tab/>
          </w:r>
          <w:r>
            <w:rPr>
              <w:rFonts w:ascii="仿宋" w:hAnsi="仿宋" w:eastAsia="仿宋" w:cs="仿宋"/>
              <w:spacing w:val="-29"/>
              <w:position w:val="2"/>
              <w:sz w:val="31"/>
              <w:szCs w:val="31"/>
            </w:rPr>
            <w:t>3</w:t>
          </w:r>
          <w:r>
            <w:rPr>
              <w:rFonts w:hint="eastAsia" w:ascii="仿宋" w:hAnsi="仿宋" w:eastAsia="仿宋" w:cs="仿宋"/>
              <w:spacing w:val="-29"/>
              <w:position w:val="2"/>
              <w:sz w:val="31"/>
              <w:szCs w:val="31"/>
              <w:lang w:val="en-US" w:eastAsia="zh-CN"/>
            </w:rPr>
            <w:t>0</w:t>
          </w:r>
          <w:r>
            <w:rPr>
              <w:rFonts w:ascii="仿宋" w:hAnsi="仿宋" w:eastAsia="仿宋" w:cs="仿宋"/>
              <w:spacing w:val="-29"/>
              <w:position w:val="2"/>
              <w:sz w:val="31"/>
              <w:szCs w:val="31"/>
            </w:rPr>
            <w:fldChar w:fldCharType="end"/>
          </w:r>
        </w:p>
        <w:p>
          <w:pPr>
            <w:tabs>
              <w:tab w:val="right" w:leader="dot" w:pos="8312"/>
            </w:tabs>
            <w:spacing w:before="175" w:line="175" w:lineRule="auto"/>
            <w:ind w:left="29"/>
            <w:rPr>
              <w:rFonts w:hint="eastAsia" w:ascii="楷体" w:hAnsi="楷体" w:eastAsia="楷体" w:cs="楷体"/>
              <w:b/>
              <w:bCs/>
              <w:spacing w:val="4"/>
              <w:position w:val="2"/>
              <w:sz w:val="32"/>
              <w:szCs w:val="32"/>
            </w:rPr>
          </w:pPr>
          <w:r>
            <w:rPr>
              <w:rFonts w:hint="eastAsia" w:ascii="楷体" w:hAnsi="楷体" w:eastAsia="楷体" w:cs="楷体"/>
              <w:b/>
              <w:bCs/>
              <w:spacing w:val="4"/>
              <w:position w:val="2"/>
              <w:sz w:val="32"/>
              <w:szCs w:val="32"/>
            </w:rPr>
            <w:fldChar w:fldCharType="begin"/>
          </w:r>
          <w:r>
            <w:rPr>
              <w:rFonts w:hint="eastAsia" w:ascii="楷体" w:hAnsi="楷体" w:eastAsia="楷体" w:cs="楷体"/>
              <w:b/>
              <w:bCs/>
              <w:spacing w:val="4"/>
              <w:position w:val="2"/>
              <w:sz w:val="32"/>
              <w:szCs w:val="32"/>
            </w:rPr>
            <w:instrText xml:space="preserve"> HYPERLINK \l "bookmark21" </w:instrText>
          </w:r>
          <w:r>
            <w:rPr>
              <w:rFonts w:hint="eastAsia" w:ascii="楷体" w:hAnsi="楷体" w:eastAsia="楷体" w:cs="楷体"/>
              <w:b/>
              <w:bCs/>
              <w:spacing w:val="4"/>
              <w:position w:val="2"/>
              <w:sz w:val="32"/>
              <w:szCs w:val="32"/>
            </w:rPr>
            <w:fldChar w:fldCharType="separate"/>
          </w:r>
          <w:r>
            <w:rPr>
              <w:rFonts w:hint="eastAsia" w:ascii="楷体" w:hAnsi="楷体" w:eastAsia="楷体" w:cs="楷体"/>
              <w:b/>
              <w:bCs/>
              <w:spacing w:val="4"/>
              <w:position w:val="2"/>
              <w:sz w:val="32"/>
              <w:szCs w:val="32"/>
            </w:rPr>
            <w:t>五、问题建议</w:t>
          </w:r>
          <w:r>
            <w:rPr>
              <w:rFonts w:hint="eastAsia" w:ascii="楷体" w:hAnsi="楷体" w:eastAsia="楷体" w:cs="楷体"/>
              <w:b/>
              <w:bCs/>
              <w:spacing w:val="4"/>
              <w:position w:val="2"/>
              <w:sz w:val="32"/>
              <w:szCs w:val="32"/>
            </w:rPr>
            <w:tab/>
          </w:r>
          <w:r>
            <w:rPr>
              <w:rFonts w:hint="eastAsia" w:ascii="楷体" w:hAnsi="楷体" w:eastAsia="楷体" w:cs="楷体"/>
              <w:b/>
              <w:bCs/>
              <w:spacing w:val="4"/>
              <w:position w:val="2"/>
              <w:sz w:val="32"/>
              <w:szCs w:val="32"/>
            </w:rPr>
            <w:t>3</w:t>
          </w:r>
          <w:r>
            <w:rPr>
              <w:rFonts w:hint="eastAsia" w:ascii="楷体" w:hAnsi="楷体" w:eastAsia="楷体" w:cs="楷体"/>
              <w:b/>
              <w:bCs/>
              <w:spacing w:val="4"/>
              <w:position w:val="2"/>
              <w:sz w:val="32"/>
              <w:szCs w:val="32"/>
              <w:lang w:val="en-US" w:eastAsia="zh-CN"/>
            </w:rPr>
            <w:t>1</w:t>
          </w:r>
          <w:r>
            <w:rPr>
              <w:rFonts w:hint="eastAsia" w:ascii="楷体" w:hAnsi="楷体" w:eastAsia="楷体" w:cs="楷体"/>
              <w:b/>
              <w:bCs/>
              <w:spacing w:val="4"/>
              <w:position w:val="2"/>
              <w:sz w:val="32"/>
              <w:szCs w:val="32"/>
            </w:rPr>
            <w:fldChar w:fldCharType="end"/>
          </w:r>
        </w:p>
        <w:p>
          <w:pPr>
            <w:tabs>
              <w:tab w:val="right" w:leader="dot" w:pos="8335"/>
            </w:tabs>
            <w:spacing w:before="287" w:line="437" w:lineRule="exact"/>
            <w:ind w:left="320"/>
            <w:rPr>
              <w:rFonts w:ascii="仿宋" w:hAnsi="仿宋" w:eastAsia="仿宋" w:cs="仿宋"/>
              <w:spacing w:val="-29"/>
              <w:position w:val="2"/>
              <w:sz w:val="31"/>
              <w:szCs w:val="31"/>
            </w:rPr>
          </w:pPr>
          <w:r>
            <w:rPr>
              <w:rFonts w:ascii="仿宋" w:hAnsi="仿宋" w:eastAsia="仿宋" w:cs="仿宋"/>
              <w:spacing w:val="-29"/>
              <w:position w:val="2"/>
              <w:sz w:val="31"/>
              <w:szCs w:val="31"/>
            </w:rPr>
            <w:fldChar w:fldCharType="begin"/>
          </w:r>
          <w:r>
            <w:rPr>
              <w:rFonts w:ascii="仿宋" w:hAnsi="仿宋" w:eastAsia="仿宋" w:cs="仿宋"/>
              <w:spacing w:val="-29"/>
              <w:position w:val="2"/>
              <w:sz w:val="31"/>
              <w:szCs w:val="31"/>
            </w:rPr>
            <w:instrText xml:space="preserve"> HYPERLINK \l "bookmark22" </w:instrText>
          </w:r>
          <w:r>
            <w:rPr>
              <w:rFonts w:ascii="仿宋" w:hAnsi="仿宋" w:eastAsia="仿宋" w:cs="仿宋"/>
              <w:spacing w:val="-29"/>
              <w:position w:val="2"/>
              <w:sz w:val="31"/>
              <w:szCs w:val="31"/>
            </w:rPr>
            <w:fldChar w:fldCharType="separate"/>
          </w:r>
          <w:r>
            <w:rPr>
              <w:rFonts w:ascii="仿宋" w:hAnsi="仿宋" w:eastAsia="仿宋" w:cs="仿宋"/>
              <w:spacing w:val="-29"/>
              <w:position w:val="2"/>
              <w:sz w:val="31"/>
              <w:szCs w:val="31"/>
            </w:rPr>
            <w:t>（一）存在问题</w:t>
          </w:r>
          <w:r>
            <w:rPr>
              <w:rFonts w:ascii="仿宋" w:hAnsi="仿宋" w:eastAsia="仿宋" w:cs="仿宋"/>
              <w:spacing w:val="-29"/>
              <w:position w:val="2"/>
              <w:sz w:val="31"/>
              <w:szCs w:val="31"/>
            </w:rPr>
            <w:tab/>
          </w:r>
          <w:r>
            <w:rPr>
              <w:rFonts w:ascii="仿宋" w:hAnsi="仿宋" w:eastAsia="仿宋" w:cs="仿宋"/>
              <w:spacing w:val="-29"/>
              <w:position w:val="2"/>
              <w:sz w:val="31"/>
              <w:szCs w:val="31"/>
            </w:rPr>
            <w:t>3</w:t>
          </w:r>
          <w:r>
            <w:rPr>
              <w:rFonts w:hint="eastAsia" w:ascii="仿宋" w:hAnsi="仿宋" w:eastAsia="仿宋" w:cs="仿宋"/>
              <w:spacing w:val="-29"/>
              <w:position w:val="2"/>
              <w:sz w:val="31"/>
              <w:szCs w:val="31"/>
              <w:lang w:val="en-US" w:eastAsia="zh-CN"/>
            </w:rPr>
            <w:t>1</w:t>
          </w:r>
          <w:r>
            <w:rPr>
              <w:rFonts w:ascii="仿宋" w:hAnsi="仿宋" w:eastAsia="仿宋" w:cs="仿宋"/>
              <w:spacing w:val="-29"/>
              <w:position w:val="2"/>
              <w:sz w:val="31"/>
              <w:szCs w:val="31"/>
            </w:rPr>
            <w:fldChar w:fldCharType="end"/>
          </w:r>
        </w:p>
        <w:p>
          <w:pPr>
            <w:tabs>
              <w:tab w:val="right" w:leader="dot" w:pos="8335"/>
            </w:tabs>
            <w:spacing w:before="287" w:line="437" w:lineRule="exact"/>
            <w:ind w:left="320"/>
            <w:rPr>
              <w:rFonts w:ascii="宋体" w:hAnsi="宋体" w:eastAsia="宋体" w:cs="宋体"/>
              <w:b/>
              <w:bCs/>
              <w:spacing w:val="5"/>
              <w:sz w:val="31"/>
              <w:szCs w:val="31"/>
            </w:rPr>
          </w:pPr>
          <w:r>
            <w:rPr>
              <w:rFonts w:ascii="仿宋" w:hAnsi="仿宋" w:eastAsia="仿宋" w:cs="仿宋"/>
              <w:spacing w:val="-29"/>
              <w:position w:val="2"/>
              <w:sz w:val="31"/>
              <w:szCs w:val="31"/>
            </w:rPr>
            <w:fldChar w:fldCharType="begin"/>
          </w:r>
          <w:r>
            <w:rPr>
              <w:rFonts w:ascii="仿宋" w:hAnsi="仿宋" w:eastAsia="仿宋" w:cs="仿宋"/>
              <w:spacing w:val="-29"/>
              <w:position w:val="2"/>
              <w:sz w:val="31"/>
              <w:szCs w:val="31"/>
            </w:rPr>
            <w:instrText xml:space="preserve"> HYPERLINK \l "bookmark23" </w:instrText>
          </w:r>
          <w:r>
            <w:rPr>
              <w:rFonts w:ascii="仿宋" w:hAnsi="仿宋" w:eastAsia="仿宋" w:cs="仿宋"/>
              <w:spacing w:val="-29"/>
              <w:position w:val="2"/>
              <w:sz w:val="31"/>
              <w:szCs w:val="31"/>
            </w:rPr>
            <w:fldChar w:fldCharType="separate"/>
          </w:r>
          <w:r>
            <w:rPr>
              <w:rFonts w:ascii="仿宋" w:hAnsi="仿宋" w:eastAsia="仿宋" w:cs="仿宋"/>
              <w:spacing w:val="-29"/>
              <w:position w:val="2"/>
              <w:sz w:val="31"/>
              <w:szCs w:val="31"/>
            </w:rPr>
            <w:t>（二）改进建议</w:t>
          </w:r>
          <w:r>
            <w:rPr>
              <w:rFonts w:ascii="仿宋" w:hAnsi="仿宋" w:eastAsia="仿宋" w:cs="仿宋"/>
              <w:spacing w:val="-29"/>
              <w:position w:val="2"/>
              <w:sz w:val="31"/>
              <w:szCs w:val="31"/>
            </w:rPr>
            <w:tab/>
          </w:r>
          <w:r>
            <w:rPr>
              <w:rFonts w:ascii="仿宋" w:hAnsi="仿宋" w:eastAsia="仿宋" w:cs="仿宋"/>
              <w:spacing w:val="-29"/>
              <w:position w:val="2"/>
              <w:sz w:val="31"/>
              <w:szCs w:val="31"/>
            </w:rPr>
            <w:t>3</w:t>
          </w:r>
          <w:r>
            <w:rPr>
              <w:rFonts w:hint="eastAsia" w:ascii="仿宋" w:hAnsi="仿宋" w:eastAsia="仿宋" w:cs="仿宋"/>
              <w:spacing w:val="-29"/>
              <w:position w:val="2"/>
              <w:sz w:val="31"/>
              <w:szCs w:val="31"/>
              <w:lang w:val="en-US" w:eastAsia="zh-CN"/>
            </w:rPr>
            <w:t>3</w:t>
          </w:r>
          <w:r>
            <w:rPr>
              <w:rFonts w:ascii="仿宋" w:hAnsi="仿宋" w:eastAsia="仿宋" w:cs="仿宋"/>
              <w:spacing w:val="-29"/>
              <w:position w:val="2"/>
              <w:sz w:val="31"/>
              <w:szCs w:val="31"/>
            </w:rPr>
            <w:fldChar w:fldCharType="end"/>
          </w:r>
        </w:p>
        <w:p>
          <w:pPr>
            <w:tabs>
              <w:tab w:val="right" w:leader="dot" w:pos="8312"/>
            </w:tabs>
            <w:spacing w:before="175" w:line="175" w:lineRule="auto"/>
            <w:ind w:left="29"/>
            <w:rPr>
              <w:rFonts w:hint="eastAsia" w:ascii="楷体" w:hAnsi="楷体" w:eastAsia="楷体" w:cs="楷体"/>
              <w:b/>
              <w:bCs/>
              <w:spacing w:val="4"/>
              <w:position w:val="2"/>
              <w:sz w:val="32"/>
              <w:szCs w:val="32"/>
            </w:rPr>
          </w:pPr>
          <w:r>
            <w:rPr>
              <w:rFonts w:hint="eastAsia" w:ascii="楷体" w:hAnsi="楷体" w:eastAsia="楷体" w:cs="楷体"/>
              <w:b/>
              <w:bCs/>
              <w:spacing w:val="4"/>
              <w:position w:val="2"/>
              <w:sz w:val="32"/>
              <w:szCs w:val="32"/>
            </w:rPr>
            <w:fldChar w:fldCharType="begin"/>
          </w:r>
          <w:r>
            <w:rPr>
              <w:rFonts w:hint="eastAsia" w:ascii="楷体" w:hAnsi="楷体" w:eastAsia="楷体" w:cs="楷体"/>
              <w:b/>
              <w:bCs/>
              <w:spacing w:val="4"/>
              <w:position w:val="2"/>
              <w:sz w:val="32"/>
              <w:szCs w:val="32"/>
            </w:rPr>
            <w:instrText xml:space="preserve"> HYPERLINK \l "bookmark24" </w:instrText>
          </w:r>
          <w:r>
            <w:rPr>
              <w:rFonts w:hint="eastAsia" w:ascii="楷体" w:hAnsi="楷体" w:eastAsia="楷体" w:cs="楷体"/>
              <w:b/>
              <w:bCs/>
              <w:spacing w:val="4"/>
              <w:position w:val="2"/>
              <w:sz w:val="32"/>
              <w:szCs w:val="32"/>
            </w:rPr>
            <w:fldChar w:fldCharType="separate"/>
          </w:r>
          <w:r>
            <w:rPr>
              <w:rFonts w:hint="eastAsia" w:ascii="楷体" w:hAnsi="楷体" w:eastAsia="楷体" w:cs="楷体"/>
              <w:b/>
              <w:bCs/>
              <w:spacing w:val="4"/>
              <w:position w:val="2"/>
              <w:sz w:val="32"/>
              <w:szCs w:val="32"/>
            </w:rPr>
            <w:t>六、其他需要说明的问题</w:t>
          </w:r>
          <w:r>
            <w:rPr>
              <w:rFonts w:hint="eastAsia" w:ascii="楷体" w:hAnsi="楷体" w:eastAsia="楷体" w:cs="楷体"/>
              <w:b/>
              <w:bCs/>
              <w:spacing w:val="4"/>
              <w:position w:val="2"/>
              <w:sz w:val="32"/>
              <w:szCs w:val="32"/>
            </w:rPr>
            <w:tab/>
          </w:r>
          <w:r>
            <w:rPr>
              <w:rFonts w:hint="eastAsia" w:ascii="楷体" w:hAnsi="楷体" w:eastAsia="楷体" w:cs="楷体"/>
              <w:b/>
              <w:bCs/>
              <w:spacing w:val="4"/>
              <w:position w:val="2"/>
              <w:sz w:val="32"/>
              <w:szCs w:val="32"/>
            </w:rPr>
            <w:t>34</w:t>
          </w:r>
          <w:r>
            <w:rPr>
              <w:rFonts w:hint="eastAsia" w:ascii="楷体" w:hAnsi="楷体" w:eastAsia="楷体" w:cs="楷体"/>
              <w:b/>
              <w:bCs/>
              <w:spacing w:val="4"/>
              <w:position w:val="2"/>
              <w:sz w:val="32"/>
              <w:szCs w:val="32"/>
            </w:rPr>
            <w:fldChar w:fldCharType="end"/>
          </w:r>
        </w:p>
      </w:sdtContent>
    </w:sdt>
    <w:p>
      <w:pPr>
        <w:spacing w:line="477" w:lineRule="exact"/>
        <w:rPr>
          <w:rFonts w:ascii="等线" w:hAnsi="等线" w:eastAsia="等线" w:cs="等线"/>
          <w:sz w:val="31"/>
          <w:szCs w:val="31"/>
        </w:rPr>
        <w:sectPr>
          <w:pgSz w:w="11906" w:h="16839"/>
          <w:pgMar w:top="2098" w:right="1587" w:bottom="1984" w:left="1587" w:header="0" w:footer="0" w:gutter="0"/>
          <w:cols w:space="0" w:num="1"/>
          <w:rtlGutter w:val="0"/>
          <w:docGrid w:linePitch="0" w:charSpace="0"/>
        </w:sectPr>
      </w:pPr>
    </w:p>
    <w:p>
      <w:pPr>
        <w:pStyle w:val="2"/>
        <w:spacing w:before="147" w:line="599" w:lineRule="exact"/>
        <w:ind w:left="175"/>
        <w:jc w:val="center"/>
        <w:rPr>
          <w:rFonts w:hint="eastAsia" w:eastAsia="方正小标宋简体" w:asciiTheme="minorHAnsi" w:hAnsiTheme="minorHAnsi" w:cstheme="minorBidi"/>
          <w:snapToGrid/>
          <w:color w:val="000000"/>
          <w:kern w:val="2"/>
          <w:sz w:val="44"/>
          <w:szCs w:val="44"/>
          <w:lang w:val="en-US" w:eastAsia="zh-CN" w:bidi="ar-SA"/>
        </w:rPr>
      </w:pPr>
      <w:r>
        <w:rPr>
          <w:rFonts w:hint="eastAsia" w:eastAsia="方正小标宋简体" w:asciiTheme="minorHAnsi" w:hAnsiTheme="minorHAnsi" w:cstheme="minorBidi"/>
          <w:snapToGrid/>
          <w:color w:val="000000"/>
          <w:kern w:val="2"/>
          <w:sz w:val="44"/>
          <w:szCs w:val="44"/>
          <w:lang w:val="en-US" w:eastAsia="zh-CN" w:bidi="ar-SA"/>
        </w:rPr>
        <w:t>2025年哈密市伊州区民政局整体支出绩效评价报告</w:t>
      </w:r>
    </w:p>
    <w:p>
      <w:pPr>
        <w:pStyle w:val="2"/>
        <w:spacing w:line="349" w:lineRule="auto"/>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为深入贯彻落实相关文件精神，进一步规范财政资金管理，强化部门责任意识，提高财政资金使用效益，根据文件精神，为考察哈密市伊州区民政局部门整体支出、部门管理及职责履行等情况，天津安信管理咨询有限公司受哈密市伊州区财政局委托，对2025年哈密市伊州区民政局整体支出进行绩效评价</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ascii="黑体" w:hAnsi="黑体" w:eastAsia="黑体" w:cs="黑体"/>
          <w:b w:val="0"/>
          <w:bCs w:val="0"/>
          <w:spacing w:val="0"/>
          <w:sz w:val="32"/>
          <w:szCs w:val="32"/>
        </w:rPr>
      </w:pPr>
      <w:bookmarkStart w:id="0" w:name="bookmark25"/>
      <w:bookmarkEnd w:id="0"/>
      <w:r>
        <w:rPr>
          <w:rFonts w:ascii="黑体" w:hAnsi="黑体" w:eastAsia="黑体" w:cs="黑体"/>
          <w:b w:val="0"/>
          <w:bCs w:val="0"/>
          <w:spacing w:val="0"/>
          <w:sz w:val="32"/>
          <w:szCs w:val="32"/>
        </w:rPr>
        <w:t>一、基本情况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ascii="楷体" w:hAnsi="楷体" w:eastAsia="楷体" w:cs="楷体"/>
          <w:b w:val="0"/>
          <w:bCs w:val="0"/>
          <w:spacing w:val="0"/>
          <w:sz w:val="32"/>
          <w:szCs w:val="32"/>
        </w:rPr>
      </w:pPr>
      <w:bookmarkStart w:id="1" w:name="bookmark2"/>
      <w:bookmarkEnd w:id="1"/>
      <w:bookmarkStart w:id="2" w:name="bookmark1"/>
      <w:bookmarkEnd w:id="2"/>
      <w:r>
        <w:rPr>
          <w:rFonts w:ascii="楷体" w:hAnsi="楷体" w:eastAsia="楷体" w:cs="楷体"/>
          <w:b w:val="0"/>
          <w:bCs w:val="0"/>
          <w:spacing w:val="0"/>
          <w:sz w:val="32"/>
          <w:szCs w:val="32"/>
        </w:rPr>
        <w:t>（一）部门基本情况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outlineLvl w:val="0"/>
        <w:rPr>
          <w:rFonts w:hint="eastAsia" w:ascii="华文仿宋" w:hAnsi="华文仿宋" w:eastAsia="华文仿宋" w:cs="华文仿宋"/>
          <w:b/>
          <w:bCs/>
          <w:spacing w:val="0"/>
          <w:sz w:val="31"/>
          <w:szCs w:val="31"/>
        </w:rPr>
      </w:pPr>
      <w:r>
        <w:rPr>
          <w:rFonts w:hint="eastAsia" w:ascii="Times New Roman" w:hAnsi="Times New Roman" w:eastAsia="仿宋_GB2312" w:cstheme="minorBidi"/>
          <w:b/>
          <w:bCs/>
          <w:snapToGrid/>
          <w:spacing w:val="0"/>
          <w:kern w:val="2"/>
          <w:sz w:val="32"/>
          <w:szCs w:val="32"/>
          <w:lang w:val="en-US" w:eastAsia="zh-CN" w:bidi="ar-SA"/>
        </w:rPr>
        <w:t>1.部门背景及概况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哈密市伊州区民政局（以下简称“区民政局”），于2016年更名履职，下属单位有哈密市伊州区殡葬服务所、哈密市伊州区社会福利服务中心、基层政权和社区建设办公室、区社会救助中心（居民家庭经济核对中心）、大泉湾乡敬老院及五堡镇敬老院。单位坐落于哈密市伊州区红星大道8号新惠大厦（红星大道与环城路交叉口东南侧），区民政局是哈密市伊州区人民政府工作部门</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eastAsia" w:ascii="华文仿宋" w:hAnsi="华文仿宋" w:eastAsia="华文仿宋" w:cs="华文仿宋"/>
          <w:spacing w:val="0"/>
          <w:sz w:val="31"/>
          <w:szCs w:val="31"/>
        </w:rPr>
      </w:pPr>
      <w:r>
        <w:rPr>
          <w:rFonts w:hint="eastAsia" w:ascii="Times New Roman" w:hAnsi="Times New Roman" w:eastAsia="仿宋_GB2312" w:cstheme="minorBidi"/>
          <w:b/>
          <w:bCs/>
          <w:snapToGrid/>
          <w:spacing w:val="0"/>
          <w:kern w:val="2"/>
          <w:sz w:val="32"/>
          <w:szCs w:val="32"/>
          <w:lang w:val="en-US" w:eastAsia="zh-CN" w:bidi="ar-SA"/>
        </w:rPr>
        <w:t>2.部门主要职能</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（一）贯彻落实国家、自治区、哈密市关于民政工作的法律、法规、政策、规划、标准；承担民政领域规范性文件起草工作并组织实施。</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二）负责伊州区内社会团体、社会服务机构等社会组织的登记管理；按照管理权限依法对社会组织进行执法监督；负责伊州区慈善组织公开募捐活动备案、宗教活动场所法人登记；负责社会组织综合党委日常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（三）贯彻落实国家、自治区、哈密市社会救助政策、措施、标准，统筹社会救助体系建设，指导、负责和监督城乡居民最低生活保障、人员救助供养、临时救助、生活无着流浪乞讨人员救助工作。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四）贯彻执行行政区划、行政区域界线和地名管理政策和标准；组织研究全区行政区划总体规划思路建议，按照管理权限牵头负责行政区划的设立、撤销、命名、更名和政府驻地迁移初审工作；负责伊州区行政区域界线勘定和管理工作；负责地名管理工作；负责本行政区域重要自然地理实体命名、更名的审核</w:t>
      </w:r>
      <w:r>
        <w:rPr>
          <w:rFonts w:hint="eastAsia" w:ascii="Times New Roman" w:hAnsi="Times New Roman" w:eastAsia="仿宋_GB2312" w:cstheme="minorBidi"/>
          <w:snapToGrid/>
          <w:spacing w:val="0"/>
          <w:kern w:val="2"/>
          <w:sz w:val="32"/>
          <w:szCs w:val="32"/>
          <w:lang w:val="en-US" w:eastAsia="zh-CN" w:bidi="ar-SA"/>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（五）负责婚姻登记管理工作，推进婚俗改革。</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（六）贯彻落实殡葬管理政策、服务规范，推进殡葬改革。</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（七）贯彻落实残疾人权益保护政策。统筹推进残疾人福利制度建设和支持康复辅助器具产业发展；承担民政职责范围内的精神卫生工作。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（八）组织落实伊州区积极应对人口老龄化的政策、措施</w:t>
      </w:r>
      <w:r>
        <w:rPr>
          <w:rFonts w:hint="eastAsia" w:ascii="Times New Roman" w:hAnsi="Times New Roman" w:eastAsia="仿宋_GB2312" w:cstheme="minorBidi"/>
          <w:snapToGrid/>
          <w:spacing w:val="0"/>
          <w:kern w:val="2"/>
          <w:sz w:val="32"/>
          <w:szCs w:val="32"/>
          <w:lang w:val="en-US" w:eastAsia="zh-CN" w:bidi="ar-SA"/>
        </w:rPr>
        <w:t>，</w:t>
      </w:r>
      <w:r>
        <w:rPr>
          <w:rFonts w:ascii="Times New Roman" w:hAnsi="Times New Roman" w:eastAsia="仿宋_GB2312" w:cstheme="minorBidi"/>
          <w:snapToGrid/>
          <w:spacing w:val="0"/>
          <w:kern w:val="2"/>
          <w:sz w:val="32"/>
          <w:szCs w:val="32"/>
          <w:lang w:val="en-US" w:eastAsia="zh-CN" w:bidi="ar-SA"/>
        </w:rPr>
        <w:t>指导、负责和监督老年人权益保障工作；落实老年人社会参与政策；承担伊州区老龄工作委员会的具体工作。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（九）协调落实促进养老服务事业发展的政策规定和具体措施。统筹推进、督促指导、监督管理养老服务工作；拟定养老服务业发展规划、地方标准并组织实施；承担老年人福利和特殊老年人救助工作。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（十）贯彻落实儿童福利、孤弃儿童保障、儿童收养、儿童救助保护政策和标准工作；落实上级农村留守儿童关爱服务体系和困境儿童保障制度。</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（十一）贯彻落实促进慈善事业发展规划、政策、标准，指导慈善组织开展社会捐助工作，并监管慈善活动。</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仿宋" w:hAnsi="仿宋" w:eastAsia="仿宋" w:cs="仿宋"/>
          <w:spacing w:val="0"/>
          <w:sz w:val="31"/>
          <w:szCs w:val="31"/>
        </w:rPr>
      </w:pPr>
      <w:r>
        <w:rPr>
          <w:rFonts w:ascii="Times New Roman" w:hAnsi="Times New Roman" w:eastAsia="仿宋_GB2312" w:cstheme="minorBidi"/>
          <w:snapToGrid/>
          <w:spacing w:val="0"/>
          <w:kern w:val="2"/>
          <w:sz w:val="32"/>
          <w:szCs w:val="32"/>
          <w:lang w:val="en-US" w:eastAsia="zh-CN" w:bidi="ar-SA"/>
        </w:rPr>
        <w:t>（十二）完成伊州区委、区人民政府交办的其他任务</w:t>
      </w:r>
      <w:r>
        <w:rPr>
          <w:rFonts w:ascii="仿宋" w:hAnsi="仿宋" w:eastAsia="仿宋" w:cs="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eastAsia" w:ascii="楷体" w:hAnsi="楷体" w:eastAsia="楷体" w:cs="楷体"/>
          <w:spacing w:val="0"/>
          <w:sz w:val="31"/>
          <w:szCs w:val="31"/>
        </w:rPr>
      </w:pPr>
      <w:r>
        <w:rPr>
          <w:rFonts w:hint="eastAsia" w:ascii="Times New Roman" w:hAnsi="Times New Roman" w:eastAsia="仿宋_GB2312" w:cstheme="minorBidi"/>
          <w:b/>
          <w:bCs/>
          <w:snapToGrid/>
          <w:spacing w:val="0"/>
          <w:kern w:val="2"/>
          <w:sz w:val="32"/>
          <w:szCs w:val="32"/>
          <w:lang w:val="en-US" w:eastAsia="zh-CN" w:bidi="ar-SA"/>
        </w:rPr>
        <w:t>3.部门机构设置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（1）部门机构设置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区民政局内设科室5个，为综合办公室、社会事务室、区划地名室、社会组织执法管理室（慈善事业促进室）、老龄、养老和儿童工作室</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eastAsia" w:ascii="楷体" w:hAnsi="楷体" w:eastAsia="楷体" w:cs="楷体"/>
          <w:spacing w:val="0"/>
          <w:sz w:val="31"/>
          <w:szCs w:val="31"/>
        </w:rPr>
      </w:pPr>
      <w:r>
        <w:rPr>
          <w:rFonts w:hint="eastAsia" w:ascii="Times New Roman" w:hAnsi="Times New Roman" w:eastAsia="仿宋_GB2312" w:cstheme="minorBidi"/>
          <w:b/>
          <w:bCs/>
          <w:snapToGrid/>
          <w:spacing w:val="0"/>
          <w:kern w:val="2"/>
          <w:sz w:val="32"/>
          <w:szCs w:val="32"/>
          <w:lang w:val="en-US" w:eastAsia="zh-CN" w:bidi="ar-SA"/>
        </w:rPr>
        <w:t>4.部门固定资产情况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区民政局2025年固定资产原值期初账面金额为7907.22万元，期末账面金额为3033.65万元；累计折旧期初账面金额为9160.94万元，累计折旧期期末账面金额为3844.48万元；固定资产期末账面金额为5316.46万元。各资产类别明细见表1-1</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sectPr>
          <w:footerReference r:id="rId5" w:type="default"/>
          <w:pgSz w:w="11906" w:h="16839"/>
          <w:pgMar w:top="2098" w:right="1587" w:bottom="1984" w:left="1587" w:header="0" w:footer="1289" w:gutter="0"/>
          <w:pgNumType w:fmt="decimal" w:start="1"/>
          <w:cols w:space="0" w:num="1"/>
          <w:rtlGutter w:val="0"/>
          <w:docGrid w:linePitch="0" w:charSpace="0"/>
        </w:sectPr>
      </w:pPr>
    </w:p>
    <w:p>
      <w:pPr>
        <w:spacing w:before="274" w:line="202" w:lineRule="auto"/>
        <w:ind w:left="1853"/>
        <w:rPr>
          <w:rFonts w:ascii="华文仿宋" w:hAnsi="华文仿宋" w:eastAsia="华文仿宋" w:cs="华文仿宋"/>
          <w:sz w:val="24"/>
          <w:szCs w:val="24"/>
        </w:rPr>
      </w:pPr>
      <w:r>
        <w:rPr>
          <w:rFonts w:ascii="华文仿宋" w:hAnsi="华文仿宋" w:eastAsia="华文仿宋" w:cs="华文仿宋"/>
          <w:b/>
          <w:bCs/>
          <w:spacing w:val="-4"/>
          <w:sz w:val="24"/>
          <w:szCs w:val="24"/>
        </w:rPr>
        <w:t>表1-1哈密市伊州区民政局2025年固定资产情况</w:t>
      </w:r>
    </w:p>
    <w:p>
      <w:pPr>
        <w:spacing w:before="291" w:line="220" w:lineRule="auto"/>
        <w:ind w:left="6894"/>
        <w:rPr>
          <w:rFonts w:ascii="宋体" w:hAnsi="宋体" w:eastAsia="宋体" w:cs="宋体"/>
          <w:sz w:val="24"/>
          <w:szCs w:val="24"/>
        </w:rPr>
      </w:pPr>
      <w:r>
        <w:rPr>
          <w:rFonts w:ascii="宋体" w:hAnsi="宋体" w:eastAsia="宋体" w:cs="宋体"/>
          <w:spacing w:val="-3"/>
          <w:sz w:val="24"/>
          <w:szCs w:val="24"/>
        </w:rPr>
        <w:t>单位：万元</w:t>
      </w:r>
    </w:p>
    <w:p>
      <w:pPr>
        <w:spacing w:line="39" w:lineRule="exact"/>
      </w:pPr>
    </w:p>
    <w:tbl>
      <w:tblPr>
        <w:tblStyle w:val="7"/>
        <w:tblW w:w="8205" w:type="dxa"/>
        <w:tblInd w:w="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33"/>
        <w:gridCol w:w="1349"/>
        <w:gridCol w:w="1245"/>
        <w:gridCol w:w="1182"/>
        <w:gridCol w:w="1163"/>
        <w:gridCol w:w="143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21" w:hRule="atLeast"/>
        </w:trPr>
        <w:tc>
          <w:tcPr>
            <w:tcW w:w="1833" w:type="dxa"/>
            <w:vMerge w:val="restart"/>
            <w:tcBorders>
              <w:bottom w:val="nil"/>
            </w:tcBorders>
            <w:vAlign w:val="top"/>
          </w:tcPr>
          <w:p>
            <w:pPr>
              <w:pStyle w:val="8"/>
              <w:spacing w:before="216" w:line="228" w:lineRule="auto"/>
              <w:ind w:left="509"/>
            </w:pPr>
            <w:r>
              <w:rPr>
                <w:spacing w:val="5"/>
              </w:rPr>
              <w:t>资产大类</w:t>
            </w:r>
          </w:p>
        </w:tc>
        <w:tc>
          <w:tcPr>
            <w:tcW w:w="2594" w:type="dxa"/>
            <w:gridSpan w:val="2"/>
            <w:vAlign w:val="top"/>
          </w:tcPr>
          <w:p>
            <w:pPr>
              <w:pStyle w:val="8"/>
              <w:spacing w:before="56" w:line="228" w:lineRule="auto"/>
              <w:ind w:left="674"/>
            </w:pPr>
            <w:r>
              <w:rPr>
                <w:spacing w:val="7"/>
              </w:rPr>
              <w:t>期初账面金额</w:t>
            </w:r>
          </w:p>
        </w:tc>
        <w:tc>
          <w:tcPr>
            <w:tcW w:w="3778" w:type="dxa"/>
            <w:gridSpan w:val="3"/>
            <w:vAlign w:val="top"/>
          </w:tcPr>
          <w:p>
            <w:pPr>
              <w:pStyle w:val="8"/>
              <w:spacing w:before="56" w:line="228" w:lineRule="auto"/>
              <w:ind w:left="1267"/>
            </w:pPr>
            <w:r>
              <w:rPr>
                <w:spacing w:val="7"/>
              </w:rPr>
              <w:t>期末账面金额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7" w:hRule="atLeast"/>
        </w:trPr>
        <w:tc>
          <w:tcPr>
            <w:tcW w:w="1833" w:type="dxa"/>
            <w:vMerge w:val="continue"/>
            <w:tcBorders>
              <w:top w:val="nil"/>
            </w:tcBorders>
            <w:vAlign w:val="top"/>
          </w:tcPr>
          <w:p>
            <w:pPr>
              <w:rPr>
                <w:rFonts w:ascii="Arial"/>
                <w:sz w:val="21"/>
              </w:rPr>
            </w:pPr>
          </w:p>
        </w:tc>
        <w:tc>
          <w:tcPr>
            <w:tcW w:w="1349" w:type="dxa"/>
            <w:vAlign w:val="top"/>
          </w:tcPr>
          <w:p>
            <w:pPr>
              <w:pStyle w:val="8"/>
              <w:spacing w:before="51" w:line="228" w:lineRule="auto"/>
              <w:ind w:left="472"/>
            </w:pPr>
            <w:r>
              <w:rPr>
                <w:spacing w:val="2"/>
              </w:rPr>
              <w:t>原值</w:t>
            </w:r>
          </w:p>
        </w:tc>
        <w:tc>
          <w:tcPr>
            <w:tcW w:w="1245" w:type="dxa"/>
            <w:vAlign w:val="top"/>
          </w:tcPr>
          <w:p>
            <w:pPr>
              <w:pStyle w:val="8"/>
              <w:spacing w:before="52" w:line="228" w:lineRule="auto"/>
              <w:ind w:left="216"/>
            </w:pPr>
            <w:r>
              <w:rPr>
                <w:spacing w:val="5"/>
              </w:rPr>
              <w:t>累计折旧</w:t>
            </w:r>
          </w:p>
        </w:tc>
        <w:tc>
          <w:tcPr>
            <w:tcW w:w="1182" w:type="dxa"/>
            <w:vAlign w:val="top"/>
          </w:tcPr>
          <w:p>
            <w:pPr>
              <w:pStyle w:val="8"/>
              <w:spacing w:before="51" w:line="228" w:lineRule="auto"/>
              <w:ind w:left="391"/>
            </w:pPr>
            <w:r>
              <w:rPr>
                <w:spacing w:val="2"/>
              </w:rPr>
              <w:t>原值</w:t>
            </w:r>
          </w:p>
        </w:tc>
        <w:tc>
          <w:tcPr>
            <w:tcW w:w="1163" w:type="dxa"/>
            <w:vAlign w:val="top"/>
          </w:tcPr>
          <w:p>
            <w:pPr>
              <w:pStyle w:val="8"/>
              <w:spacing w:before="52" w:line="228" w:lineRule="auto"/>
              <w:ind w:left="177"/>
            </w:pPr>
            <w:r>
              <w:rPr>
                <w:spacing w:val="5"/>
              </w:rPr>
              <w:t>累计折旧</w:t>
            </w:r>
          </w:p>
        </w:tc>
        <w:tc>
          <w:tcPr>
            <w:tcW w:w="1433" w:type="dxa"/>
            <w:vAlign w:val="top"/>
          </w:tcPr>
          <w:p>
            <w:pPr>
              <w:pStyle w:val="8"/>
              <w:spacing w:before="51" w:line="228" w:lineRule="auto"/>
              <w:ind w:left="513"/>
            </w:pPr>
            <w:r>
              <w:rPr>
                <w:spacing w:val="3"/>
              </w:rPr>
              <w:t>净值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8" w:hRule="atLeast"/>
        </w:trPr>
        <w:tc>
          <w:tcPr>
            <w:tcW w:w="1833" w:type="dxa"/>
            <w:vAlign w:val="top"/>
          </w:tcPr>
          <w:p>
            <w:pPr>
              <w:pStyle w:val="8"/>
              <w:spacing w:before="52" w:line="261" w:lineRule="auto"/>
              <w:ind w:left="117" w:right="250" w:firstLine="2"/>
            </w:pPr>
            <w:r>
              <w:rPr>
                <w:spacing w:val="8"/>
              </w:rPr>
              <w:t>一、土地、房屋</w:t>
            </w:r>
            <w:r>
              <w:rPr>
                <w:spacing w:val="7"/>
              </w:rPr>
              <w:t>和构筑物</w:t>
            </w:r>
          </w:p>
        </w:tc>
        <w:tc>
          <w:tcPr>
            <w:tcW w:w="1349" w:type="dxa"/>
            <w:vAlign w:val="top"/>
          </w:tcPr>
          <w:p>
            <w:pPr>
              <w:pStyle w:val="8"/>
              <w:spacing w:before="207" w:line="268" w:lineRule="exact"/>
              <w:ind w:left="316"/>
            </w:pPr>
            <w:r>
              <w:rPr>
                <w:spacing w:val="3"/>
                <w:position w:val="1"/>
              </w:rPr>
              <w:t>7068.02</w:t>
            </w:r>
          </w:p>
        </w:tc>
        <w:tc>
          <w:tcPr>
            <w:tcW w:w="1245" w:type="dxa"/>
            <w:vAlign w:val="top"/>
          </w:tcPr>
          <w:p>
            <w:pPr>
              <w:pStyle w:val="8"/>
              <w:spacing w:before="207" w:line="268" w:lineRule="exact"/>
              <w:ind w:left="259"/>
            </w:pPr>
            <w:r>
              <w:rPr>
                <w:spacing w:val="3"/>
                <w:position w:val="1"/>
              </w:rPr>
              <w:t>8099.78</w:t>
            </w:r>
          </w:p>
        </w:tc>
        <w:tc>
          <w:tcPr>
            <w:tcW w:w="1182" w:type="dxa"/>
            <w:vAlign w:val="top"/>
          </w:tcPr>
          <w:p>
            <w:pPr>
              <w:pStyle w:val="8"/>
              <w:spacing w:before="207" w:line="268" w:lineRule="exact"/>
              <w:ind w:left="233"/>
            </w:pPr>
            <w:r>
              <w:rPr>
                <w:spacing w:val="3"/>
                <w:position w:val="1"/>
              </w:rPr>
              <w:t>2379.92</w:t>
            </w:r>
          </w:p>
        </w:tc>
        <w:tc>
          <w:tcPr>
            <w:tcW w:w="1163" w:type="dxa"/>
            <w:vAlign w:val="top"/>
          </w:tcPr>
          <w:p>
            <w:pPr>
              <w:pStyle w:val="8"/>
              <w:spacing w:before="207" w:line="268" w:lineRule="exact"/>
              <w:ind w:left="223"/>
            </w:pPr>
            <w:r>
              <w:rPr>
                <w:spacing w:val="3"/>
                <w:position w:val="1"/>
              </w:rPr>
              <w:t>3097.22</w:t>
            </w:r>
          </w:p>
        </w:tc>
        <w:tc>
          <w:tcPr>
            <w:tcW w:w="1433" w:type="dxa"/>
            <w:vAlign w:val="top"/>
          </w:tcPr>
          <w:p>
            <w:pPr>
              <w:pStyle w:val="8"/>
              <w:spacing w:before="207" w:line="268" w:lineRule="exact"/>
              <w:ind w:left="359"/>
            </w:pPr>
            <w:r>
              <w:rPr>
                <w:spacing w:val="3"/>
                <w:position w:val="1"/>
              </w:rPr>
              <w:t>5002.56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1" w:hRule="atLeast"/>
        </w:trPr>
        <w:tc>
          <w:tcPr>
            <w:tcW w:w="1833" w:type="dxa"/>
            <w:vAlign w:val="top"/>
          </w:tcPr>
          <w:p>
            <w:pPr>
              <w:pStyle w:val="8"/>
              <w:spacing w:before="179" w:line="228" w:lineRule="auto"/>
              <w:ind w:left="501"/>
            </w:pPr>
            <w:r>
              <w:rPr>
                <w:spacing w:val="7"/>
              </w:rPr>
              <w:t>其中：土地</w:t>
            </w:r>
          </w:p>
        </w:tc>
        <w:tc>
          <w:tcPr>
            <w:tcW w:w="1349" w:type="dxa"/>
            <w:vAlign w:val="top"/>
          </w:tcPr>
          <w:p>
            <w:pPr>
              <w:rPr>
                <w:rFonts w:ascii="Arial"/>
                <w:sz w:val="21"/>
              </w:rPr>
            </w:pPr>
          </w:p>
        </w:tc>
        <w:tc>
          <w:tcPr>
            <w:tcW w:w="1245" w:type="dxa"/>
            <w:vAlign w:val="top"/>
          </w:tcPr>
          <w:p>
            <w:pPr>
              <w:rPr>
                <w:rFonts w:ascii="Arial"/>
                <w:sz w:val="21"/>
              </w:rPr>
            </w:pPr>
          </w:p>
        </w:tc>
        <w:tc>
          <w:tcPr>
            <w:tcW w:w="1182" w:type="dxa"/>
            <w:vAlign w:val="top"/>
          </w:tcPr>
          <w:p>
            <w:pPr>
              <w:rPr>
                <w:rFonts w:ascii="Arial"/>
                <w:sz w:val="21"/>
              </w:rPr>
            </w:pPr>
          </w:p>
        </w:tc>
        <w:tc>
          <w:tcPr>
            <w:tcW w:w="1163" w:type="dxa"/>
            <w:vAlign w:val="top"/>
          </w:tcPr>
          <w:p>
            <w:pPr>
              <w:rPr>
                <w:rFonts w:ascii="Arial"/>
                <w:sz w:val="21"/>
              </w:rPr>
            </w:pPr>
          </w:p>
        </w:tc>
        <w:tc>
          <w:tcPr>
            <w:tcW w:w="143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2" w:hRule="atLeast"/>
        </w:trPr>
        <w:tc>
          <w:tcPr>
            <w:tcW w:w="1833" w:type="dxa"/>
            <w:vAlign w:val="top"/>
          </w:tcPr>
          <w:p>
            <w:pPr>
              <w:pStyle w:val="8"/>
              <w:spacing w:before="182" w:line="228" w:lineRule="auto"/>
              <w:ind w:left="1132"/>
            </w:pPr>
            <w:r>
              <w:rPr>
                <w:spacing w:val="4"/>
              </w:rPr>
              <w:t>房屋</w:t>
            </w:r>
          </w:p>
        </w:tc>
        <w:tc>
          <w:tcPr>
            <w:tcW w:w="1349" w:type="dxa"/>
            <w:vAlign w:val="top"/>
          </w:tcPr>
          <w:p>
            <w:pPr>
              <w:pStyle w:val="8"/>
              <w:spacing w:before="181" w:line="268" w:lineRule="exact"/>
              <w:ind w:left="310"/>
            </w:pPr>
            <w:r>
              <w:rPr>
                <w:spacing w:val="4"/>
                <w:position w:val="1"/>
              </w:rPr>
              <w:t>4985.25</w:t>
            </w:r>
          </w:p>
        </w:tc>
        <w:tc>
          <w:tcPr>
            <w:tcW w:w="1245" w:type="dxa"/>
            <w:vAlign w:val="top"/>
          </w:tcPr>
          <w:p>
            <w:pPr>
              <w:pStyle w:val="8"/>
              <w:spacing w:before="181" w:line="268" w:lineRule="exact"/>
              <w:ind w:left="262"/>
            </w:pPr>
            <w:r>
              <w:rPr>
                <w:spacing w:val="3"/>
                <w:position w:val="1"/>
              </w:rPr>
              <w:t>5137.36</w:t>
            </w:r>
          </w:p>
        </w:tc>
        <w:tc>
          <w:tcPr>
            <w:tcW w:w="1182" w:type="dxa"/>
            <w:vAlign w:val="top"/>
          </w:tcPr>
          <w:p>
            <w:pPr>
              <w:pStyle w:val="8"/>
              <w:spacing w:before="181" w:line="268" w:lineRule="exact"/>
              <w:ind w:left="338"/>
            </w:pPr>
            <w:r>
              <w:rPr>
                <w:spacing w:val="2"/>
                <w:position w:val="1"/>
              </w:rPr>
              <w:t>774.2</w:t>
            </w:r>
          </w:p>
        </w:tc>
        <w:tc>
          <w:tcPr>
            <w:tcW w:w="1163" w:type="dxa"/>
            <w:vAlign w:val="top"/>
          </w:tcPr>
          <w:p>
            <w:pPr>
              <w:pStyle w:val="8"/>
              <w:spacing w:before="181" w:line="268" w:lineRule="exact"/>
              <w:ind w:left="275"/>
            </w:pPr>
            <w:r>
              <w:rPr>
                <w:spacing w:val="3"/>
                <w:position w:val="1"/>
              </w:rPr>
              <w:t>886.91</w:t>
            </w:r>
          </w:p>
        </w:tc>
        <w:tc>
          <w:tcPr>
            <w:tcW w:w="1433" w:type="dxa"/>
            <w:vAlign w:val="top"/>
          </w:tcPr>
          <w:p>
            <w:pPr>
              <w:pStyle w:val="8"/>
              <w:spacing w:before="181" w:line="268" w:lineRule="exact"/>
              <w:ind w:left="354"/>
            </w:pPr>
            <w:r>
              <w:rPr>
                <w:spacing w:val="4"/>
                <w:position w:val="1"/>
              </w:rPr>
              <w:t>4250.44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2" w:hRule="atLeast"/>
        </w:trPr>
        <w:tc>
          <w:tcPr>
            <w:tcW w:w="1833" w:type="dxa"/>
            <w:vAlign w:val="top"/>
          </w:tcPr>
          <w:p>
            <w:pPr>
              <w:pStyle w:val="8"/>
              <w:spacing w:before="181" w:line="228" w:lineRule="auto"/>
              <w:ind w:left="923"/>
            </w:pPr>
            <w:r>
              <w:rPr>
                <w:spacing w:val="6"/>
              </w:rPr>
              <w:t>建筑物</w:t>
            </w:r>
          </w:p>
        </w:tc>
        <w:tc>
          <w:tcPr>
            <w:tcW w:w="1349" w:type="dxa"/>
            <w:vAlign w:val="top"/>
          </w:tcPr>
          <w:p>
            <w:pPr>
              <w:pStyle w:val="8"/>
              <w:spacing w:before="180" w:line="268" w:lineRule="exact"/>
              <w:ind w:left="314"/>
            </w:pPr>
            <w:r>
              <w:rPr>
                <w:spacing w:val="3"/>
                <w:position w:val="1"/>
              </w:rPr>
              <w:t>2082.78</w:t>
            </w:r>
          </w:p>
        </w:tc>
        <w:tc>
          <w:tcPr>
            <w:tcW w:w="1245" w:type="dxa"/>
            <w:vAlign w:val="top"/>
          </w:tcPr>
          <w:p>
            <w:pPr>
              <w:pStyle w:val="8"/>
              <w:spacing w:before="180" w:line="268" w:lineRule="exact"/>
              <w:ind w:left="261"/>
            </w:pPr>
            <w:r>
              <w:rPr>
                <w:spacing w:val="3"/>
                <w:position w:val="1"/>
              </w:rPr>
              <w:t>2692.42</w:t>
            </w:r>
          </w:p>
        </w:tc>
        <w:tc>
          <w:tcPr>
            <w:tcW w:w="1182" w:type="dxa"/>
            <w:vAlign w:val="top"/>
          </w:tcPr>
          <w:p>
            <w:pPr>
              <w:pStyle w:val="8"/>
              <w:spacing w:before="180" w:line="268" w:lineRule="exact"/>
              <w:ind w:left="246"/>
            </w:pPr>
            <w:r>
              <w:rPr>
                <w:spacing w:val="1"/>
                <w:position w:val="1"/>
              </w:rPr>
              <w:t>1605.73</w:t>
            </w:r>
          </w:p>
        </w:tc>
        <w:tc>
          <w:tcPr>
            <w:tcW w:w="1163" w:type="dxa"/>
            <w:vAlign w:val="top"/>
          </w:tcPr>
          <w:p>
            <w:pPr>
              <w:pStyle w:val="8"/>
              <w:spacing w:before="180" w:line="268" w:lineRule="exact"/>
              <w:ind w:left="277"/>
            </w:pPr>
            <w:r>
              <w:rPr>
                <w:spacing w:val="3"/>
                <w:position w:val="1"/>
              </w:rPr>
              <w:t>2210.3</w:t>
            </w:r>
          </w:p>
        </w:tc>
        <w:tc>
          <w:tcPr>
            <w:tcW w:w="1433" w:type="dxa"/>
            <w:vAlign w:val="top"/>
          </w:tcPr>
          <w:p>
            <w:pPr>
              <w:pStyle w:val="8"/>
              <w:spacing w:before="180" w:line="268" w:lineRule="exact"/>
              <w:ind w:left="412"/>
            </w:pPr>
            <w:r>
              <w:rPr>
                <w:spacing w:val="2"/>
                <w:position w:val="1"/>
              </w:rPr>
              <w:t>752.12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2" w:hRule="atLeast"/>
        </w:trPr>
        <w:tc>
          <w:tcPr>
            <w:tcW w:w="1833" w:type="dxa"/>
            <w:vAlign w:val="top"/>
          </w:tcPr>
          <w:p>
            <w:pPr>
              <w:pStyle w:val="8"/>
              <w:spacing w:before="181" w:line="228" w:lineRule="auto"/>
              <w:ind w:left="400"/>
            </w:pPr>
            <w:r>
              <w:rPr>
                <w:spacing w:val="7"/>
              </w:rPr>
              <w:t>二、设备类</w:t>
            </w:r>
          </w:p>
        </w:tc>
        <w:tc>
          <w:tcPr>
            <w:tcW w:w="1349" w:type="dxa"/>
            <w:vAlign w:val="top"/>
          </w:tcPr>
          <w:p>
            <w:pPr>
              <w:pStyle w:val="8"/>
              <w:spacing w:before="182" w:line="267" w:lineRule="exact"/>
              <w:ind w:left="369"/>
            </w:pPr>
            <w:r>
              <w:rPr>
                <w:spacing w:val="2"/>
                <w:position w:val="1"/>
              </w:rPr>
              <w:t>710.83</w:t>
            </w:r>
          </w:p>
        </w:tc>
        <w:tc>
          <w:tcPr>
            <w:tcW w:w="1245" w:type="dxa"/>
            <w:vAlign w:val="top"/>
          </w:tcPr>
          <w:p>
            <w:pPr>
              <w:pStyle w:val="8"/>
              <w:spacing w:before="182" w:line="267" w:lineRule="exact"/>
              <w:ind w:left="314"/>
            </w:pPr>
            <w:r>
              <w:rPr>
                <w:spacing w:val="3"/>
                <w:position w:val="1"/>
              </w:rPr>
              <w:t>899.85</w:t>
            </w:r>
          </w:p>
        </w:tc>
        <w:tc>
          <w:tcPr>
            <w:tcW w:w="1182" w:type="dxa"/>
            <w:vAlign w:val="top"/>
          </w:tcPr>
          <w:p>
            <w:pPr>
              <w:pStyle w:val="8"/>
              <w:spacing w:before="182" w:line="267" w:lineRule="exact"/>
              <w:ind w:left="282"/>
            </w:pPr>
            <w:r>
              <w:rPr>
                <w:spacing w:val="3"/>
                <w:position w:val="1"/>
              </w:rPr>
              <w:t>603.04</w:t>
            </w:r>
          </w:p>
        </w:tc>
        <w:tc>
          <w:tcPr>
            <w:tcW w:w="1163" w:type="dxa"/>
            <w:vAlign w:val="top"/>
          </w:tcPr>
          <w:p>
            <w:pPr>
              <w:pStyle w:val="8"/>
              <w:spacing w:before="182" w:line="267" w:lineRule="exact"/>
              <w:ind w:left="276"/>
            </w:pPr>
            <w:r>
              <w:rPr>
                <w:spacing w:val="3"/>
                <w:position w:val="1"/>
              </w:rPr>
              <w:t>669.36</w:t>
            </w:r>
          </w:p>
        </w:tc>
        <w:tc>
          <w:tcPr>
            <w:tcW w:w="1433" w:type="dxa"/>
            <w:vAlign w:val="top"/>
          </w:tcPr>
          <w:p>
            <w:pPr>
              <w:pStyle w:val="8"/>
              <w:spacing w:before="182" w:line="267" w:lineRule="exact"/>
              <w:ind w:left="410"/>
            </w:pPr>
            <w:r>
              <w:rPr>
                <w:spacing w:val="3"/>
                <w:position w:val="1"/>
              </w:rPr>
              <w:t>230.48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2" w:hRule="atLeast"/>
        </w:trPr>
        <w:tc>
          <w:tcPr>
            <w:tcW w:w="1833" w:type="dxa"/>
            <w:vAlign w:val="top"/>
          </w:tcPr>
          <w:p>
            <w:pPr>
              <w:pStyle w:val="8"/>
              <w:spacing w:before="180" w:line="228" w:lineRule="auto"/>
              <w:ind w:left="679"/>
            </w:pPr>
            <w:r>
              <w:rPr>
                <w:spacing w:val="7"/>
              </w:rPr>
              <w:t>其中：车辆</w:t>
            </w:r>
          </w:p>
        </w:tc>
        <w:tc>
          <w:tcPr>
            <w:tcW w:w="1349" w:type="dxa"/>
            <w:vAlign w:val="top"/>
          </w:tcPr>
          <w:p>
            <w:pPr>
              <w:pStyle w:val="8"/>
              <w:spacing w:before="181" w:line="267" w:lineRule="exact"/>
              <w:ind w:left="466"/>
            </w:pPr>
            <w:r>
              <w:rPr>
                <w:spacing w:val="3"/>
                <w:position w:val="1"/>
              </w:rPr>
              <w:t>41.4</w:t>
            </w:r>
          </w:p>
        </w:tc>
        <w:tc>
          <w:tcPr>
            <w:tcW w:w="1245" w:type="dxa"/>
            <w:vAlign w:val="top"/>
          </w:tcPr>
          <w:p>
            <w:pPr>
              <w:pStyle w:val="8"/>
              <w:spacing w:before="181" w:line="267" w:lineRule="exact"/>
              <w:ind w:left="416"/>
            </w:pPr>
            <w:r>
              <w:rPr>
                <w:spacing w:val="3"/>
                <w:position w:val="1"/>
              </w:rPr>
              <w:t>41.4</w:t>
            </w:r>
          </w:p>
        </w:tc>
        <w:tc>
          <w:tcPr>
            <w:tcW w:w="1182" w:type="dxa"/>
            <w:vAlign w:val="top"/>
          </w:tcPr>
          <w:p>
            <w:pPr>
              <w:pStyle w:val="8"/>
              <w:spacing w:before="181" w:line="267" w:lineRule="exact"/>
              <w:ind w:left="385"/>
            </w:pPr>
            <w:r>
              <w:rPr>
                <w:spacing w:val="3"/>
                <w:position w:val="1"/>
              </w:rPr>
              <w:t>41.4</w:t>
            </w:r>
          </w:p>
        </w:tc>
        <w:tc>
          <w:tcPr>
            <w:tcW w:w="1163" w:type="dxa"/>
            <w:vAlign w:val="top"/>
          </w:tcPr>
          <w:p>
            <w:pPr>
              <w:pStyle w:val="8"/>
              <w:spacing w:before="181" w:line="267" w:lineRule="exact"/>
              <w:ind w:left="377"/>
            </w:pPr>
            <w:r>
              <w:rPr>
                <w:spacing w:val="3"/>
                <w:position w:val="1"/>
              </w:rPr>
              <w:t>41.4</w:t>
            </w:r>
          </w:p>
        </w:tc>
        <w:tc>
          <w:tcPr>
            <w:tcW w:w="1433" w:type="dxa"/>
            <w:vAlign w:val="top"/>
          </w:tcPr>
          <w:p>
            <w:pPr>
              <w:pStyle w:val="8"/>
              <w:spacing w:before="181" w:line="268" w:lineRule="exact"/>
              <w:ind w:left="671"/>
            </w:pPr>
            <w:r>
              <w:rPr>
                <w:position w:val="1"/>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8" w:hRule="atLeast"/>
        </w:trPr>
        <w:tc>
          <w:tcPr>
            <w:tcW w:w="1833" w:type="dxa"/>
            <w:vAlign w:val="top"/>
          </w:tcPr>
          <w:p>
            <w:pPr>
              <w:pStyle w:val="8"/>
              <w:spacing w:before="54" w:line="260" w:lineRule="auto"/>
              <w:ind w:left="133" w:right="250" w:hanging="17"/>
            </w:pPr>
            <w:r>
              <w:rPr>
                <w:spacing w:val="8"/>
              </w:rPr>
              <w:t>三、文物和陈列</w:t>
            </w:r>
            <w:r>
              <w:t>品</w:t>
            </w:r>
          </w:p>
        </w:tc>
        <w:tc>
          <w:tcPr>
            <w:tcW w:w="1349" w:type="dxa"/>
            <w:vAlign w:val="top"/>
          </w:tcPr>
          <w:p>
            <w:pPr>
              <w:rPr>
                <w:rFonts w:ascii="Arial"/>
                <w:sz w:val="21"/>
              </w:rPr>
            </w:pPr>
          </w:p>
        </w:tc>
        <w:tc>
          <w:tcPr>
            <w:tcW w:w="1245" w:type="dxa"/>
            <w:vAlign w:val="top"/>
          </w:tcPr>
          <w:p>
            <w:pPr>
              <w:rPr>
                <w:rFonts w:ascii="Arial"/>
                <w:sz w:val="21"/>
              </w:rPr>
            </w:pPr>
          </w:p>
        </w:tc>
        <w:tc>
          <w:tcPr>
            <w:tcW w:w="1182" w:type="dxa"/>
            <w:vAlign w:val="top"/>
          </w:tcPr>
          <w:p>
            <w:pPr>
              <w:rPr>
                <w:rFonts w:ascii="Arial"/>
                <w:sz w:val="21"/>
              </w:rPr>
            </w:pPr>
          </w:p>
        </w:tc>
        <w:tc>
          <w:tcPr>
            <w:tcW w:w="1163" w:type="dxa"/>
            <w:vAlign w:val="top"/>
          </w:tcPr>
          <w:p>
            <w:pPr>
              <w:rPr>
                <w:rFonts w:ascii="Arial"/>
                <w:sz w:val="21"/>
              </w:rPr>
            </w:pPr>
          </w:p>
        </w:tc>
        <w:tc>
          <w:tcPr>
            <w:tcW w:w="143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04" w:hRule="atLeast"/>
        </w:trPr>
        <w:tc>
          <w:tcPr>
            <w:tcW w:w="1833" w:type="dxa"/>
            <w:vAlign w:val="top"/>
          </w:tcPr>
          <w:p>
            <w:pPr>
              <w:pStyle w:val="8"/>
              <w:spacing w:before="199" w:line="227" w:lineRule="auto"/>
              <w:ind w:left="136"/>
            </w:pPr>
            <w:r>
              <w:rPr>
                <w:spacing w:val="5"/>
              </w:rPr>
              <w:t>四、图书和档案</w:t>
            </w:r>
          </w:p>
        </w:tc>
        <w:tc>
          <w:tcPr>
            <w:tcW w:w="1349" w:type="dxa"/>
            <w:vAlign w:val="top"/>
          </w:tcPr>
          <w:p>
            <w:pPr>
              <w:rPr>
                <w:rFonts w:ascii="Arial"/>
                <w:sz w:val="21"/>
              </w:rPr>
            </w:pPr>
          </w:p>
        </w:tc>
        <w:tc>
          <w:tcPr>
            <w:tcW w:w="1245" w:type="dxa"/>
            <w:vAlign w:val="top"/>
          </w:tcPr>
          <w:p>
            <w:pPr>
              <w:rPr>
                <w:rFonts w:ascii="Arial"/>
                <w:sz w:val="21"/>
              </w:rPr>
            </w:pPr>
          </w:p>
        </w:tc>
        <w:tc>
          <w:tcPr>
            <w:tcW w:w="1182" w:type="dxa"/>
            <w:vAlign w:val="top"/>
          </w:tcPr>
          <w:p>
            <w:pPr>
              <w:rPr>
                <w:rFonts w:ascii="Arial"/>
                <w:sz w:val="21"/>
              </w:rPr>
            </w:pPr>
          </w:p>
        </w:tc>
        <w:tc>
          <w:tcPr>
            <w:tcW w:w="1163" w:type="dxa"/>
            <w:vAlign w:val="top"/>
          </w:tcPr>
          <w:p>
            <w:pPr>
              <w:rPr>
                <w:rFonts w:ascii="Arial"/>
                <w:sz w:val="21"/>
              </w:rPr>
            </w:pPr>
          </w:p>
        </w:tc>
        <w:tc>
          <w:tcPr>
            <w:tcW w:w="143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2" w:hRule="atLeast"/>
        </w:trPr>
        <w:tc>
          <w:tcPr>
            <w:tcW w:w="1833" w:type="dxa"/>
            <w:vAlign w:val="top"/>
          </w:tcPr>
          <w:p>
            <w:pPr>
              <w:pStyle w:val="8"/>
              <w:spacing w:before="184" w:line="228" w:lineRule="auto"/>
              <w:ind w:left="120"/>
            </w:pPr>
            <w:r>
              <w:rPr>
                <w:spacing w:val="8"/>
              </w:rPr>
              <w:t>五、家具和用具</w:t>
            </w:r>
          </w:p>
        </w:tc>
        <w:tc>
          <w:tcPr>
            <w:tcW w:w="1349" w:type="dxa"/>
            <w:vAlign w:val="top"/>
          </w:tcPr>
          <w:p>
            <w:pPr>
              <w:pStyle w:val="8"/>
              <w:spacing w:before="183" w:line="268" w:lineRule="exact"/>
              <w:ind w:left="380"/>
            </w:pPr>
            <w:r>
              <w:rPr>
                <w:spacing w:val="1"/>
                <w:position w:val="1"/>
              </w:rPr>
              <w:t>128.38</w:t>
            </w:r>
          </w:p>
        </w:tc>
        <w:tc>
          <w:tcPr>
            <w:tcW w:w="1245" w:type="dxa"/>
            <w:vAlign w:val="top"/>
          </w:tcPr>
          <w:p>
            <w:pPr>
              <w:pStyle w:val="8"/>
              <w:spacing w:before="183" w:line="268" w:lineRule="exact"/>
              <w:ind w:left="329"/>
            </w:pPr>
            <w:r>
              <w:rPr>
                <w:spacing w:val="1"/>
                <w:position w:val="1"/>
              </w:rPr>
              <w:t>161.31</w:t>
            </w:r>
          </w:p>
        </w:tc>
        <w:tc>
          <w:tcPr>
            <w:tcW w:w="1182" w:type="dxa"/>
            <w:vAlign w:val="top"/>
          </w:tcPr>
          <w:p>
            <w:pPr>
              <w:pStyle w:val="8"/>
              <w:spacing w:before="183" w:line="268" w:lineRule="exact"/>
              <w:ind w:left="337"/>
            </w:pPr>
            <w:r>
              <w:rPr>
                <w:spacing w:val="2"/>
                <w:position w:val="1"/>
              </w:rPr>
              <w:t>50.69</w:t>
            </w:r>
          </w:p>
        </w:tc>
        <w:tc>
          <w:tcPr>
            <w:tcW w:w="1163" w:type="dxa"/>
            <w:vAlign w:val="top"/>
          </w:tcPr>
          <w:p>
            <w:pPr>
              <w:pStyle w:val="8"/>
              <w:spacing w:before="183" w:line="268" w:lineRule="exact"/>
              <w:ind w:left="330"/>
            </w:pPr>
            <w:r>
              <w:rPr>
                <w:spacing w:val="2"/>
                <w:position w:val="1"/>
              </w:rPr>
              <w:t>77.89</w:t>
            </w:r>
          </w:p>
        </w:tc>
        <w:tc>
          <w:tcPr>
            <w:tcW w:w="1433" w:type="dxa"/>
            <w:vAlign w:val="top"/>
          </w:tcPr>
          <w:p>
            <w:pPr>
              <w:pStyle w:val="8"/>
              <w:spacing w:before="183" w:line="268" w:lineRule="exact"/>
              <w:ind w:left="461"/>
            </w:pPr>
            <w:r>
              <w:rPr>
                <w:spacing w:val="3"/>
                <w:position w:val="1"/>
              </w:rPr>
              <w:t>83.42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2" w:hRule="atLeast"/>
        </w:trPr>
        <w:tc>
          <w:tcPr>
            <w:tcW w:w="1833" w:type="dxa"/>
            <w:vAlign w:val="top"/>
          </w:tcPr>
          <w:p>
            <w:pPr>
              <w:pStyle w:val="8"/>
              <w:spacing w:before="182" w:line="228" w:lineRule="auto"/>
              <w:ind w:left="118"/>
            </w:pPr>
            <w:r>
              <w:rPr>
                <w:spacing w:val="8"/>
              </w:rPr>
              <w:t>六、特种动植物</w:t>
            </w:r>
          </w:p>
        </w:tc>
        <w:tc>
          <w:tcPr>
            <w:tcW w:w="1349" w:type="dxa"/>
            <w:vAlign w:val="top"/>
          </w:tcPr>
          <w:p>
            <w:pPr>
              <w:rPr>
                <w:rFonts w:ascii="Arial"/>
                <w:sz w:val="21"/>
              </w:rPr>
            </w:pPr>
          </w:p>
        </w:tc>
        <w:tc>
          <w:tcPr>
            <w:tcW w:w="1245" w:type="dxa"/>
            <w:vAlign w:val="top"/>
          </w:tcPr>
          <w:p>
            <w:pPr>
              <w:rPr>
                <w:rFonts w:ascii="Arial"/>
                <w:sz w:val="21"/>
              </w:rPr>
            </w:pPr>
          </w:p>
        </w:tc>
        <w:tc>
          <w:tcPr>
            <w:tcW w:w="1182" w:type="dxa"/>
            <w:vAlign w:val="top"/>
          </w:tcPr>
          <w:p>
            <w:pPr>
              <w:rPr>
                <w:rFonts w:ascii="Arial"/>
                <w:sz w:val="21"/>
              </w:rPr>
            </w:pPr>
          </w:p>
        </w:tc>
        <w:tc>
          <w:tcPr>
            <w:tcW w:w="1163" w:type="dxa"/>
            <w:vAlign w:val="top"/>
          </w:tcPr>
          <w:p>
            <w:pPr>
              <w:rPr>
                <w:rFonts w:ascii="Arial"/>
                <w:sz w:val="21"/>
              </w:rPr>
            </w:pPr>
          </w:p>
        </w:tc>
        <w:tc>
          <w:tcPr>
            <w:tcW w:w="1433"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6" w:hRule="atLeast"/>
        </w:trPr>
        <w:tc>
          <w:tcPr>
            <w:tcW w:w="1833" w:type="dxa"/>
            <w:vAlign w:val="top"/>
          </w:tcPr>
          <w:p>
            <w:pPr>
              <w:pStyle w:val="8"/>
              <w:spacing w:before="183" w:line="228" w:lineRule="auto"/>
              <w:ind w:left="307"/>
            </w:pPr>
            <w:r>
              <w:rPr>
                <w:b/>
                <w:bCs/>
                <w:spacing w:val="3"/>
              </w:rPr>
              <w:t>固定资产合计</w:t>
            </w:r>
          </w:p>
        </w:tc>
        <w:tc>
          <w:tcPr>
            <w:tcW w:w="1349" w:type="dxa"/>
            <w:vAlign w:val="top"/>
          </w:tcPr>
          <w:p>
            <w:pPr>
              <w:pStyle w:val="8"/>
              <w:spacing w:before="184" w:line="267" w:lineRule="exact"/>
              <w:ind w:left="311"/>
            </w:pPr>
            <w:r>
              <w:rPr>
                <w:b/>
                <w:bCs/>
                <w:spacing w:val="1"/>
                <w:position w:val="1"/>
              </w:rPr>
              <w:t>7907.22</w:t>
            </w:r>
          </w:p>
        </w:tc>
        <w:tc>
          <w:tcPr>
            <w:tcW w:w="1245" w:type="dxa"/>
            <w:vAlign w:val="top"/>
          </w:tcPr>
          <w:p>
            <w:pPr>
              <w:pStyle w:val="8"/>
              <w:spacing w:before="184" w:line="267" w:lineRule="exact"/>
              <w:ind w:left="257"/>
            </w:pPr>
            <w:r>
              <w:rPr>
                <w:b/>
                <w:bCs/>
                <w:spacing w:val="2"/>
                <w:position w:val="1"/>
              </w:rPr>
              <w:t>9160.94</w:t>
            </w:r>
          </w:p>
        </w:tc>
        <w:tc>
          <w:tcPr>
            <w:tcW w:w="1182" w:type="dxa"/>
            <w:vAlign w:val="top"/>
          </w:tcPr>
          <w:p>
            <w:pPr>
              <w:pStyle w:val="8"/>
              <w:spacing w:before="184" w:line="267" w:lineRule="exact"/>
              <w:ind w:left="229"/>
            </w:pPr>
            <w:r>
              <w:rPr>
                <w:b/>
                <w:bCs/>
                <w:spacing w:val="1"/>
                <w:position w:val="1"/>
              </w:rPr>
              <w:t>3033.65</w:t>
            </w:r>
          </w:p>
        </w:tc>
        <w:tc>
          <w:tcPr>
            <w:tcW w:w="1163" w:type="dxa"/>
            <w:vAlign w:val="top"/>
          </w:tcPr>
          <w:p>
            <w:pPr>
              <w:pStyle w:val="8"/>
              <w:spacing w:before="184" w:line="267" w:lineRule="exact"/>
              <w:ind w:left="221"/>
            </w:pPr>
            <w:r>
              <w:rPr>
                <w:b/>
                <w:bCs/>
                <w:spacing w:val="1"/>
                <w:position w:val="1"/>
              </w:rPr>
              <w:t>3844.48</w:t>
            </w:r>
          </w:p>
        </w:tc>
        <w:tc>
          <w:tcPr>
            <w:tcW w:w="1433" w:type="dxa"/>
            <w:vAlign w:val="top"/>
          </w:tcPr>
          <w:p>
            <w:pPr>
              <w:pStyle w:val="8"/>
              <w:spacing w:before="184" w:line="267" w:lineRule="exact"/>
              <w:ind w:left="356"/>
            </w:pPr>
            <w:r>
              <w:rPr>
                <w:b/>
                <w:bCs/>
                <w:spacing w:val="1"/>
                <w:position w:val="1"/>
              </w:rPr>
              <w:t>5316.46</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ascii="宋体" w:hAnsi="宋体" w:eastAsia="宋体" w:cs="宋体"/>
          <w:sz w:val="31"/>
          <w:szCs w:val="31"/>
        </w:rPr>
      </w:pPr>
      <w:bookmarkStart w:id="3" w:name="bookmark3"/>
      <w:bookmarkEnd w:id="3"/>
      <w:r>
        <w:rPr>
          <w:rFonts w:hint="eastAsia" w:ascii="Times New Roman" w:hAnsi="Times New Roman" w:eastAsia="仿宋_GB2312" w:cstheme="minorBidi"/>
          <w:b/>
          <w:bCs/>
          <w:snapToGrid/>
          <w:kern w:val="2"/>
          <w:sz w:val="32"/>
          <w:szCs w:val="32"/>
          <w:lang w:val="en-US" w:eastAsia="zh-CN" w:bidi="ar-SA"/>
        </w:rPr>
        <w:t>5.部门年度重点工作任务</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color w:val="000000"/>
          <w:spacing w:val="-20"/>
          <w:kern w:val="2"/>
          <w:sz w:val="32"/>
          <w:szCs w:val="32"/>
          <w:lang w:val="en-US" w:eastAsia="zh-CN" w:bidi="ar-SA"/>
        </w:rPr>
      </w:pPr>
      <w:r>
        <w:rPr>
          <w:rFonts w:ascii="Times New Roman" w:hAnsi="Times New Roman" w:eastAsia="仿宋_GB2312" w:cstheme="minorBidi"/>
          <w:snapToGrid/>
          <w:color w:val="000000"/>
          <w:kern w:val="2"/>
          <w:sz w:val="32"/>
          <w:szCs w:val="32"/>
          <w:lang w:val="en-US" w:eastAsia="zh-CN" w:bidi="ar-SA"/>
        </w:rPr>
        <w:t>（一）健全城乡养老服务体系。一是提升居家和社区养老服务。实施老年人助餐“金色晚霞”服务示范点项目，优化伊州区老年人助餐服务网络，积极协调各项优惠政策落实，2025年依托“金色晚霞”老年人助餐服务示范点，对特殊老年人开展助餐服务。二是开展经济老年人家庭养老床位建设及居家上门服务。对人员及城乡低保户对象中完全失能、部分失能老年人开展了家庭养老床位建设及居家上门,帮助经济老年人家庭改善居住条件，提升居家养老品质。三是积极发展老年助餐服务。利用已建成的街道养老服务中心、农村幸福大院及社区各类闲置资源，拓展老年助餐服务功能，依托有资质、有信誉、有爱心的商业餐饮服务场所设置“老年餐桌”，对部分关停助餐点位，采取替换方式进行优化。四是推进特殊老年人探访关爱服务。组织各乡</w:t>
      </w:r>
      <w:r>
        <w:rPr>
          <w:rFonts w:hint="eastAsia" w:ascii="Times New Roman" w:hAnsi="Times New Roman" w:eastAsia="仿宋_GB2312" w:cstheme="minorBidi"/>
          <w:snapToGrid/>
          <w:color w:val="000000"/>
          <w:kern w:val="2"/>
          <w:sz w:val="32"/>
          <w:szCs w:val="32"/>
          <w:lang w:val="en-US" w:eastAsia="zh-CN" w:bidi="ar-SA"/>
        </w:rPr>
        <w:t>（镇）</w:t>
      </w:r>
      <w:r>
        <w:rPr>
          <w:rFonts w:ascii="Times New Roman" w:hAnsi="Times New Roman" w:eastAsia="仿宋_GB2312" w:cstheme="minorBidi"/>
          <w:snapToGrid/>
          <w:color w:val="000000"/>
          <w:kern w:val="2"/>
          <w:sz w:val="32"/>
          <w:szCs w:val="32"/>
          <w:lang w:val="en-US" w:eastAsia="zh-CN" w:bidi="ar-SA"/>
        </w:rPr>
        <w:t>、街道办事处、园区管委会面向独居、空巢、留守、失能、重残、计划生育特殊家庭等老年人开展月探访服务。五是推进农村幸福大院运营。做好资金保障、开展督查检查，指导各乡镇加强宣传引导，组织工作人员参加食品安全、消防安全培训3次，积极开展农村幸福大院转型发展。六是加强养老机构综合监管。联合消防救援大队及市场监督管理局组成检查组对运营的养老机构开展了消防安全及食品安全实地检查</w:t>
      </w:r>
      <w:r>
        <w:rPr>
          <w:rFonts w:hint="eastAsia" w:ascii="Times New Roman" w:hAnsi="Times New Roman" w:eastAsia="仿宋_GB2312" w:cstheme="minorBidi"/>
          <w:snapToGrid/>
          <w:color w:val="000000"/>
          <w:kern w:val="2"/>
          <w:sz w:val="32"/>
          <w:szCs w:val="32"/>
          <w:lang w:val="en-US" w:eastAsia="zh-CN" w:bidi="ar-SA"/>
        </w:rPr>
        <w:t>工作</w:t>
      </w:r>
      <w:r>
        <w:rPr>
          <w:rFonts w:ascii="Times New Roman" w:hAnsi="Times New Roman" w:eastAsia="仿宋_GB2312" w:cstheme="minorBidi"/>
          <w:snapToGrid/>
          <w:color w:val="000000"/>
          <w:kern w:val="2"/>
          <w:sz w:val="32"/>
          <w:szCs w:val="32"/>
          <w:lang w:val="en-US" w:eastAsia="zh-CN" w:bidi="ar-SA"/>
        </w:rPr>
        <w:t>，排查治理养老机构各类食品消防安全风险隐患，守好养老机构安全底线，防止发生各类安全事故。七是提升人员供养服务机构服务能力。通过不断改造升级设施设备和优化服务，改善供养人员生活质量，实施社会福利服务中心改造提升，该项目作为自治区、</w:t>
      </w:r>
      <w:r>
        <w:rPr>
          <w:rFonts w:ascii="Times New Roman" w:hAnsi="Times New Roman" w:eastAsia="仿宋_GB2312" w:cstheme="minorBidi"/>
          <w:snapToGrid/>
          <w:color w:val="000000"/>
          <w:spacing w:val="-20"/>
          <w:kern w:val="2"/>
          <w:sz w:val="32"/>
          <w:szCs w:val="32"/>
          <w:lang w:val="en-US" w:eastAsia="zh-CN" w:bidi="ar-SA"/>
        </w:rPr>
        <w:t>哈密市、伊州区三级政府2025年重点民生实事。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color w:val="000000"/>
          <w:kern w:val="2"/>
          <w:sz w:val="32"/>
          <w:szCs w:val="32"/>
          <w:lang w:val="en-US" w:eastAsia="zh-CN" w:bidi="ar-SA"/>
        </w:rPr>
      </w:pPr>
      <w:r>
        <w:rPr>
          <w:rFonts w:ascii="Times New Roman" w:hAnsi="Times New Roman" w:eastAsia="仿宋_GB2312" w:cstheme="minorBidi"/>
          <w:snapToGrid/>
          <w:color w:val="000000"/>
          <w:kern w:val="2"/>
          <w:sz w:val="32"/>
          <w:szCs w:val="32"/>
          <w:lang w:val="en-US" w:eastAsia="zh-CN" w:bidi="ar-SA"/>
        </w:rPr>
        <w:t>（二）做好困境儿童关心关爱。一是实施乡镇</w:t>
      </w:r>
      <w:r>
        <w:rPr>
          <w:rFonts w:hint="eastAsia" w:ascii="Times New Roman" w:hAnsi="Times New Roman" w:eastAsia="仿宋_GB2312" w:cstheme="minorBidi"/>
          <w:snapToGrid/>
          <w:color w:val="000000"/>
          <w:kern w:val="2"/>
          <w:sz w:val="32"/>
          <w:szCs w:val="32"/>
          <w:lang w:val="en-US" w:eastAsia="zh-CN" w:bidi="ar-SA"/>
        </w:rPr>
        <w:t>（街道）</w:t>
      </w:r>
      <w:r>
        <w:rPr>
          <w:rFonts w:ascii="Times New Roman" w:hAnsi="Times New Roman" w:eastAsia="仿宋_GB2312" w:cstheme="minorBidi"/>
          <w:snapToGrid/>
          <w:color w:val="000000"/>
          <w:kern w:val="2"/>
          <w:sz w:val="32"/>
          <w:szCs w:val="32"/>
          <w:lang w:val="en-US" w:eastAsia="zh-CN" w:bidi="ar-SA"/>
        </w:rPr>
        <w:t>未保站购买服务项目。购买第三方服务组织在乡镇实施政府购买未成年人保护工作站建设项目，为辖区内未成年人开展普法教育、防欺凌、防性侵及爱国主义教育、心理健康教育、民族融情等服务活动。二是开展流动儿童、留守儿童监测摸排及统计分析工作。依托乡镇（街道）民政服务站，购买第三方服务，对辖区流动儿童家庭开展随访，全面准确地掌握流动儿童和留守儿童的数量规模、分布区域，建立流动儿童和留守儿童信息库，提高关爱保护工作实效。</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ascii="Times New Roman" w:hAnsi="Times New Roman" w:eastAsia="仿宋_GB2312" w:cstheme="minorBidi"/>
          <w:snapToGrid/>
          <w:color w:val="000000"/>
          <w:kern w:val="2"/>
          <w:sz w:val="32"/>
          <w:szCs w:val="32"/>
          <w:lang w:val="en-US" w:eastAsia="zh-CN" w:bidi="ar-SA"/>
        </w:rPr>
      </w:pPr>
      <w:r>
        <w:rPr>
          <w:rFonts w:ascii="Times New Roman" w:hAnsi="Times New Roman" w:eastAsia="仿宋_GB2312" w:cstheme="minorBidi"/>
          <w:snapToGrid/>
          <w:color w:val="000000"/>
          <w:kern w:val="2"/>
          <w:sz w:val="32"/>
          <w:szCs w:val="32"/>
          <w:lang w:val="en-US" w:eastAsia="zh-CN" w:bidi="ar-SA"/>
        </w:rPr>
        <w:t>（三）社会事务工作全面提质增效。一是精康融合行动。2025年哈密市心理协会承接民政局精康融合行动服务项目，针对伊州区辖区内的精神障碍患者开展精神障碍社区康复服务。二是做好婚姻登记服务。三是开展收养登记服务。</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ascii="仿宋" w:hAnsi="仿宋" w:eastAsia="仿宋" w:cs="仿宋"/>
          <w:sz w:val="31"/>
          <w:szCs w:val="31"/>
        </w:rPr>
      </w:pPr>
      <w:r>
        <w:rPr>
          <w:rFonts w:ascii="Times New Roman" w:hAnsi="Times New Roman" w:eastAsia="仿宋_GB2312" w:cstheme="minorBidi"/>
          <w:snapToGrid/>
          <w:color w:val="000000"/>
          <w:kern w:val="2"/>
          <w:sz w:val="32"/>
          <w:szCs w:val="32"/>
          <w:lang w:val="en-US" w:eastAsia="zh-CN" w:bidi="ar-SA"/>
        </w:rPr>
        <w:t>（四）推动社会组织和慈善事业健康发展。一是提升社会组织覆盖面。二是在行政服务大厅设立“一次办”窗口。三是促进慈善事业健康有序发展。四是积极鼓励社会组织承接政府购买服务项目</w:t>
      </w:r>
      <w:r>
        <w:rPr>
          <w:rFonts w:ascii="仿宋" w:hAnsi="仿宋" w:eastAsia="仿宋" w:cs="仿宋"/>
          <w:spacing w:val="6"/>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7" w:firstLineChars="200"/>
        <w:textAlignment w:val="baseline"/>
        <w:outlineLvl w:val="0"/>
        <w:rPr>
          <w:rFonts w:hint="eastAsia" w:ascii="楷体" w:hAnsi="楷体" w:eastAsia="楷体" w:cs="楷体"/>
          <w:sz w:val="32"/>
          <w:szCs w:val="32"/>
        </w:rPr>
      </w:pPr>
      <w:bookmarkStart w:id="4" w:name="bookmark26"/>
      <w:bookmarkEnd w:id="4"/>
      <w:r>
        <w:rPr>
          <w:rFonts w:hint="eastAsia" w:ascii="楷体" w:hAnsi="楷体" w:eastAsia="楷体" w:cs="楷体"/>
          <w:b/>
          <w:bCs/>
          <w:spacing w:val="6"/>
          <w:sz w:val="32"/>
          <w:szCs w:val="32"/>
        </w:rPr>
        <w:t>（二）部门单位整体支出规模</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 w:hAnsi="楷体" w:eastAsia="楷体" w:cs="楷体"/>
          <w:sz w:val="31"/>
          <w:szCs w:val="31"/>
        </w:rPr>
      </w:pPr>
      <w:r>
        <w:rPr>
          <w:rFonts w:hint="eastAsia" w:ascii="Times New Roman" w:hAnsi="Times New Roman" w:eastAsia="仿宋_GB2312" w:cstheme="minorBidi"/>
          <w:b/>
          <w:bCs/>
          <w:snapToGrid/>
          <w:color w:val="000000"/>
          <w:kern w:val="2"/>
          <w:sz w:val="32"/>
          <w:szCs w:val="32"/>
          <w:lang w:val="en-US" w:eastAsia="zh-CN" w:bidi="ar-SA"/>
        </w:rPr>
        <w:t>1.整体支出情况</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z w:val="31"/>
          <w:szCs w:val="31"/>
        </w:rPr>
      </w:pPr>
      <w:r>
        <w:rPr>
          <w:rFonts w:ascii="Times New Roman" w:hAnsi="Times New Roman" w:eastAsia="仿宋_GB2312" w:cstheme="minorBidi"/>
          <w:snapToGrid/>
          <w:color w:val="000000"/>
          <w:kern w:val="2"/>
          <w:sz w:val="32"/>
          <w:szCs w:val="32"/>
          <w:lang w:val="en-US" w:eastAsia="zh-CN" w:bidi="ar-SA"/>
        </w:rPr>
        <w:t>2025年区民政局年初预算批复金额为16900.92万元，全年预算调整金额为17120.78万元，部门全年实际执行金额共计17120.78万元，全年部门预算调整率为1.3%，部门预算执行率达100%</w:t>
      </w:r>
      <w:r>
        <w:rPr>
          <w:rFonts w:ascii="华文仿宋" w:hAnsi="华文仿宋" w:eastAsia="华文仿宋" w:cs="华文仿宋"/>
          <w:spacing w:val="1"/>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textAlignment w:val="baseline"/>
        <w:rPr>
          <w:rFonts w:ascii="华文仿宋" w:hAnsi="华文仿宋" w:eastAsia="华文仿宋" w:cs="华文仿宋"/>
          <w:sz w:val="31"/>
          <w:szCs w:val="31"/>
        </w:rPr>
        <w:sectPr>
          <w:footerReference r:id="rId6" w:type="default"/>
          <w:pgSz w:w="11906" w:h="16839"/>
          <w:pgMar w:top="2098" w:right="1587" w:bottom="1984" w:left="1587" w:header="0" w:footer="1289" w:gutter="0"/>
          <w:pgNumType w:fmt="decimal"/>
          <w:cols w:space="0" w:num="1"/>
          <w:rtlGutter w:val="0"/>
          <w:docGrid w:linePitch="0" w:charSpace="0"/>
        </w:sectPr>
      </w:pPr>
    </w:p>
    <w:p>
      <w:pPr>
        <w:pStyle w:val="2"/>
        <w:spacing w:line="251" w:lineRule="auto"/>
      </w:pPr>
    </w:p>
    <w:p>
      <w:pPr>
        <w:spacing w:before="103" w:line="185" w:lineRule="auto"/>
        <w:ind w:left="1936"/>
        <w:rPr>
          <w:rFonts w:ascii="微软雅黑" w:hAnsi="微软雅黑" w:eastAsia="微软雅黑" w:cs="微软雅黑"/>
          <w:b/>
          <w:bCs/>
          <w:sz w:val="24"/>
          <w:szCs w:val="24"/>
        </w:rPr>
      </w:pPr>
      <w:r>
        <w:rPr>
          <w:rFonts w:ascii="微软雅黑" w:hAnsi="微软雅黑" w:eastAsia="微软雅黑" w:cs="微软雅黑"/>
          <w:b/>
          <w:bCs/>
          <w:spacing w:val="1"/>
          <w:sz w:val="24"/>
          <w:szCs w:val="24"/>
        </w:rPr>
        <w:t>表</w:t>
      </w:r>
      <w:r>
        <w:rPr>
          <w:rFonts w:ascii="Times New Roman" w:hAnsi="Times New Roman" w:eastAsia="Times New Roman" w:cs="Times New Roman"/>
          <w:b/>
          <w:bCs/>
          <w:spacing w:val="1"/>
          <w:sz w:val="24"/>
          <w:szCs w:val="24"/>
        </w:rPr>
        <w:t>1-2</w:t>
      </w:r>
      <w:r>
        <w:rPr>
          <w:rFonts w:ascii="微软雅黑" w:hAnsi="微软雅黑" w:eastAsia="微软雅黑" w:cs="微软雅黑"/>
          <w:b/>
          <w:bCs/>
          <w:spacing w:val="1"/>
          <w:sz w:val="24"/>
          <w:szCs w:val="24"/>
        </w:rPr>
        <w:t>部门2025年预算收支及结转结余情况表</w:t>
      </w:r>
    </w:p>
    <w:p>
      <w:pPr>
        <w:spacing w:line="85" w:lineRule="auto"/>
        <w:rPr>
          <w:rFonts w:ascii="Arial"/>
          <w:sz w:val="2"/>
        </w:rPr>
      </w:pPr>
    </w:p>
    <w:tbl>
      <w:tblPr>
        <w:tblStyle w:val="7"/>
        <w:tblW w:w="8306" w:type="dxa"/>
        <w:tblInd w:w="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6"/>
        <w:gridCol w:w="1083"/>
        <w:gridCol w:w="1083"/>
        <w:gridCol w:w="1063"/>
        <w:gridCol w:w="898"/>
        <w:gridCol w:w="1083"/>
        <w:gridCol w:w="1083"/>
        <w:gridCol w:w="106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4175" w:type="dxa"/>
            <w:gridSpan w:val="4"/>
            <w:vAlign w:val="top"/>
          </w:tcPr>
          <w:p>
            <w:pPr>
              <w:pStyle w:val="8"/>
              <w:spacing w:before="80" w:line="228" w:lineRule="auto"/>
              <w:ind w:left="1470"/>
            </w:pPr>
            <w:r>
              <w:rPr>
                <w:spacing w:val="5"/>
              </w:rPr>
              <w:t>收入（万元）</w:t>
            </w:r>
          </w:p>
        </w:tc>
        <w:tc>
          <w:tcPr>
            <w:tcW w:w="4131" w:type="dxa"/>
            <w:gridSpan w:val="4"/>
            <w:vAlign w:val="top"/>
          </w:tcPr>
          <w:p>
            <w:pPr>
              <w:pStyle w:val="8"/>
              <w:spacing w:before="80" w:line="228" w:lineRule="auto"/>
              <w:ind w:left="1440"/>
            </w:pPr>
            <w:r>
              <w:rPr>
                <w:spacing w:val="6"/>
              </w:rPr>
              <w:t>支出（万元）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4" w:hRule="atLeast"/>
        </w:trPr>
        <w:tc>
          <w:tcPr>
            <w:tcW w:w="946" w:type="dxa"/>
            <w:vAlign w:val="top"/>
          </w:tcPr>
          <w:p>
            <w:pPr>
              <w:spacing w:line="303" w:lineRule="auto"/>
              <w:rPr>
                <w:rFonts w:ascii="Arial"/>
                <w:sz w:val="21"/>
              </w:rPr>
            </w:pPr>
          </w:p>
          <w:p>
            <w:pPr>
              <w:spacing w:line="304" w:lineRule="auto"/>
              <w:rPr>
                <w:rFonts w:ascii="Arial"/>
                <w:sz w:val="21"/>
              </w:rPr>
            </w:pPr>
          </w:p>
          <w:p>
            <w:pPr>
              <w:pStyle w:val="8"/>
              <w:spacing w:before="65" w:line="228" w:lineRule="auto"/>
              <w:ind w:left="273"/>
            </w:pPr>
            <w:r>
              <w:rPr>
                <w:spacing w:val="3"/>
              </w:rPr>
              <w:t>项目</w:t>
            </w:r>
          </w:p>
        </w:tc>
        <w:tc>
          <w:tcPr>
            <w:tcW w:w="1083" w:type="dxa"/>
            <w:vAlign w:val="top"/>
          </w:tcPr>
          <w:p>
            <w:pPr>
              <w:spacing w:line="453" w:lineRule="auto"/>
              <w:rPr>
                <w:rFonts w:ascii="Arial"/>
                <w:sz w:val="21"/>
              </w:rPr>
            </w:pPr>
          </w:p>
          <w:p>
            <w:pPr>
              <w:pStyle w:val="8"/>
              <w:spacing w:before="65" w:line="289" w:lineRule="auto"/>
              <w:ind w:left="441" w:right="122" w:hanging="315"/>
            </w:pPr>
            <w:r>
              <w:rPr>
                <w:spacing w:val="7"/>
              </w:rPr>
              <w:t>年初预算</w:t>
            </w:r>
            <w:r>
              <w:t>数</w:t>
            </w:r>
          </w:p>
        </w:tc>
        <w:tc>
          <w:tcPr>
            <w:tcW w:w="1083" w:type="dxa"/>
            <w:vAlign w:val="top"/>
          </w:tcPr>
          <w:p>
            <w:pPr>
              <w:spacing w:line="453" w:lineRule="auto"/>
              <w:rPr>
                <w:rFonts w:ascii="Arial"/>
                <w:sz w:val="21"/>
              </w:rPr>
            </w:pPr>
          </w:p>
          <w:p>
            <w:pPr>
              <w:pStyle w:val="8"/>
              <w:spacing w:before="65" w:line="289" w:lineRule="auto"/>
              <w:ind w:left="443" w:right="121" w:hanging="316"/>
            </w:pPr>
            <w:r>
              <w:rPr>
                <w:spacing w:val="7"/>
              </w:rPr>
              <w:t>全年预算</w:t>
            </w:r>
            <w:r>
              <w:t>数</w:t>
            </w:r>
          </w:p>
        </w:tc>
        <w:tc>
          <w:tcPr>
            <w:tcW w:w="1063" w:type="dxa"/>
            <w:vAlign w:val="top"/>
          </w:tcPr>
          <w:p>
            <w:pPr>
              <w:spacing w:line="303" w:lineRule="auto"/>
              <w:rPr>
                <w:rFonts w:ascii="Arial"/>
                <w:sz w:val="21"/>
              </w:rPr>
            </w:pPr>
          </w:p>
          <w:p>
            <w:pPr>
              <w:spacing w:line="303" w:lineRule="auto"/>
              <w:rPr>
                <w:rFonts w:ascii="Arial"/>
                <w:sz w:val="21"/>
              </w:rPr>
            </w:pPr>
          </w:p>
          <w:p>
            <w:pPr>
              <w:pStyle w:val="8"/>
              <w:spacing w:before="65" w:line="228" w:lineRule="auto"/>
              <w:ind w:left="229"/>
            </w:pPr>
            <w:r>
              <w:rPr>
                <w:spacing w:val="4"/>
              </w:rPr>
              <w:t>决算数</w:t>
            </w:r>
          </w:p>
        </w:tc>
        <w:tc>
          <w:tcPr>
            <w:tcW w:w="898" w:type="dxa"/>
            <w:vAlign w:val="top"/>
          </w:tcPr>
          <w:p>
            <w:pPr>
              <w:pStyle w:val="8"/>
              <w:spacing w:before="52" w:line="288" w:lineRule="auto"/>
              <w:ind w:left="149" w:right="133" w:firstLine="98"/>
            </w:pPr>
            <w:r>
              <w:rPr>
                <w:spacing w:val="3"/>
              </w:rPr>
              <w:t>项目（按支</w:t>
            </w:r>
          </w:p>
          <w:p>
            <w:pPr>
              <w:pStyle w:val="8"/>
              <w:spacing w:line="228" w:lineRule="auto"/>
              <w:ind w:left="156"/>
            </w:pPr>
            <w:r>
              <w:t>出性质</w:t>
            </w:r>
          </w:p>
          <w:p>
            <w:pPr>
              <w:pStyle w:val="8"/>
              <w:spacing w:before="64" w:line="228" w:lineRule="auto"/>
              <w:ind w:left="139"/>
            </w:pPr>
            <w:r>
              <w:rPr>
                <w:spacing w:val="6"/>
              </w:rPr>
              <w:t>和经济</w:t>
            </w:r>
          </w:p>
          <w:p>
            <w:pPr>
              <w:pStyle w:val="8"/>
              <w:spacing w:before="64" w:line="228" w:lineRule="auto"/>
              <w:ind w:left="141"/>
            </w:pPr>
            <w:r>
              <w:rPr>
                <w:spacing w:val="2"/>
              </w:rPr>
              <w:t>分类）</w:t>
            </w:r>
          </w:p>
        </w:tc>
        <w:tc>
          <w:tcPr>
            <w:tcW w:w="1083" w:type="dxa"/>
            <w:vAlign w:val="top"/>
          </w:tcPr>
          <w:p>
            <w:pPr>
              <w:spacing w:line="453" w:lineRule="auto"/>
              <w:rPr>
                <w:rFonts w:ascii="Arial"/>
                <w:sz w:val="21"/>
              </w:rPr>
            </w:pPr>
          </w:p>
          <w:p>
            <w:pPr>
              <w:pStyle w:val="8"/>
              <w:spacing w:before="65" w:line="289" w:lineRule="auto"/>
              <w:ind w:left="444" w:right="119" w:hanging="315"/>
            </w:pPr>
            <w:r>
              <w:rPr>
                <w:spacing w:val="7"/>
              </w:rPr>
              <w:t>年初预算</w:t>
            </w:r>
            <w:r>
              <w:t>数</w:t>
            </w:r>
          </w:p>
        </w:tc>
        <w:tc>
          <w:tcPr>
            <w:tcW w:w="1083" w:type="dxa"/>
            <w:vAlign w:val="top"/>
          </w:tcPr>
          <w:p>
            <w:pPr>
              <w:spacing w:line="453" w:lineRule="auto"/>
              <w:rPr>
                <w:rFonts w:ascii="Arial"/>
                <w:sz w:val="21"/>
              </w:rPr>
            </w:pPr>
          </w:p>
          <w:p>
            <w:pPr>
              <w:pStyle w:val="8"/>
              <w:spacing w:before="65" w:line="289" w:lineRule="auto"/>
              <w:ind w:left="444" w:right="120" w:hanging="316"/>
            </w:pPr>
            <w:r>
              <w:rPr>
                <w:spacing w:val="7"/>
              </w:rPr>
              <w:t>全年预算</w:t>
            </w:r>
            <w:r>
              <w:t>数</w:t>
            </w:r>
          </w:p>
        </w:tc>
        <w:tc>
          <w:tcPr>
            <w:tcW w:w="1067" w:type="dxa"/>
            <w:vAlign w:val="top"/>
          </w:tcPr>
          <w:p>
            <w:pPr>
              <w:spacing w:line="303" w:lineRule="auto"/>
              <w:rPr>
                <w:rFonts w:ascii="Arial"/>
                <w:sz w:val="21"/>
              </w:rPr>
            </w:pPr>
          </w:p>
          <w:p>
            <w:pPr>
              <w:spacing w:line="303" w:lineRule="auto"/>
              <w:rPr>
                <w:rFonts w:ascii="Arial"/>
                <w:sz w:val="21"/>
              </w:rPr>
            </w:pPr>
          </w:p>
          <w:p>
            <w:pPr>
              <w:pStyle w:val="8"/>
              <w:spacing w:before="65" w:line="228" w:lineRule="auto"/>
              <w:ind w:left="230"/>
            </w:pPr>
            <w:r>
              <w:rPr>
                <w:spacing w:val="4"/>
              </w:rPr>
              <w:t>决算数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4" w:hRule="atLeast"/>
        </w:trPr>
        <w:tc>
          <w:tcPr>
            <w:tcW w:w="946" w:type="dxa"/>
            <w:vAlign w:val="top"/>
          </w:tcPr>
          <w:p>
            <w:pPr>
              <w:pStyle w:val="8"/>
              <w:spacing w:before="186" w:line="104" w:lineRule="exact"/>
              <w:ind w:left="339"/>
            </w:pPr>
            <w:r>
              <w:drawing>
                <wp:anchor distT="0" distB="0" distL="0" distR="0" simplePos="0" relativeHeight="251660288" behindDoc="0" locked="0" layoutInCell="1" allowOverlap="1">
                  <wp:simplePos x="0" y="0"/>
                  <wp:positionH relativeFrom="rightMargin">
                    <wp:posOffset>-521335</wp:posOffset>
                  </wp:positionH>
                  <wp:positionV relativeFrom="topMargin">
                    <wp:posOffset>83185</wp:posOffset>
                  </wp:positionV>
                  <wp:extent cx="391795" cy="1397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30"/>
                          <a:stretch>
                            <a:fillRect/>
                          </a:stretch>
                        </pic:blipFill>
                        <pic:spPr>
                          <a:xfrm>
                            <a:off x="0" y="0"/>
                            <a:ext cx="392106" cy="13934"/>
                          </a:xfrm>
                          <a:prstGeom prst="rect">
                            <a:avLst/>
                          </a:prstGeom>
                        </pic:spPr>
                      </pic:pic>
                    </a:graphicData>
                  </a:graphic>
                </wp:anchor>
              </w:drawing>
            </w:r>
            <w:r>
              <w:rPr>
                <w:position w:val="1"/>
              </w:rPr>
              <w:t>、</w:t>
            </w:r>
          </w:p>
          <w:p>
            <w:pPr>
              <w:pStyle w:val="8"/>
              <w:spacing w:before="76" w:line="274" w:lineRule="auto"/>
              <w:ind w:left="115" w:right="203"/>
            </w:pPr>
            <w:r>
              <w:rPr>
                <w:spacing w:val="7"/>
              </w:rPr>
              <w:t>般公共预算财政拨款</w:t>
            </w:r>
            <w:r>
              <w:rPr>
                <w:spacing w:val="5"/>
              </w:rPr>
              <w:t>收入</w:t>
            </w:r>
          </w:p>
        </w:tc>
        <w:tc>
          <w:tcPr>
            <w:tcW w:w="1083" w:type="dxa"/>
            <w:vAlign w:val="top"/>
          </w:tcPr>
          <w:p>
            <w:pPr>
              <w:spacing w:line="303" w:lineRule="auto"/>
              <w:rPr>
                <w:rFonts w:ascii="Arial"/>
                <w:sz w:val="21"/>
              </w:rPr>
            </w:pPr>
          </w:p>
          <w:p>
            <w:pPr>
              <w:spacing w:line="304" w:lineRule="auto"/>
              <w:rPr>
                <w:rFonts w:ascii="Arial"/>
                <w:sz w:val="21"/>
              </w:rPr>
            </w:pPr>
          </w:p>
          <w:p>
            <w:pPr>
              <w:pStyle w:val="8"/>
              <w:spacing w:before="65" w:line="268" w:lineRule="exact"/>
              <w:ind w:left="141"/>
            </w:pPr>
            <w:r>
              <w:rPr>
                <w:spacing w:val="2"/>
                <w:position w:val="1"/>
              </w:rPr>
              <w:t>11011.65</w:t>
            </w:r>
          </w:p>
        </w:tc>
        <w:tc>
          <w:tcPr>
            <w:tcW w:w="1083" w:type="dxa"/>
            <w:vAlign w:val="top"/>
          </w:tcPr>
          <w:p>
            <w:pPr>
              <w:spacing w:line="303" w:lineRule="auto"/>
              <w:rPr>
                <w:rFonts w:ascii="Arial"/>
                <w:sz w:val="21"/>
              </w:rPr>
            </w:pPr>
          </w:p>
          <w:p>
            <w:pPr>
              <w:spacing w:line="304" w:lineRule="auto"/>
              <w:rPr>
                <w:rFonts w:ascii="Arial"/>
                <w:sz w:val="21"/>
              </w:rPr>
            </w:pPr>
          </w:p>
          <w:p>
            <w:pPr>
              <w:pStyle w:val="8"/>
              <w:spacing w:before="65" w:line="268" w:lineRule="exact"/>
              <w:ind w:left="142"/>
            </w:pPr>
            <w:r>
              <w:rPr>
                <w:spacing w:val="2"/>
                <w:position w:val="1"/>
              </w:rPr>
              <w:t>10952.47</w:t>
            </w:r>
          </w:p>
        </w:tc>
        <w:tc>
          <w:tcPr>
            <w:tcW w:w="1063" w:type="dxa"/>
            <w:vAlign w:val="top"/>
          </w:tcPr>
          <w:p>
            <w:pPr>
              <w:spacing w:line="303" w:lineRule="auto"/>
              <w:rPr>
                <w:rFonts w:ascii="Arial"/>
                <w:sz w:val="21"/>
              </w:rPr>
            </w:pPr>
          </w:p>
          <w:p>
            <w:pPr>
              <w:spacing w:line="304" w:lineRule="auto"/>
              <w:rPr>
                <w:rFonts w:ascii="Arial"/>
                <w:sz w:val="21"/>
              </w:rPr>
            </w:pPr>
          </w:p>
          <w:p>
            <w:pPr>
              <w:pStyle w:val="8"/>
              <w:spacing w:before="65" w:line="268" w:lineRule="exact"/>
              <w:ind w:left="132"/>
            </w:pPr>
            <w:r>
              <w:rPr>
                <w:spacing w:val="2"/>
                <w:position w:val="1"/>
              </w:rPr>
              <w:t>10952.47</w:t>
            </w:r>
          </w:p>
        </w:tc>
        <w:tc>
          <w:tcPr>
            <w:tcW w:w="898" w:type="dxa"/>
            <w:vAlign w:val="top"/>
          </w:tcPr>
          <w:p>
            <w:pPr>
              <w:spacing w:line="452" w:lineRule="auto"/>
              <w:rPr>
                <w:rFonts w:ascii="Arial"/>
                <w:sz w:val="21"/>
              </w:rPr>
            </w:pPr>
          </w:p>
          <w:p>
            <w:pPr>
              <w:pStyle w:val="8"/>
              <w:spacing w:before="65" w:line="289" w:lineRule="auto"/>
              <w:ind w:left="115" w:right="104" w:firstLine="2"/>
            </w:pPr>
            <w:r>
              <w:rPr>
                <w:spacing w:val="-8"/>
              </w:rPr>
              <w:t>一、基</w:t>
            </w:r>
            <w:r>
              <w:rPr>
                <w:spacing w:val="6"/>
              </w:rPr>
              <w:t>本支出</w:t>
            </w:r>
          </w:p>
        </w:tc>
        <w:tc>
          <w:tcPr>
            <w:tcW w:w="1083" w:type="dxa"/>
            <w:vAlign w:val="top"/>
          </w:tcPr>
          <w:p>
            <w:pPr>
              <w:spacing w:line="303" w:lineRule="auto"/>
              <w:rPr>
                <w:rFonts w:ascii="Arial"/>
                <w:sz w:val="21"/>
              </w:rPr>
            </w:pPr>
          </w:p>
          <w:p>
            <w:pPr>
              <w:spacing w:line="304" w:lineRule="auto"/>
              <w:rPr>
                <w:rFonts w:ascii="Arial"/>
                <w:sz w:val="21"/>
              </w:rPr>
            </w:pPr>
          </w:p>
          <w:p>
            <w:pPr>
              <w:pStyle w:val="8"/>
              <w:spacing w:before="65" w:line="268" w:lineRule="exact"/>
              <w:ind w:left="236"/>
            </w:pPr>
            <w:r>
              <w:rPr>
                <w:spacing w:val="2"/>
                <w:position w:val="1"/>
              </w:rPr>
              <w:t>567.56</w:t>
            </w:r>
          </w:p>
        </w:tc>
        <w:tc>
          <w:tcPr>
            <w:tcW w:w="1083" w:type="dxa"/>
            <w:vAlign w:val="top"/>
          </w:tcPr>
          <w:p>
            <w:pPr>
              <w:spacing w:line="303" w:lineRule="auto"/>
              <w:rPr>
                <w:rFonts w:ascii="Arial"/>
                <w:sz w:val="21"/>
              </w:rPr>
            </w:pPr>
          </w:p>
          <w:p>
            <w:pPr>
              <w:spacing w:line="304" w:lineRule="auto"/>
              <w:rPr>
                <w:rFonts w:ascii="Arial"/>
                <w:sz w:val="21"/>
              </w:rPr>
            </w:pPr>
          </w:p>
          <w:p>
            <w:pPr>
              <w:pStyle w:val="8"/>
              <w:spacing w:before="65" w:line="268" w:lineRule="exact"/>
              <w:ind w:left="235"/>
            </w:pPr>
            <w:r>
              <w:rPr>
                <w:spacing w:val="3"/>
                <w:position w:val="1"/>
              </w:rPr>
              <w:t>601.88</w:t>
            </w:r>
          </w:p>
        </w:tc>
        <w:tc>
          <w:tcPr>
            <w:tcW w:w="1067" w:type="dxa"/>
            <w:vAlign w:val="top"/>
          </w:tcPr>
          <w:p>
            <w:pPr>
              <w:spacing w:line="303" w:lineRule="auto"/>
              <w:rPr>
                <w:rFonts w:ascii="Arial"/>
                <w:sz w:val="21"/>
              </w:rPr>
            </w:pPr>
          </w:p>
          <w:p>
            <w:pPr>
              <w:spacing w:line="304" w:lineRule="auto"/>
              <w:rPr>
                <w:rFonts w:ascii="Arial"/>
                <w:sz w:val="21"/>
              </w:rPr>
            </w:pPr>
          </w:p>
          <w:p>
            <w:pPr>
              <w:pStyle w:val="8"/>
              <w:spacing w:before="65" w:line="268" w:lineRule="exact"/>
              <w:ind w:left="225"/>
            </w:pPr>
            <w:r>
              <w:rPr>
                <w:spacing w:val="3"/>
                <w:position w:val="1"/>
              </w:rPr>
              <w:t>601.88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4" w:hRule="atLeast"/>
        </w:trPr>
        <w:tc>
          <w:tcPr>
            <w:tcW w:w="946" w:type="dxa"/>
            <w:vAlign w:val="top"/>
          </w:tcPr>
          <w:p>
            <w:pPr>
              <w:pStyle w:val="8"/>
              <w:spacing w:before="53" w:line="229" w:lineRule="auto"/>
              <w:ind w:left="119"/>
            </w:pPr>
            <w:r>
              <w:rPr>
                <w:spacing w:val="5"/>
              </w:rPr>
              <w:t>二、政</w:t>
            </w:r>
          </w:p>
          <w:p>
            <w:pPr>
              <w:pStyle w:val="8"/>
              <w:spacing w:before="63" w:line="227" w:lineRule="auto"/>
              <w:ind w:left="115"/>
            </w:pPr>
            <w:r>
              <w:rPr>
                <w:spacing w:val="7"/>
              </w:rPr>
              <w:t>府性基</w:t>
            </w:r>
          </w:p>
          <w:p>
            <w:pPr>
              <w:pStyle w:val="8"/>
              <w:spacing w:before="65" w:line="228" w:lineRule="auto"/>
              <w:ind w:left="118"/>
            </w:pPr>
            <w:r>
              <w:rPr>
                <w:spacing w:val="6"/>
              </w:rPr>
              <w:t>金预算</w:t>
            </w:r>
          </w:p>
          <w:p>
            <w:pPr>
              <w:pStyle w:val="8"/>
              <w:spacing w:before="65" w:line="228" w:lineRule="auto"/>
              <w:ind w:left="117"/>
            </w:pPr>
            <w:r>
              <w:rPr>
                <w:spacing w:val="6"/>
              </w:rPr>
              <w:t>财政拨</w:t>
            </w:r>
          </w:p>
          <w:p>
            <w:pPr>
              <w:pStyle w:val="8"/>
              <w:spacing w:before="65" w:line="228" w:lineRule="auto"/>
              <w:ind w:left="117"/>
            </w:pPr>
            <w:r>
              <w:rPr>
                <w:spacing w:val="6"/>
              </w:rPr>
              <w:t>款收入</w:t>
            </w:r>
          </w:p>
        </w:tc>
        <w:tc>
          <w:tcPr>
            <w:tcW w:w="1083" w:type="dxa"/>
            <w:vAlign w:val="top"/>
          </w:tcPr>
          <w:p>
            <w:pPr>
              <w:spacing w:line="304" w:lineRule="auto"/>
              <w:rPr>
                <w:rFonts w:ascii="Arial"/>
                <w:sz w:val="21"/>
              </w:rPr>
            </w:pPr>
          </w:p>
          <w:p>
            <w:pPr>
              <w:spacing w:line="304" w:lineRule="auto"/>
              <w:rPr>
                <w:rFonts w:ascii="Arial"/>
                <w:sz w:val="21"/>
              </w:rPr>
            </w:pPr>
          </w:p>
          <w:p>
            <w:pPr>
              <w:pStyle w:val="8"/>
              <w:spacing w:before="65" w:line="268" w:lineRule="exact"/>
              <w:ind w:left="235"/>
            </w:pPr>
            <w:r>
              <w:rPr>
                <w:spacing w:val="2"/>
                <w:position w:val="1"/>
              </w:rPr>
              <w:t>5698.4</w:t>
            </w:r>
          </w:p>
        </w:tc>
        <w:tc>
          <w:tcPr>
            <w:tcW w:w="1083" w:type="dxa"/>
            <w:vAlign w:val="top"/>
          </w:tcPr>
          <w:p>
            <w:pPr>
              <w:spacing w:line="304" w:lineRule="auto"/>
              <w:rPr>
                <w:rFonts w:ascii="Arial"/>
                <w:sz w:val="21"/>
              </w:rPr>
            </w:pPr>
          </w:p>
          <w:p>
            <w:pPr>
              <w:spacing w:line="304" w:lineRule="auto"/>
              <w:rPr>
                <w:rFonts w:ascii="Arial"/>
                <w:sz w:val="21"/>
              </w:rPr>
            </w:pPr>
          </w:p>
          <w:p>
            <w:pPr>
              <w:pStyle w:val="8"/>
              <w:spacing w:before="65" w:line="268" w:lineRule="exact"/>
              <w:ind w:left="181"/>
            </w:pPr>
            <w:r>
              <w:rPr>
                <w:spacing w:val="3"/>
                <w:position w:val="1"/>
              </w:rPr>
              <w:t>5632.66</w:t>
            </w:r>
          </w:p>
        </w:tc>
        <w:tc>
          <w:tcPr>
            <w:tcW w:w="1063" w:type="dxa"/>
            <w:vAlign w:val="top"/>
          </w:tcPr>
          <w:p>
            <w:pPr>
              <w:spacing w:line="304" w:lineRule="auto"/>
              <w:rPr>
                <w:rFonts w:ascii="Arial"/>
                <w:sz w:val="21"/>
              </w:rPr>
            </w:pPr>
          </w:p>
          <w:p>
            <w:pPr>
              <w:spacing w:line="304" w:lineRule="auto"/>
              <w:rPr>
                <w:rFonts w:ascii="Arial"/>
                <w:sz w:val="21"/>
              </w:rPr>
            </w:pPr>
          </w:p>
          <w:p>
            <w:pPr>
              <w:pStyle w:val="8"/>
              <w:spacing w:before="65" w:line="268" w:lineRule="exact"/>
              <w:ind w:left="174"/>
            </w:pPr>
            <w:r>
              <w:rPr>
                <w:spacing w:val="3"/>
                <w:position w:val="1"/>
              </w:rPr>
              <w:t>5632.66</w:t>
            </w:r>
          </w:p>
        </w:tc>
        <w:tc>
          <w:tcPr>
            <w:tcW w:w="898" w:type="dxa"/>
            <w:vAlign w:val="top"/>
          </w:tcPr>
          <w:p>
            <w:pPr>
              <w:spacing w:line="452" w:lineRule="auto"/>
              <w:rPr>
                <w:rFonts w:ascii="Arial"/>
                <w:sz w:val="21"/>
              </w:rPr>
            </w:pPr>
          </w:p>
          <w:p>
            <w:pPr>
              <w:pStyle w:val="8"/>
              <w:spacing w:before="65" w:line="290" w:lineRule="auto"/>
              <w:ind w:left="361" w:right="133" w:hanging="221"/>
            </w:pPr>
            <w:r>
              <w:rPr>
                <w:spacing w:val="6"/>
              </w:rPr>
              <w:t>人员经</w:t>
            </w:r>
            <w:r>
              <w:t>费</w:t>
            </w:r>
          </w:p>
        </w:tc>
        <w:tc>
          <w:tcPr>
            <w:tcW w:w="1083" w:type="dxa"/>
            <w:vAlign w:val="top"/>
          </w:tcPr>
          <w:p>
            <w:pPr>
              <w:spacing w:line="304" w:lineRule="auto"/>
              <w:rPr>
                <w:rFonts w:ascii="Arial"/>
                <w:sz w:val="21"/>
              </w:rPr>
            </w:pPr>
          </w:p>
          <w:p>
            <w:pPr>
              <w:spacing w:line="304" w:lineRule="auto"/>
              <w:rPr>
                <w:rFonts w:ascii="Arial"/>
                <w:sz w:val="21"/>
              </w:rPr>
            </w:pPr>
          </w:p>
          <w:p>
            <w:pPr>
              <w:pStyle w:val="8"/>
              <w:spacing w:before="65" w:line="268" w:lineRule="exact"/>
              <w:ind w:left="236"/>
            </w:pPr>
            <w:r>
              <w:rPr>
                <w:spacing w:val="2"/>
                <w:position w:val="1"/>
              </w:rPr>
              <w:t>516.59</w:t>
            </w:r>
          </w:p>
        </w:tc>
        <w:tc>
          <w:tcPr>
            <w:tcW w:w="1083" w:type="dxa"/>
            <w:vAlign w:val="top"/>
          </w:tcPr>
          <w:p>
            <w:pPr>
              <w:spacing w:line="304" w:lineRule="auto"/>
              <w:rPr>
                <w:rFonts w:ascii="Arial"/>
                <w:sz w:val="21"/>
              </w:rPr>
            </w:pPr>
          </w:p>
          <w:p>
            <w:pPr>
              <w:spacing w:line="304" w:lineRule="auto"/>
              <w:rPr>
                <w:rFonts w:ascii="Arial"/>
                <w:sz w:val="21"/>
              </w:rPr>
            </w:pPr>
          </w:p>
          <w:p>
            <w:pPr>
              <w:pStyle w:val="8"/>
              <w:spacing w:before="65" w:line="268" w:lineRule="exact"/>
              <w:ind w:left="238"/>
            </w:pPr>
            <w:r>
              <w:rPr>
                <w:spacing w:val="2"/>
                <w:position w:val="1"/>
              </w:rPr>
              <w:t>550.95</w:t>
            </w:r>
          </w:p>
        </w:tc>
        <w:tc>
          <w:tcPr>
            <w:tcW w:w="1067" w:type="dxa"/>
            <w:vAlign w:val="top"/>
          </w:tcPr>
          <w:p>
            <w:pPr>
              <w:spacing w:line="304" w:lineRule="auto"/>
              <w:rPr>
                <w:rFonts w:ascii="Arial"/>
                <w:sz w:val="21"/>
              </w:rPr>
            </w:pPr>
          </w:p>
          <w:p>
            <w:pPr>
              <w:spacing w:line="304" w:lineRule="auto"/>
              <w:rPr>
                <w:rFonts w:ascii="Arial"/>
                <w:sz w:val="21"/>
              </w:rPr>
            </w:pPr>
          </w:p>
          <w:p>
            <w:pPr>
              <w:pStyle w:val="8"/>
              <w:spacing w:before="65" w:line="268" w:lineRule="exact"/>
              <w:ind w:left="227"/>
            </w:pPr>
            <w:r>
              <w:rPr>
                <w:spacing w:val="2"/>
                <w:position w:val="1"/>
              </w:rPr>
              <w:t>550.95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76" w:hRule="atLeast"/>
        </w:trPr>
        <w:tc>
          <w:tcPr>
            <w:tcW w:w="946" w:type="dxa"/>
            <w:vAlign w:val="top"/>
          </w:tcPr>
          <w:p>
            <w:pPr>
              <w:pStyle w:val="8"/>
              <w:spacing w:before="53" w:line="231" w:lineRule="auto"/>
              <w:ind w:left="116"/>
            </w:pPr>
            <w:r>
              <w:rPr>
                <w:spacing w:val="-7"/>
              </w:rPr>
              <w:t>三、国</w:t>
            </w:r>
          </w:p>
          <w:p>
            <w:pPr>
              <w:pStyle w:val="8"/>
              <w:spacing w:before="62" w:line="227" w:lineRule="auto"/>
              <w:ind w:left="117"/>
            </w:pPr>
            <w:r>
              <w:rPr>
                <w:spacing w:val="38"/>
              </w:rPr>
              <w:t>有资本</w:t>
            </w:r>
          </w:p>
          <w:p>
            <w:pPr>
              <w:pStyle w:val="8"/>
              <w:spacing w:before="66" w:line="228" w:lineRule="auto"/>
              <w:ind w:left="118"/>
            </w:pPr>
            <w:r>
              <w:rPr>
                <w:spacing w:val="38"/>
              </w:rPr>
              <w:t>经营预</w:t>
            </w:r>
          </w:p>
          <w:p>
            <w:pPr>
              <w:pStyle w:val="8"/>
              <w:spacing w:before="64" w:line="228" w:lineRule="auto"/>
              <w:ind w:left="118"/>
            </w:pPr>
            <w:r>
              <w:rPr>
                <w:spacing w:val="38"/>
              </w:rPr>
              <w:t>算财政</w:t>
            </w:r>
          </w:p>
          <w:p>
            <w:pPr>
              <w:pStyle w:val="8"/>
              <w:spacing w:before="66" w:line="260" w:lineRule="auto"/>
              <w:ind w:left="115" w:right="107" w:firstLine="2"/>
            </w:pPr>
            <w:r>
              <w:rPr>
                <w:spacing w:val="38"/>
              </w:rPr>
              <w:t>拨款收</w:t>
            </w:r>
            <w:r>
              <w:rPr>
                <w:spacing w:val="1"/>
              </w:rPr>
              <w:t>入</w:t>
            </w:r>
          </w:p>
        </w:tc>
        <w:tc>
          <w:tcPr>
            <w:tcW w:w="1083" w:type="dxa"/>
            <w:vAlign w:val="top"/>
          </w:tcPr>
          <w:p>
            <w:pPr>
              <w:rPr>
                <w:rFonts w:ascii="Arial"/>
                <w:sz w:val="21"/>
              </w:rPr>
            </w:pPr>
          </w:p>
        </w:tc>
        <w:tc>
          <w:tcPr>
            <w:tcW w:w="1083" w:type="dxa"/>
            <w:vAlign w:val="top"/>
          </w:tcPr>
          <w:p>
            <w:pPr>
              <w:rPr>
                <w:rFonts w:ascii="Arial"/>
                <w:sz w:val="21"/>
              </w:rPr>
            </w:pPr>
          </w:p>
        </w:tc>
        <w:tc>
          <w:tcPr>
            <w:tcW w:w="1063" w:type="dxa"/>
            <w:vAlign w:val="top"/>
          </w:tcPr>
          <w:p>
            <w:pPr>
              <w:rPr>
                <w:rFonts w:ascii="Arial"/>
                <w:sz w:val="21"/>
              </w:rPr>
            </w:pPr>
          </w:p>
        </w:tc>
        <w:tc>
          <w:tcPr>
            <w:tcW w:w="898" w:type="dxa"/>
            <w:vAlign w:val="top"/>
          </w:tcPr>
          <w:p>
            <w:pPr>
              <w:spacing w:line="304" w:lineRule="auto"/>
              <w:rPr>
                <w:rFonts w:ascii="Arial"/>
                <w:sz w:val="21"/>
              </w:rPr>
            </w:pPr>
          </w:p>
          <w:p>
            <w:pPr>
              <w:spacing w:line="304" w:lineRule="auto"/>
              <w:rPr>
                <w:rFonts w:ascii="Arial"/>
                <w:sz w:val="21"/>
              </w:rPr>
            </w:pPr>
          </w:p>
          <w:p>
            <w:pPr>
              <w:pStyle w:val="8"/>
              <w:spacing w:before="65" w:line="290" w:lineRule="auto"/>
              <w:ind w:left="361" w:right="133" w:hanging="216"/>
            </w:pPr>
            <w:r>
              <w:rPr>
                <w:spacing w:val="4"/>
              </w:rPr>
              <w:t>公用经</w:t>
            </w:r>
            <w:r>
              <w:t>费</w:t>
            </w:r>
          </w:p>
        </w:tc>
        <w:tc>
          <w:tcPr>
            <w:tcW w:w="1083" w:type="dxa"/>
            <w:vAlign w:val="top"/>
          </w:tcPr>
          <w:p>
            <w:pPr>
              <w:spacing w:line="254" w:lineRule="auto"/>
              <w:rPr>
                <w:rFonts w:ascii="Arial"/>
                <w:sz w:val="21"/>
              </w:rPr>
            </w:pPr>
          </w:p>
          <w:p>
            <w:pPr>
              <w:spacing w:line="255" w:lineRule="auto"/>
              <w:rPr>
                <w:rFonts w:ascii="Arial"/>
                <w:sz w:val="21"/>
              </w:rPr>
            </w:pPr>
          </w:p>
          <w:p>
            <w:pPr>
              <w:spacing w:line="255" w:lineRule="auto"/>
              <w:rPr>
                <w:rFonts w:ascii="Arial"/>
                <w:sz w:val="21"/>
              </w:rPr>
            </w:pPr>
          </w:p>
          <w:p>
            <w:pPr>
              <w:pStyle w:val="8"/>
              <w:spacing w:before="65" w:line="267" w:lineRule="exact"/>
              <w:ind w:left="289"/>
            </w:pPr>
            <w:r>
              <w:rPr>
                <w:spacing w:val="2"/>
                <w:position w:val="1"/>
              </w:rPr>
              <w:t>50.97</w:t>
            </w:r>
          </w:p>
        </w:tc>
        <w:tc>
          <w:tcPr>
            <w:tcW w:w="1083" w:type="dxa"/>
            <w:vAlign w:val="top"/>
          </w:tcPr>
          <w:p>
            <w:pPr>
              <w:spacing w:line="254" w:lineRule="auto"/>
              <w:rPr>
                <w:rFonts w:ascii="Arial"/>
                <w:sz w:val="21"/>
              </w:rPr>
            </w:pPr>
          </w:p>
          <w:p>
            <w:pPr>
              <w:spacing w:line="255" w:lineRule="auto"/>
              <w:rPr>
                <w:rFonts w:ascii="Arial"/>
                <w:sz w:val="21"/>
              </w:rPr>
            </w:pPr>
          </w:p>
          <w:p>
            <w:pPr>
              <w:spacing w:line="255" w:lineRule="auto"/>
              <w:rPr>
                <w:rFonts w:ascii="Arial"/>
                <w:sz w:val="21"/>
              </w:rPr>
            </w:pPr>
          </w:p>
          <w:p>
            <w:pPr>
              <w:pStyle w:val="8"/>
              <w:spacing w:before="65" w:line="267" w:lineRule="exact"/>
              <w:ind w:left="290"/>
            </w:pPr>
            <w:r>
              <w:rPr>
                <w:spacing w:val="2"/>
                <w:position w:val="1"/>
              </w:rPr>
              <w:t>50.93</w:t>
            </w:r>
          </w:p>
        </w:tc>
        <w:tc>
          <w:tcPr>
            <w:tcW w:w="1067" w:type="dxa"/>
            <w:vAlign w:val="top"/>
          </w:tcPr>
          <w:p>
            <w:pPr>
              <w:spacing w:line="254" w:lineRule="auto"/>
              <w:rPr>
                <w:rFonts w:ascii="Arial"/>
                <w:sz w:val="21"/>
              </w:rPr>
            </w:pPr>
          </w:p>
          <w:p>
            <w:pPr>
              <w:spacing w:line="255" w:lineRule="auto"/>
              <w:rPr>
                <w:rFonts w:ascii="Arial"/>
                <w:sz w:val="21"/>
              </w:rPr>
            </w:pPr>
          </w:p>
          <w:p>
            <w:pPr>
              <w:spacing w:line="255" w:lineRule="auto"/>
              <w:rPr>
                <w:rFonts w:ascii="Arial"/>
                <w:sz w:val="21"/>
              </w:rPr>
            </w:pPr>
          </w:p>
          <w:p>
            <w:pPr>
              <w:pStyle w:val="8"/>
              <w:spacing w:before="65" w:line="267" w:lineRule="exact"/>
              <w:ind w:left="280"/>
            </w:pPr>
            <w:r>
              <w:rPr>
                <w:spacing w:val="2"/>
                <w:position w:val="1"/>
              </w:rPr>
              <w:t>50.93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1" w:hRule="atLeast"/>
        </w:trPr>
        <w:tc>
          <w:tcPr>
            <w:tcW w:w="946" w:type="dxa"/>
            <w:vAlign w:val="top"/>
          </w:tcPr>
          <w:p>
            <w:pPr>
              <w:pStyle w:val="8"/>
              <w:spacing w:before="53" w:line="231" w:lineRule="auto"/>
              <w:ind w:left="135"/>
            </w:pPr>
            <w:r>
              <w:rPr>
                <w:spacing w:val="-13"/>
              </w:rPr>
              <w:t>四、上</w:t>
            </w:r>
          </w:p>
          <w:p>
            <w:pPr>
              <w:pStyle w:val="8"/>
              <w:spacing w:before="61" w:line="261" w:lineRule="auto"/>
              <w:ind w:left="122" w:right="107" w:hanging="3"/>
            </w:pPr>
            <w:r>
              <w:rPr>
                <w:spacing w:val="37"/>
              </w:rPr>
              <w:t>级补助</w:t>
            </w:r>
            <w:r>
              <w:rPr>
                <w:spacing w:val="1"/>
              </w:rPr>
              <w:t>收入</w:t>
            </w:r>
          </w:p>
        </w:tc>
        <w:tc>
          <w:tcPr>
            <w:tcW w:w="1083" w:type="dxa"/>
            <w:vAlign w:val="top"/>
          </w:tcPr>
          <w:p>
            <w:pPr>
              <w:rPr>
                <w:rFonts w:ascii="Arial"/>
                <w:sz w:val="21"/>
              </w:rPr>
            </w:pPr>
          </w:p>
        </w:tc>
        <w:tc>
          <w:tcPr>
            <w:tcW w:w="1083" w:type="dxa"/>
            <w:vAlign w:val="top"/>
          </w:tcPr>
          <w:p>
            <w:pPr>
              <w:rPr>
                <w:rFonts w:ascii="Arial"/>
                <w:sz w:val="21"/>
              </w:rPr>
            </w:pPr>
          </w:p>
        </w:tc>
        <w:tc>
          <w:tcPr>
            <w:tcW w:w="1063" w:type="dxa"/>
            <w:vAlign w:val="top"/>
          </w:tcPr>
          <w:p>
            <w:pPr>
              <w:rPr>
                <w:rFonts w:ascii="Arial"/>
                <w:sz w:val="21"/>
              </w:rPr>
            </w:pPr>
          </w:p>
        </w:tc>
        <w:tc>
          <w:tcPr>
            <w:tcW w:w="898" w:type="dxa"/>
            <w:vAlign w:val="top"/>
          </w:tcPr>
          <w:p>
            <w:pPr>
              <w:pStyle w:val="8"/>
              <w:spacing w:before="209" w:line="290" w:lineRule="auto"/>
              <w:ind w:left="154" w:right="157" w:hanging="36"/>
            </w:pPr>
            <w:r>
              <w:rPr>
                <w:spacing w:val="5"/>
              </w:rPr>
              <w:t>二、项</w:t>
            </w:r>
            <w:r>
              <w:rPr>
                <w:spacing w:val="-7"/>
              </w:rPr>
              <w:t>目支出</w:t>
            </w:r>
          </w:p>
        </w:tc>
        <w:tc>
          <w:tcPr>
            <w:tcW w:w="1083" w:type="dxa"/>
            <w:vAlign w:val="top"/>
          </w:tcPr>
          <w:p>
            <w:pPr>
              <w:spacing w:line="299" w:lineRule="auto"/>
              <w:rPr>
                <w:rFonts w:ascii="Arial"/>
                <w:sz w:val="21"/>
              </w:rPr>
            </w:pPr>
          </w:p>
          <w:p>
            <w:pPr>
              <w:pStyle w:val="8"/>
              <w:spacing w:before="65" w:line="268" w:lineRule="exact"/>
              <w:ind w:left="144"/>
            </w:pPr>
            <w:r>
              <w:rPr>
                <w:spacing w:val="1"/>
                <w:position w:val="1"/>
              </w:rPr>
              <w:t>16333.36</w:t>
            </w:r>
          </w:p>
        </w:tc>
        <w:tc>
          <w:tcPr>
            <w:tcW w:w="1083" w:type="dxa"/>
            <w:vAlign w:val="top"/>
          </w:tcPr>
          <w:p>
            <w:pPr>
              <w:spacing w:line="299" w:lineRule="auto"/>
              <w:rPr>
                <w:rFonts w:ascii="Arial"/>
                <w:sz w:val="21"/>
              </w:rPr>
            </w:pPr>
          </w:p>
          <w:p>
            <w:pPr>
              <w:pStyle w:val="8"/>
              <w:spacing w:before="65" w:line="268" w:lineRule="exact"/>
              <w:ind w:left="143"/>
            </w:pPr>
            <w:r>
              <w:rPr>
                <w:spacing w:val="2"/>
                <w:position w:val="1"/>
              </w:rPr>
              <w:t>16518.97</w:t>
            </w:r>
          </w:p>
        </w:tc>
        <w:tc>
          <w:tcPr>
            <w:tcW w:w="1067" w:type="dxa"/>
            <w:vAlign w:val="top"/>
          </w:tcPr>
          <w:p>
            <w:pPr>
              <w:spacing w:line="299" w:lineRule="auto"/>
              <w:rPr>
                <w:rFonts w:ascii="Arial"/>
                <w:sz w:val="21"/>
              </w:rPr>
            </w:pPr>
          </w:p>
          <w:p>
            <w:pPr>
              <w:pStyle w:val="8"/>
              <w:spacing w:before="65" w:line="268" w:lineRule="exact"/>
              <w:ind w:left="133"/>
            </w:pPr>
            <w:r>
              <w:rPr>
                <w:spacing w:val="2"/>
                <w:position w:val="1"/>
              </w:rPr>
              <w:t>16518.97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52" w:hRule="atLeast"/>
        </w:trPr>
        <w:tc>
          <w:tcPr>
            <w:tcW w:w="946" w:type="dxa"/>
            <w:vAlign w:val="top"/>
          </w:tcPr>
          <w:p>
            <w:pPr>
              <w:spacing w:line="302" w:lineRule="auto"/>
              <w:rPr>
                <w:rFonts w:ascii="Arial"/>
                <w:sz w:val="21"/>
              </w:rPr>
            </w:pPr>
          </w:p>
          <w:p>
            <w:pPr>
              <w:pStyle w:val="8"/>
              <w:spacing w:before="65" w:line="289" w:lineRule="auto"/>
              <w:ind w:left="115" w:right="107" w:firstLine="4"/>
            </w:pPr>
            <w:r>
              <w:rPr>
                <w:spacing w:val="-8"/>
              </w:rPr>
              <w:t>五、事</w:t>
            </w:r>
            <w:r>
              <w:rPr>
                <w:spacing w:val="7"/>
              </w:rPr>
              <w:t>业收入</w:t>
            </w:r>
          </w:p>
        </w:tc>
        <w:tc>
          <w:tcPr>
            <w:tcW w:w="1083" w:type="dxa"/>
            <w:vAlign w:val="top"/>
          </w:tcPr>
          <w:p>
            <w:pPr>
              <w:rPr>
                <w:rFonts w:ascii="Arial"/>
                <w:sz w:val="21"/>
              </w:rPr>
            </w:pPr>
          </w:p>
        </w:tc>
        <w:tc>
          <w:tcPr>
            <w:tcW w:w="1083" w:type="dxa"/>
            <w:vAlign w:val="top"/>
          </w:tcPr>
          <w:p>
            <w:pPr>
              <w:rPr>
                <w:rFonts w:ascii="Arial"/>
                <w:sz w:val="21"/>
              </w:rPr>
            </w:pPr>
          </w:p>
        </w:tc>
        <w:tc>
          <w:tcPr>
            <w:tcW w:w="1063" w:type="dxa"/>
            <w:vAlign w:val="top"/>
          </w:tcPr>
          <w:p>
            <w:pPr>
              <w:rPr>
                <w:rFonts w:ascii="Arial"/>
                <w:sz w:val="21"/>
              </w:rPr>
            </w:pPr>
          </w:p>
        </w:tc>
        <w:tc>
          <w:tcPr>
            <w:tcW w:w="898" w:type="dxa"/>
            <w:vAlign w:val="top"/>
          </w:tcPr>
          <w:p>
            <w:pPr>
              <w:pStyle w:val="8"/>
              <w:spacing w:before="56" w:line="288" w:lineRule="auto"/>
              <w:ind w:left="138" w:right="133"/>
            </w:pPr>
            <w:r>
              <w:rPr>
                <w:spacing w:val="2"/>
              </w:rPr>
              <w:t>其中：</w:t>
            </w:r>
            <w:r>
              <w:rPr>
                <w:spacing w:val="6"/>
              </w:rPr>
              <w:t>基本建</w:t>
            </w:r>
          </w:p>
          <w:p>
            <w:pPr>
              <w:pStyle w:val="8"/>
              <w:spacing w:line="259" w:lineRule="auto"/>
              <w:ind w:left="389" w:right="133" w:hanging="247"/>
            </w:pPr>
            <w:r>
              <w:rPr>
                <w:spacing w:val="5"/>
              </w:rPr>
              <w:t>设类项</w:t>
            </w:r>
            <w:r>
              <w:t>目</w:t>
            </w:r>
          </w:p>
        </w:tc>
        <w:tc>
          <w:tcPr>
            <w:tcW w:w="1083" w:type="dxa"/>
            <w:vAlign w:val="top"/>
          </w:tcPr>
          <w:p>
            <w:pPr>
              <w:spacing w:line="456" w:lineRule="auto"/>
              <w:rPr>
                <w:rFonts w:ascii="Arial"/>
                <w:sz w:val="21"/>
              </w:rPr>
            </w:pPr>
          </w:p>
          <w:p>
            <w:pPr>
              <w:pStyle w:val="8"/>
              <w:spacing w:before="65" w:line="269" w:lineRule="exact"/>
              <w:ind w:left="389"/>
            </w:pPr>
            <w:r>
              <w:rPr>
                <w:spacing w:val="2"/>
                <w:position w:val="1"/>
              </w:rPr>
              <w:t>483</w:t>
            </w:r>
          </w:p>
        </w:tc>
        <w:tc>
          <w:tcPr>
            <w:tcW w:w="1083" w:type="dxa"/>
            <w:vAlign w:val="top"/>
          </w:tcPr>
          <w:p>
            <w:pPr>
              <w:spacing w:line="456" w:lineRule="auto"/>
              <w:rPr>
                <w:rFonts w:ascii="Arial"/>
                <w:sz w:val="21"/>
              </w:rPr>
            </w:pPr>
          </w:p>
          <w:p>
            <w:pPr>
              <w:pStyle w:val="8"/>
              <w:spacing w:before="65" w:line="268" w:lineRule="exact"/>
              <w:ind w:left="290"/>
            </w:pPr>
            <w:r>
              <w:rPr>
                <w:spacing w:val="2"/>
                <w:position w:val="1"/>
              </w:rPr>
              <w:t>302.3</w:t>
            </w:r>
          </w:p>
        </w:tc>
        <w:tc>
          <w:tcPr>
            <w:tcW w:w="1067" w:type="dxa"/>
            <w:vAlign w:val="top"/>
          </w:tcPr>
          <w:p>
            <w:pPr>
              <w:spacing w:line="456" w:lineRule="auto"/>
              <w:rPr>
                <w:rFonts w:ascii="Arial"/>
                <w:sz w:val="21"/>
              </w:rPr>
            </w:pPr>
          </w:p>
          <w:p>
            <w:pPr>
              <w:pStyle w:val="8"/>
              <w:spacing w:before="65" w:line="268" w:lineRule="exact"/>
              <w:ind w:left="280"/>
            </w:pPr>
            <w:r>
              <w:rPr>
                <w:spacing w:val="2"/>
                <w:position w:val="1"/>
              </w:rPr>
              <w:t>302.3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1" w:hRule="atLeast"/>
        </w:trPr>
        <w:tc>
          <w:tcPr>
            <w:tcW w:w="946" w:type="dxa"/>
            <w:vAlign w:val="top"/>
          </w:tcPr>
          <w:p>
            <w:pPr>
              <w:pStyle w:val="8"/>
              <w:spacing w:before="213" w:line="289" w:lineRule="auto"/>
              <w:ind w:left="122" w:right="203" w:hanging="4"/>
            </w:pPr>
            <w:r>
              <w:rPr>
                <w:spacing w:val="6"/>
              </w:rPr>
              <w:t>六、经</w:t>
            </w:r>
            <w:r>
              <w:rPr>
                <w:spacing w:val="4"/>
              </w:rPr>
              <w:t>营收入</w:t>
            </w:r>
          </w:p>
        </w:tc>
        <w:tc>
          <w:tcPr>
            <w:tcW w:w="1083" w:type="dxa"/>
            <w:vAlign w:val="top"/>
          </w:tcPr>
          <w:p>
            <w:pPr>
              <w:rPr>
                <w:rFonts w:ascii="Arial"/>
                <w:sz w:val="21"/>
              </w:rPr>
            </w:pPr>
          </w:p>
        </w:tc>
        <w:tc>
          <w:tcPr>
            <w:tcW w:w="1083" w:type="dxa"/>
            <w:vAlign w:val="top"/>
          </w:tcPr>
          <w:p>
            <w:pPr>
              <w:rPr>
                <w:rFonts w:ascii="Arial"/>
                <w:sz w:val="21"/>
              </w:rPr>
            </w:pPr>
          </w:p>
        </w:tc>
        <w:tc>
          <w:tcPr>
            <w:tcW w:w="1063" w:type="dxa"/>
            <w:vAlign w:val="top"/>
          </w:tcPr>
          <w:p>
            <w:pPr>
              <w:rPr>
                <w:rFonts w:ascii="Arial"/>
                <w:sz w:val="21"/>
              </w:rPr>
            </w:pPr>
          </w:p>
        </w:tc>
        <w:tc>
          <w:tcPr>
            <w:tcW w:w="898" w:type="dxa"/>
            <w:vAlign w:val="top"/>
          </w:tcPr>
          <w:p>
            <w:pPr>
              <w:pStyle w:val="8"/>
              <w:spacing w:before="56" w:line="241" w:lineRule="auto"/>
              <w:ind w:left="114"/>
            </w:pPr>
            <w:r>
              <w:rPr>
                <w:spacing w:val="7"/>
              </w:rPr>
              <w:t>三、上</w:t>
            </w:r>
          </w:p>
          <w:p>
            <w:pPr>
              <w:pStyle w:val="8"/>
              <w:spacing w:before="52" w:line="259" w:lineRule="auto"/>
              <w:ind w:left="115" w:right="157" w:hanging="2"/>
            </w:pPr>
            <w:r>
              <w:rPr>
                <w:spacing w:val="7"/>
              </w:rPr>
              <w:t>缴上级</w:t>
            </w:r>
            <w:r>
              <w:rPr>
                <w:spacing w:val="4"/>
              </w:rPr>
              <w:t>支出</w:t>
            </w:r>
          </w:p>
        </w:tc>
        <w:tc>
          <w:tcPr>
            <w:tcW w:w="1083" w:type="dxa"/>
            <w:vAlign w:val="top"/>
          </w:tcPr>
          <w:p>
            <w:pPr>
              <w:rPr>
                <w:rFonts w:ascii="Arial"/>
                <w:sz w:val="21"/>
              </w:rPr>
            </w:pPr>
          </w:p>
        </w:tc>
        <w:tc>
          <w:tcPr>
            <w:tcW w:w="1083" w:type="dxa"/>
            <w:vAlign w:val="top"/>
          </w:tcPr>
          <w:p>
            <w:pPr>
              <w:rPr>
                <w:rFonts w:ascii="Arial"/>
                <w:sz w:val="21"/>
              </w:rPr>
            </w:pPr>
          </w:p>
        </w:tc>
        <w:tc>
          <w:tcPr>
            <w:tcW w:w="10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52" w:hRule="atLeast"/>
        </w:trPr>
        <w:tc>
          <w:tcPr>
            <w:tcW w:w="946" w:type="dxa"/>
            <w:vAlign w:val="top"/>
          </w:tcPr>
          <w:p>
            <w:pPr>
              <w:pStyle w:val="8"/>
              <w:spacing w:before="56" w:line="227" w:lineRule="auto"/>
              <w:ind w:left="115"/>
            </w:pPr>
            <w:r>
              <w:rPr>
                <w:spacing w:val="12"/>
              </w:rPr>
              <w:t>七、附</w:t>
            </w:r>
          </w:p>
          <w:p>
            <w:pPr>
              <w:pStyle w:val="8"/>
              <w:spacing w:before="66" w:line="228" w:lineRule="auto"/>
              <w:ind w:left="118"/>
            </w:pPr>
            <w:r>
              <w:rPr>
                <w:spacing w:val="6"/>
              </w:rPr>
              <w:t>属单位</w:t>
            </w:r>
          </w:p>
          <w:p>
            <w:pPr>
              <w:pStyle w:val="8"/>
              <w:spacing w:before="64" w:line="259" w:lineRule="auto"/>
              <w:ind w:left="115" w:right="203" w:firstLine="2"/>
            </w:pPr>
            <w:r>
              <w:rPr>
                <w:spacing w:val="6"/>
              </w:rPr>
              <w:t>上缴收</w:t>
            </w:r>
            <w:r>
              <w:rPr>
                <w:spacing w:val="1"/>
              </w:rPr>
              <w:t>入</w:t>
            </w:r>
          </w:p>
        </w:tc>
        <w:tc>
          <w:tcPr>
            <w:tcW w:w="1083" w:type="dxa"/>
            <w:vAlign w:val="top"/>
          </w:tcPr>
          <w:p>
            <w:pPr>
              <w:rPr>
                <w:rFonts w:ascii="Arial"/>
                <w:sz w:val="21"/>
              </w:rPr>
            </w:pPr>
          </w:p>
        </w:tc>
        <w:tc>
          <w:tcPr>
            <w:tcW w:w="1083" w:type="dxa"/>
            <w:vAlign w:val="top"/>
          </w:tcPr>
          <w:p>
            <w:pPr>
              <w:rPr>
                <w:rFonts w:ascii="Arial"/>
                <w:sz w:val="21"/>
              </w:rPr>
            </w:pPr>
          </w:p>
        </w:tc>
        <w:tc>
          <w:tcPr>
            <w:tcW w:w="1063" w:type="dxa"/>
            <w:vAlign w:val="top"/>
          </w:tcPr>
          <w:p>
            <w:pPr>
              <w:rPr>
                <w:rFonts w:ascii="Arial"/>
                <w:sz w:val="21"/>
              </w:rPr>
            </w:pPr>
          </w:p>
        </w:tc>
        <w:tc>
          <w:tcPr>
            <w:tcW w:w="898" w:type="dxa"/>
            <w:vAlign w:val="top"/>
          </w:tcPr>
          <w:p>
            <w:pPr>
              <w:spacing w:line="301" w:lineRule="auto"/>
              <w:rPr>
                <w:rFonts w:ascii="Arial"/>
                <w:sz w:val="21"/>
              </w:rPr>
            </w:pPr>
          </w:p>
          <w:p>
            <w:pPr>
              <w:pStyle w:val="8"/>
              <w:spacing w:before="65" w:line="290" w:lineRule="auto"/>
              <w:ind w:left="121" w:right="157" w:firstLine="13"/>
            </w:pPr>
            <w:r>
              <w:t>四、经</w:t>
            </w:r>
            <w:r>
              <w:rPr>
                <w:spacing w:val="4"/>
              </w:rPr>
              <w:t>营支出</w:t>
            </w:r>
          </w:p>
        </w:tc>
        <w:tc>
          <w:tcPr>
            <w:tcW w:w="1083" w:type="dxa"/>
            <w:vAlign w:val="top"/>
          </w:tcPr>
          <w:p>
            <w:pPr>
              <w:rPr>
                <w:rFonts w:ascii="Arial"/>
                <w:sz w:val="21"/>
              </w:rPr>
            </w:pPr>
          </w:p>
        </w:tc>
        <w:tc>
          <w:tcPr>
            <w:tcW w:w="1083" w:type="dxa"/>
            <w:vAlign w:val="top"/>
          </w:tcPr>
          <w:p>
            <w:pPr>
              <w:rPr>
                <w:rFonts w:ascii="Arial"/>
                <w:sz w:val="21"/>
              </w:rPr>
            </w:pPr>
          </w:p>
        </w:tc>
        <w:tc>
          <w:tcPr>
            <w:tcW w:w="10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2" w:hRule="atLeast"/>
        </w:trPr>
        <w:tc>
          <w:tcPr>
            <w:tcW w:w="946" w:type="dxa"/>
            <w:vAlign w:val="top"/>
          </w:tcPr>
          <w:p>
            <w:pPr>
              <w:pStyle w:val="8"/>
              <w:spacing w:before="57" w:line="228" w:lineRule="auto"/>
              <w:ind w:left="119"/>
            </w:pPr>
            <w:r>
              <w:rPr>
                <w:spacing w:val="5"/>
              </w:rPr>
              <w:t>八、其</w:t>
            </w:r>
          </w:p>
          <w:p>
            <w:pPr>
              <w:pStyle w:val="8"/>
              <w:spacing w:before="64" w:line="228" w:lineRule="auto"/>
              <w:ind w:left="116"/>
            </w:pPr>
            <w:r>
              <w:rPr>
                <w:spacing w:val="6"/>
              </w:rPr>
              <w:t>他收入</w:t>
            </w:r>
          </w:p>
        </w:tc>
        <w:tc>
          <w:tcPr>
            <w:tcW w:w="1083" w:type="dxa"/>
            <w:vAlign w:val="top"/>
          </w:tcPr>
          <w:p>
            <w:pPr>
              <w:pStyle w:val="8"/>
              <w:spacing w:before="213" w:line="267" w:lineRule="exact"/>
              <w:ind w:left="388"/>
            </w:pPr>
            <w:r>
              <w:rPr>
                <w:spacing w:val="1"/>
                <w:position w:val="1"/>
              </w:rPr>
              <w:t>0.1</w:t>
            </w:r>
          </w:p>
        </w:tc>
        <w:tc>
          <w:tcPr>
            <w:tcW w:w="1083" w:type="dxa"/>
            <w:vAlign w:val="top"/>
          </w:tcPr>
          <w:p>
            <w:pPr>
              <w:pStyle w:val="8"/>
              <w:spacing w:before="213" w:line="267" w:lineRule="exact"/>
              <w:ind w:left="237"/>
            </w:pPr>
            <w:r>
              <w:rPr>
                <w:spacing w:val="2"/>
                <w:position w:val="1"/>
              </w:rPr>
              <w:t>535.72</w:t>
            </w:r>
          </w:p>
        </w:tc>
        <w:tc>
          <w:tcPr>
            <w:tcW w:w="1063" w:type="dxa"/>
            <w:vAlign w:val="top"/>
          </w:tcPr>
          <w:p>
            <w:pPr>
              <w:pStyle w:val="8"/>
              <w:spacing w:before="213" w:line="267" w:lineRule="exact"/>
              <w:ind w:left="226"/>
            </w:pPr>
            <w:r>
              <w:rPr>
                <w:spacing w:val="2"/>
                <w:position w:val="1"/>
              </w:rPr>
              <w:t>535.72</w:t>
            </w:r>
          </w:p>
        </w:tc>
        <w:tc>
          <w:tcPr>
            <w:tcW w:w="898" w:type="dxa"/>
            <w:vAlign w:val="top"/>
          </w:tcPr>
          <w:p>
            <w:pPr>
              <w:pStyle w:val="8"/>
              <w:spacing w:before="57" w:line="229" w:lineRule="auto"/>
              <w:ind w:left="118"/>
            </w:pPr>
            <w:r>
              <w:rPr>
                <w:spacing w:val="-7"/>
              </w:rPr>
              <w:t>五、对</w:t>
            </w:r>
          </w:p>
          <w:p>
            <w:pPr>
              <w:pStyle w:val="8"/>
              <w:spacing w:before="63" w:line="227" w:lineRule="auto"/>
              <w:ind w:left="131"/>
            </w:pPr>
            <w:r>
              <w:rPr>
                <w:spacing w:val="19"/>
              </w:rPr>
              <w:t>附属单</w:t>
            </w:r>
          </w:p>
        </w:tc>
        <w:tc>
          <w:tcPr>
            <w:tcW w:w="1083" w:type="dxa"/>
            <w:vAlign w:val="top"/>
          </w:tcPr>
          <w:p>
            <w:pPr>
              <w:rPr>
                <w:rFonts w:ascii="Arial"/>
                <w:sz w:val="21"/>
              </w:rPr>
            </w:pPr>
          </w:p>
        </w:tc>
        <w:tc>
          <w:tcPr>
            <w:tcW w:w="1083" w:type="dxa"/>
            <w:vAlign w:val="top"/>
          </w:tcPr>
          <w:p>
            <w:pPr>
              <w:rPr>
                <w:rFonts w:ascii="Arial"/>
                <w:sz w:val="21"/>
              </w:rPr>
            </w:pPr>
          </w:p>
        </w:tc>
        <w:tc>
          <w:tcPr>
            <w:tcW w:w="10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69" w:hRule="atLeast"/>
        </w:trPr>
        <w:tc>
          <w:tcPr>
            <w:tcW w:w="4175" w:type="dxa"/>
            <w:gridSpan w:val="4"/>
            <w:vAlign w:val="top"/>
          </w:tcPr>
          <w:p>
            <w:pPr>
              <w:pStyle w:val="8"/>
              <w:spacing w:before="80" w:line="228" w:lineRule="auto"/>
              <w:ind w:left="1470"/>
            </w:pPr>
            <w:r>
              <w:rPr>
                <w:spacing w:val="5"/>
              </w:rPr>
              <w:t>收入（万元）</w:t>
            </w:r>
          </w:p>
        </w:tc>
        <w:tc>
          <w:tcPr>
            <w:tcW w:w="4131" w:type="dxa"/>
            <w:gridSpan w:val="4"/>
            <w:vAlign w:val="top"/>
          </w:tcPr>
          <w:p>
            <w:pPr>
              <w:pStyle w:val="8"/>
              <w:spacing w:before="80" w:line="228" w:lineRule="auto"/>
              <w:ind w:left="1440"/>
            </w:pPr>
            <w:r>
              <w:rPr>
                <w:spacing w:val="6"/>
              </w:rPr>
              <w:t>支出（万元）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4" w:hRule="atLeast"/>
        </w:trPr>
        <w:tc>
          <w:tcPr>
            <w:tcW w:w="946" w:type="dxa"/>
            <w:vAlign w:val="top"/>
          </w:tcPr>
          <w:p>
            <w:pPr>
              <w:spacing w:line="303" w:lineRule="auto"/>
              <w:rPr>
                <w:rFonts w:ascii="Arial"/>
                <w:sz w:val="21"/>
              </w:rPr>
            </w:pPr>
          </w:p>
          <w:p>
            <w:pPr>
              <w:spacing w:line="304" w:lineRule="auto"/>
              <w:rPr>
                <w:rFonts w:ascii="Arial"/>
                <w:sz w:val="21"/>
              </w:rPr>
            </w:pPr>
          </w:p>
          <w:p>
            <w:pPr>
              <w:pStyle w:val="8"/>
              <w:spacing w:before="65" w:line="228" w:lineRule="auto"/>
              <w:ind w:left="273"/>
            </w:pPr>
            <w:r>
              <w:rPr>
                <w:spacing w:val="3"/>
              </w:rPr>
              <w:t>项目</w:t>
            </w:r>
          </w:p>
        </w:tc>
        <w:tc>
          <w:tcPr>
            <w:tcW w:w="1083" w:type="dxa"/>
            <w:vAlign w:val="top"/>
          </w:tcPr>
          <w:p>
            <w:pPr>
              <w:spacing w:line="453" w:lineRule="auto"/>
              <w:rPr>
                <w:rFonts w:ascii="Arial"/>
                <w:sz w:val="21"/>
              </w:rPr>
            </w:pPr>
          </w:p>
          <w:p>
            <w:pPr>
              <w:pStyle w:val="8"/>
              <w:spacing w:before="65" w:line="289" w:lineRule="auto"/>
              <w:ind w:left="441" w:right="122" w:hanging="315"/>
            </w:pPr>
            <w:r>
              <w:rPr>
                <w:spacing w:val="7"/>
              </w:rPr>
              <w:t>年初预算</w:t>
            </w:r>
            <w:r>
              <w:t>数</w:t>
            </w:r>
          </w:p>
        </w:tc>
        <w:tc>
          <w:tcPr>
            <w:tcW w:w="1083" w:type="dxa"/>
            <w:vAlign w:val="top"/>
          </w:tcPr>
          <w:p>
            <w:pPr>
              <w:spacing w:line="453" w:lineRule="auto"/>
              <w:rPr>
                <w:rFonts w:ascii="Arial"/>
                <w:sz w:val="21"/>
              </w:rPr>
            </w:pPr>
          </w:p>
          <w:p>
            <w:pPr>
              <w:pStyle w:val="8"/>
              <w:spacing w:before="65" w:line="289" w:lineRule="auto"/>
              <w:ind w:left="443" w:right="121" w:hanging="316"/>
            </w:pPr>
            <w:r>
              <w:rPr>
                <w:spacing w:val="7"/>
              </w:rPr>
              <w:t>全年预算</w:t>
            </w:r>
            <w:r>
              <w:t>数</w:t>
            </w:r>
          </w:p>
        </w:tc>
        <w:tc>
          <w:tcPr>
            <w:tcW w:w="1063" w:type="dxa"/>
            <w:vAlign w:val="top"/>
          </w:tcPr>
          <w:p>
            <w:pPr>
              <w:spacing w:line="303" w:lineRule="auto"/>
              <w:rPr>
                <w:rFonts w:ascii="Arial"/>
                <w:sz w:val="21"/>
              </w:rPr>
            </w:pPr>
          </w:p>
          <w:p>
            <w:pPr>
              <w:spacing w:line="303" w:lineRule="auto"/>
              <w:rPr>
                <w:rFonts w:ascii="Arial"/>
                <w:sz w:val="21"/>
              </w:rPr>
            </w:pPr>
          </w:p>
          <w:p>
            <w:pPr>
              <w:pStyle w:val="8"/>
              <w:spacing w:before="65" w:line="228" w:lineRule="auto"/>
              <w:ind w:left="229"/>
            </w:pPr>
            <w:r>
              <w:rPr>
                <w:spacing w:val="4"/>
              </w:rPr>
              <w:t>决算数</w:t>
            </w:r>
          </w:p>
        </w:tc>
        <w:tc>
          <w:tcPr>
            <w:tcW w:w="898" w:type="dxa"/>
            <w:vAlign w:val="top"/>
          </w:tcPr>
          <w:p>
            <w:pPr>
              <w:pStyle w:val="8"/>
              <w:spacing w:before="52" w:line="288" w:lineRule="auto"/>
              <w:ind w:left="149" w:right="133" w:firstLine="98"/>
            </w:pPr>
            <w:r>
              <w:rPr>
                <w:spacing w:val="3"/>
              </w:rPr>
              <w:t>项目（按支</w:t>
            </w:r>
          </w:p>
          <w:p>
            <w:pPr>
              <w:pStyle w:val="8"/>
              <w:spacing w:line="228" w:lineRule="auto"/>
              <w:ind w:left="156"/>
            </w:pPr>
            <w:r>
              <w:t>出性质</w:t>
            </w:r>
          </w:p>
          <w:p>
            <w:pPr>
              <w:pStyle w:val="8"/>
              <w:spacing w:before="64" w:line="228" w:lineRule="auto"/>
              <w:ind w:left="139"/>
            </w:pPr>
            <w:r>
              <w:rPr>
                <w:spacing w:val="6"/>
              </w:rPr>
              <w:t>和经济</w:t>
            </w:r>
          </w:p>
          <w:p>
            <w:pPr>
              <w:pStyle w:val="8"/>
              <w:spacing w:before="64" w:line="228" w:lineRule="auto"/>
              <w:ind w:left="141"/>
            </w:pPr>
            <w:r>
              <w:rPr>
                <w:spacing w:val="2"/>
              </w:rPr>
              <w:t>分类）</w:t>
            </w:r>
          </w:p>
        </w:tc>
        <w:tc>
          <w:tcPr>
            <w:tcW w:w="1083" w:type="dxa"/>
            <w:vAlign w:val="top"/>
          </w:tcPr>
          <w:p>
            <w:pPr>
              <w:spacing w:line="453" w:lineRule="auto"/>
              <w:rPr>
                <w:rFonts w:ascii="Arial"/>
                <w:sz w:val="21"/>
              </w:rPr>
            </w:pPr>
          </w:p>
          <w:p>
            <w:pPr>
              <w:pStyle w:val="8"/>
              <w:spacing w:before="65" w:line="289" w:lineRule="auto"/>
              <w:ind w:left="444" w:right="119" w:hanging="315"/>
            </w:pPr>
            <w:r>
              <w:rPr>
                <w:spacing w:val="7"/>
              </w:rPr>
              <w:t>年初预算</w:t>
            </w:r>
            <w:r>
              <w:t>数</w:t>
            </w:r>
          </w:p>
        </w:tc>
        <w:tc>
          <w:tcPr>
            <w:tcW w:w="1083" w:type="dxa"/>
            <w:vAlign w:val="top"/>
          </w:tcPr>
          <w:p>
            <w:pPr>
              <w:spacing w:line="453" w:lineRule="auto"/>
              <w:rPr>
                <w:rFonts w:ascii="Arial"/>
                <w:sz w:val="21"/>
              </w:rPr>
            </w:pPr>
          </w:p>
          <w:p>
            <w:pPr>
              <w:pStyle w:val="8"/>
              <w:spacing w:before="65" w:line="289" w:lineRule="auto"/>
              <w:ind w:left="444" w:right="120" w:hanging="316"/>
            </w:pPr>
            <w:r>
              <w:rPr>
                <w:spacing w:val="7"/>
              </w:rPr>
              <w:t>全年预算</w:t>
            </w:r>
            <w:r>
              <w:t>数</w:t>
            </w:r>
          </w:p>
        </w:tc>
        <w:tc>
          <w:tcPr>
            <w:tcW w:w="1067" w:type="dxa"/>
            <w:vAlign w:val="top"/>
          </w:tcPr>
          <w:p>
            <w:pPr>
              <w:spacing w:line="303" w:lineRule="auto"/>
              <w:rPr>
                <w:rFonts w:ascii="Arial"/>
                <w:sz w:val="21"/>
              </w:rPr>
            </w:pPr>
          </w:p>
          <w:p>
            <w:pPr>
              <w:spacing w:line="303" w:lineRule="auto"/>
              <w:rPr>
                <w:rFonts w:ascii="Arial"/>
                <w:sz w:val="21"/>
              </w:rPr>
            </w:pPr>
          </w:p>
          <w:p>
            <w:pPr>
              <w:pStyle w:val="8"/>
              <w:spacing w:before="65" w:line="228" w:lineRule="auto"/>
              <w:ind w:left="230"/>
            </w:pPr>
            <w:r>
              <w:rPr>
                <w:spacing w:val="4"/>
              </w:rPr>
              <w:t>决算数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8" w:hRule="atLeast"/>
        </w:trPr>
        <w:tc>
          <w:tcPr>
            <w:tcW w:w="946" w:type="dxa"/>
            <w:vAlign w:val="top"/>
          </w:tcPr>
          <w:p>
            <w:pPr>
              <w:rPr>
                <w:rFonts w:ascii="Arial"/>
                <w:sz w:val="21"/>
              </w:rPr>
            </w:pPr>
          </w:p>
        </w:tc>
        <w:tc>
          <w:tcPr>
            <w:tcW w:w="1083" w:type="dxa"/>
            <w:vAlign w:val="top"/>
          </w:tcPr>
          <w:p>
            <w:pPr>
              <w:rPr>
                <w:rFonts w:ascii="Arial"/>
                <w:sz w:val="21"/>
              </w:rPr>
            </w:pPr>
          </w:p>
        </w:tc>
        <w:tc>
          <w:tcPr>
            <w:tcW w:w="1083" w:type="dxa"/>
            <w:vAlign w:val="top"/>
          </w:tcPr>
          <w:p>
            <w:pPr>
              <w:rPr>
                <w:rFonts w:ascii="Arial"/>
                <w:sz w:val="21"/>
              </w:rPr>
            </w:pPr>
          </w:p>
        </w:tc>
        <w:tc>
          <w:tcPr>
            <w:tcW w:w="1063" w:type="dxa"/>
            <w:vAlign w:val="top"/>
          </w:tcPr>
          <w:p>
            <w:pPr>
              <w:rPr>
                <w:rFonts w:ascii="Arial"/>
                <w:sz w:val="21"/>
              </w:rPr>
            </w:pPr>
          </w:p>
        </w:tc>
        <w:tc>
          <w:tcPr>
            <w:tcW w:w="898" w:type="dxa"/>
            <w:vAlign w:val="top"/>
          </w:tcPr>
          <w:p>
            <w:pPr>
              <w:pStyle w:val="8"/>
              <w:spacing w:before="52" w:line="261" w:lineRule="auto"/>
              <w:ind w:left="114" w:right="104"/>
            </w:pPr>
            <w:r>
              <w:rPr>
                <w:spacing w:val="24"/>
              </w:rPr>
              <w:t>位补助</w:t>
            </w:r>
            <w:r>
              <w:rPr>
                <w:spacing w:val="4"/>
              </w:rPr>
              <w:t>支出</w:t>
            </w:r>
          </w:p>
        </w:tc>
        <w:tc>
          <w:tcPr>
            <w:tcW w:w="1083" w:type="dxa"/>
            <w:vAlign w:val="top"/>
          </w:tcPr>
          <w:p>
            <w:pPr>
              <w:rPr>
                <w:rFonts w:ascii="Arial"/>
                <w:sz w:val="21"/>
              </w:rPr>
            </w:pPr>
          </w:p>
        </w:tc>
        <w:tc>
          <w:tcPr>
            <w:tcW w:w="1083" w:type="dxa"/>
            <w:vAlign w:val="top"/>
          </w:tcPr>
          <w:p>
            <w:pPr>
              <w:rPr>
                <w:rFonts w:ascii="Arial"/>
                <w:sz w:val="21"/>
              </w:rPr>
            </w:pPr>
          </w:p>
        </w:tc>
        <w:tc>
          <w:tcPr>
            <w:tcW w:w="10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8" w:hRule="atLeast"/>
        </w:trPr>
        <w:tc>
          <w:tcPr>
            <w:tcW w:w="946" w:type="dxa"/>
            <w:vAlign w:val="top"/>
          </w:tcPr>
          <w:p>
            <w:pPr>
              <w:pStyle w:val="8"/>
              <w:spacing w:before="53" w:line="227" w:lineRule="auto"/>
              <w:ind w:left="162"/>
            </w:pPr>
            <w:r>
              <w:rPr>
                <w:b/>
                <w:bCs/>
                <w:spacing w:val="5"/>
              </w:rPr>
              <w:t>本年收</w:t>
            </w:r>
          </w:p>
          <w:p>
            <w:pPr>
              <w:pStyle w:val="8"/>
              <w:spacing w:before="66" w:line="229" w:lineRule="auto"/>
              <w:ind w:left="161"/>
            </w:pPr>
            <w:r>
              <w:rPr>
                <w:b/>
                <w:bCs/>
                <w:spacing w:val="5"/>
              </w:rPr>
              <w:t>入合计</w:t>
            </w:r>
          </w:p>
        </w:tc>
        <w:tc>
          <w:tcPr>
            <w:tcW w:w="1083" w:type="dxa"/>
            <w:vAlign w:val="top"/>
          </w:tcPr>
          <w:p>
            <w:pPr>
              <w:pStyle w:val="8"/>
              <w:spacing w:before="209" w:line="267" w:lineRule="exact"/>
              <w:ind w:left="136"/>
            </w:pPr>
            <w:r>
              <w:rPr>
                <w:b/>
                <w:bCs/>
                <w:position w:val="1"/>
              </w:rPr>
              <w:t>16710.15</w:t>
            </w:r>
          </w:p>
        </w:tc>
        <w:tc>
          <w:tcPr>
            <w:tcW w:w="1083" w:type="dxa"/>
            <w:vAlign w:val="top"/>
          </w:tcPr>
          <w:p>
            <w:pPr>
              <w:pStyle w:val="8"/>
              <w:spacing w:before="209" w:line="267" w:lineRule="exact"/>
              <w:ind w:left="138"/>
            </w:pPr>
            <w:r>
              <w:rPr>
                <w:b/>
                <w:bCs/>
                <w:position w:val="1"/>
              </w:rPr>
              <w:t>17120.85</w:t>
            </w:r>
          </w:p>
        </w:tc>
        <w:tc>
          <w:tcPr>
            <w:tcW w:w="1063" w:type="dxa"/>
            <w:vAlign w:val="top"/>
          </w:tcPr>
          <w:p>
            <w:pPr>
              <w:pStyle w:val="8"/>
              <w:spacing w:before="209" w:line="267" w:lineRule="exact"/>
              <w:ind w:left="130"/>
            </w:pPr>
            <w:r>
              <w:rPr>
                <w:b/>
                <w:bCs/>
                <w:position w:val="1"/>
              </w:rPr>
              <w:t>17120.85</w:t>
            </w:r>
          </w:p>
        </w:tc>
        <w:tc>
          <w:tcPr>
            <w:tcW w:w="898" w:type="dxa"/>
            <w:vAlign w:val="top"/>
          </w:tcPr>
          <w:p>
            <w:pPr>
              <w:pStyle w:val="8"/>
              <w:spacing w:before="53" w:line="227" w:lineRule="auto"/>
              <w:ind w:left="139"/>
            </w:pPr>
            <w:r>
              <w:rPr>
                <w:b/>
                <w:bCs/>
                <w:spacing w:val="5"/>
              </w:rPr>
              <w:t>本年支</w:t>
            </w:r>
          </w:p>
          <w:p>
            <w:pPr>
              <w:pStyle w:val="8"/>
              <w:spacing w:before="66" w:line="229" w:lineRule="auto"/>
              <w:ind w:left="156"/>
            </w:pPr>
            <w:r>
              <w:rPr>
                <w:b/>
                <w:bCs/>
                <w:spacing w:val="-1"/>
              </w:rPr>
              <w:t>出合计</w:t>
            </w:r>
          </w:p>
        </w:tc>
        <w:tc>
          <w:tcPr>
            <w:tcW w:w="1083" w:type="dxa"/>
            <w:vAlign w:val="top"/>
          </w:tcPr>
          <w:p>
            <w:pPr>
              <w:pStyle w:val="8"/>
              <w:spacing w:before="209" w:line="267" w:lineRule="exact"/>
              <w:ind w:left="139"/>
            </w:pPr>
            <w:r>
              <w:rPr>
                <w:b/>
                <w:bCs/>
                <w:position w:val="1"/>
              </w:rPr>
              <w:t>16900.92</w:t>
            </w:r>
          </w:p>
        </w:tc>
        <w:tc>
          <w:tcPr>
            <w:tcW w:w="1083" w:type="dxa"/>
            <w:vAlign w:val="top"/>
          </w:tcPr>
          <w:p>
            <w:pPr>
              <w:pStyle w:val="8"/>
              <w:spacing w:before="209" w:line="267" w:lineRule="exact"/>
              <w:ind w:left="141"/>
            </w:pPr>
            <w:r>
              <w:rPr>
                <w:b/>
                <w:bCs/>
                <w:position w:val="1"/>
              </w:rPr>
              <w:t>17120.85</w:t>
            </w:r>
          </w:p>
        </w:tc>
        <w:tc>
          <w:tcPr>
            <w:tcW w:w="1067" w:type="dxa"/>
            <w:vAlign w:val="top"/>
          </w:tcPr>
          <w:p>
            <w:pPr>
              <w:pStyle w:val="8"/>
              <w:spacing w:before="209" w:line="267" w:lineRule="exact"/>
              <w:ind w:left="131"/>
            </w:pPr>
            <w:r>
              <w:rPr>
                <w:b/>
                <w:bCs/>
                <w:position w:val="1"/>
              </w:rPr>
              <w:t>17120.85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0" w:hRule="atLeast"/>
        </w:trPr>
        <w:tc>
          <w:tcPr>
            <w:tcW w:w="946" w:type="dxa"/>
            <w:vAlign w:val="top"/>
          </w:tcPr>
          <w:p>
            <w:pPr>
              <w:pStyle w:val="8"/>
              <w:spacing w:before="53" w:line="228" w:lineRule="auto"/>
              <w:ind w:left="117"/>
            </w:pPr>
            <w:r>
              <w:rPr>
                <w:spacing w:val="6"/>
              </w:rPr>
              <w:t>使用非</w:t>
            </w:r>
          </w:p>
          <w:p>
            <w:pPr>
              <w:pStyle w:val="8"/>
              <w:spacing w:before="64" w:line="228" w:lineRule="auto"/>
              <w:ind w:left="117"/>
            </w:pPr>
            <w:r>
              <w:rPr>
                <w:spacing w:val="6"/>
              </w:rPr>
              <w:t>财政拨</w:t>
            </w:r>
          </w:p>
          <w:p>
            <w:pPr>
              <w:pStyle w:val="8"/>
              <w:spacing w:before="65" w:line="228" w:lineRule="auto"/>
              <w:ind w:left="117"/>
            </w:pPr>
            <w:r>
              <w:rPr>
                <w:spacing w:val="6"/>
              </w:rPr>
              <w:t>款结余</w:t>
            </w:r>
          </w:p>
        </w:tc>
        <w:tc>
          <w:tcPr>
            <w:tcW w:w="1083" w:type="dxa"/>
            <w:vAlign w:val="top"/>
          </w:tcPr>
          <w:p>
            <w:pPr>
              <w:rPr>
                <w:rFonts w:ascii="Arial"/>
                <w:sz w:val="21"/>
              </w:rPr>
            </w:pPr>
          </w:p>
        </w:tc>
        <w:tc>
          <w:tcPr>
            <w:tcW w:w="1083" w:type="dxa"/>
            <w:vAlign w:val="top"/>
          </w:tcPr>
          <w:p>
            <w:pPr>
              <w:rPr>
                <w:rFonts w:ascii="Arial"/>
                <w:sz w:val="21"/>
              </w:rPr>
            </w:pPr>
          </w:p>
        </w:tc>
        <w:tc>
          <w:tcPr>
            <w:tcW w:w="1063" w:type="dxa"/>
            <w:vAlign w:val="top"/>
          </w:tcPr>
          <w:p>
            <w:pPr>
              <w:rPr>
                <w:rFonts w:ascii="Arial"/>
                <w:sz w:val="21"/>
              </w:rPr>
            </w:pPr>
          </w:p>
        </w:tc>
        <w:tc>
          <w:tcPr>
            <w:tcW w:w="898" w:type="dxa"/>
            <w:vAlign w:val="top"/>
          </w:tcPr>
          <w:p>
            <w:pPr>
              <w:pStyle w:val="8"/>
              <w:spacing w:before="210" w:line="291" w:lineRule="auto"/>
              <w:ind w:left="349" w:right="133" w:hanging="206"/>
            </w:pPr>
            <w:r>
              <w:rPr>
                <w:spacing w:val="5"/>
              </w:rPr>
              <w:t>结余分</w:t>
            </w:r>
            <w:r>
              <w:t>配</w:t>
            </w:r>
          </w:p>
        </w:tc>
        <w:tc>
          <w:tcPr>
            <w:tcW w:w="1083" w:type="dxa"/>
            <w:vAlign w:val="top"/>
          </w:tcPr>
          <w:p>
            <w:pPr>
              <w:rPr>
                <w:rFonts w:ascii="Arial"/>
                <w:sz w:val="21"/>
              </w:rPr>
            </w:pPr>
          </w:p>
        </w:tc>
        <w:tc>
          <w:tcPr>
            <w:tcW w:w="1083" w:type="dxa"/>
            <w:vAlign w:val="top"/>
          </w:tcPr>
          <w:p>
            <w:pPr>
              <w:rPr>
                <w:rFonts w:ascii="Arial"/>
                <w:sz w:val="21"/>
              </w:rPr>
            </w:pPr>
          </w:p>
        </w:tc>
        <w:tc>
          <w:tcPr>
            <w:tcW w:w="10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0" w:hRule="atLeast"/>
        </w:trPr>
        <w:tc>
          <w:tcPr>
            <w:tcW w:w="946" w:type="dxa"/>
            <w:vAlign w:val="top"/>
          </w:tcPr>
          <w:p>
            <w:pPr>
              <w:pStyle w:val="8"/>
              <w:spacing w:before="54" w:line="228" w:lineRule="auto"/>
              <w:ind w:left="117"/>
            </w:pPr>
            <w:r>
              <w:rPr>
                <w:spacing w:val="6"/>
              </w:rPr>
              <w:t>年初结</w:t>
            </w:r>
          </w:p>
          <w:p>
            <w:pPr>
              <w:pStyle w:val="8"/>
              <w:spacing w:before="65" w:line="260" w:lineRule="auto"/>
              <w:ind w:left="117" w:right="203"/>
            </w:pPr>
            <w:r>
              <w:rPr>
                <w:spacing w:val="6"/>
              </w:rPr>
              <w:t>转和结</w:t>
            </w:r>
            <w:r>
              <w:t>余</w:t>
            </w:r>
          </w:p>
        </w:tc>
        <w:tc>
          <w:tcPr>
            <w:tcW w:w="1083" w:type="dxa"/>
            <w:vAlign w:val="top"/>
          </w:tcPr>
          <w:p>
            <w:pPr>
              <w:spacing w:line="299" w:lineRule="auto"/>
              <w:rPr>
                <w:rFonts w:ascii="Arial"/>
                <w:sz w:val="21"/>
              </w:rPr>
            </w:pPr>
          </w:p>
          <w:p>
            <w:pPr>
              <w:pStyle w:val="8"/>
              <w:spacing w:before="65" w:line="268" w:lineRule="exact"/>
              <w:ind w:left="246"/>
            </w:pPr>
            <w:r>
              <w:rPr>
                <w:spacing w:val="1"/>
                <w:position w:val="1"/>
              </w:rPr>
              <w:t>190.77</w:t>
            </w:r>
          </w:p>
        </w:tc>
        <w:tc>
          <w:tcPr>
            <w:tcW w:w="1083" w:type="dxa"/>
            <w:vAlign w:val="top"/>
          </w:tcPr>
          <w:p>
            <w:pPr>
              <w:rPr>
                <w:rFonts w:ascii="Arial"/>
                <w:sz w:val="21"/>
              </w:rPr>
            </w:pPr>
          </w:p>
        </w:tc>
        <w:tc>
          <w:tcPr>
            <w:tcW w:w="1063" w:type="dxa"/>
            <w:vAlign w:val="top"/>
          </w:tcPr>
          <w:p>
            <w:pPr>
              <w:rPr>
                <w:rFonts w:ascii="Arial"/>
                <w:sz w:val="21"/>
              </w:rPr>
            </w:pPr>
          </w:p>
        </w:tc>
        <w:tc>
          <w:tcPr>
            <w:tcW w:w="898" w:type="dxa"/>
            <w:vAlign w:val="top"/>
          </w:tcPr>
          <w:p>
            <w:pPr>
              <w:pStyle w:val="8"/>
              <w:spacing w:before="54" w:line="228" w:lineRule="auto"/>
              <w:ind w:left="139"/>
            </w:pPr>
            <w:r>
              <w:rPr>
                <w:spacing w:val="6"/>
              </w:rPr>
              <w:t>年末结</w:t>
            </w:r>
          </w:p>
          <w:p>
            <w:pPr>
              <w:pStyle w:val="8"/>
              <w:spacing w:before="65" w:line="260" w:lineRule="auto"/>
              <w:ind w:left="350" w:right="133" w:hanging="211"/>
            </w:pPr>
            <w:r>
              <w:rPr>
                <w:spacing w:val="6"/>
              </w:rPr>
              <w:t>转和结</w:t>
            </w:r>
            <w:r>
              <w:t>余</w:t>
            </w:r>
          </w:p>
        </w:tc>
        <w:tc>
          <w:tcPr>
            <w:tcW w:w="1083" w:type="dxa"/>
            <w:vAlign w:val="top"/>
          </w:tcPr>
          <w:p>
            <w:pPr>
              <w:rPr>
                <w:rFonts w:ascii="Arial"/>
                <w:sz w:val="21"/>
              </w:rPr>
            </w:pPr>
          </w:p>
        </w:tc>
        <w:tc>
          <w:tcPr>
            <w:tcW w:w="1083" w:type="dxa"/>
            <w:vAlign w:val="top"/>
          </w:tcPr>
          <w:p>
            <w:pPr>
              <w:rPr>
                <w:rFonts w:ascii="Arial"/>
                <w:sz w:val="21"/>
              </w:rPr>
            </w:pPr>
          </w:p>
        </w:tc>
        <w:tc>
          <w:tcPr>
            <w:tcW w:w="1067"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6" w:hRule="atLeast"/>
        </w:trPr>
        <w:tc>
          <w:tcPr>
            <w:tcW w:w="946" w:type="dxa"/>
            <w:vAlign w:val="top"/>
          </w:tcPr>
          <w:p>
            <w:pPr>
              <w:pStyle w:val="8"/>
              <w:spacing w:before="182" w:line="229" w:lineRule="auto"/>
              <w:ind w:left="273"/>
            </w:pPr>
            <w:r>
              <w:rPr>
                <w:b/>
                <w:bCs/>
                <w:spacing w:val="1"/>
              </w:rPr>
              <w:t>总计</w:t>
            </w:r>
          </w:p>
        </w:tc>
        <w:tc>
          <w:tcPr>
            <w:tcW w:w="1083" w:type="dxa"/>
            <w:vAlign w:val="top"/>
          </w:tcPr>
          <w:p>
            <w:pPr>
              <w:pStyle w:val="8"/>
              <w:spacing w:before="182" w:line="267" w:lineRule="exact"/>
              <w:ind w:left="136"/>
            </w:pPr>
            <w:r>
              <w:rPr>
                <w:b/>
                <w:bCs/>
                <w:position w:val="1"/>
              </w:rPr>
              <w:t>16900.92</w:t>
            </w:r>
          </w:p>
        </w:tc>
        <w:tc>
          <w:tcPr>
            <w:tcW w:w="1083" w:type="dxa"/>
            <w:vAlign w:val="top"/>
          </w:tcPr>
          <w:p>
            <w:pPr>
              <w:pStyle w:val="8"/>
              <w:spacing w:before="182" w:line="267" w:lineRule="exact"/>
              <w:ind w:left="138"/>
            </w:pPr>
            <w:r>
              <w:rPr>
                <w:b/>
                <w:bCs/>
                <w:position w:val="1"/>
              </w:rPr>
              <w:t>17120.85</w:t>
            </w:r>
          </w:p>
        </w:tc>
        <w:tc>
          <w:tcPr>
            <w:tcW w:w="1063" w:type="dxa"/>
            <w:vAlign w:val="top"/>
          </w:tcPr>
          <w:p>
            <w:pPr>
              <w:pStyle w:val="8"/>
              <w:spacing w:before="182" w:line="267" w:lineRule="exact"/>
              <w:ind w:left="130"/>
            </w:pPr>
            <w:r>
              <w:rPr>
                <w:b/>
                <w:bCs/>
                <w:position w:val="1"/>
              </w:rPr>
              <w:t>17120.85</w:t>
            </w:r>
          </w:p>
        </w:tc>
        <w:tc>
          <w:tcPr>
            <w:tcW w:w="898" w:type="dxa"/>
            <w:vAlign w:val="top"/>
          </w:tcPr>
          <w:p>
            <w:pPr>
              <w:pStyle w:val="8"/>
              <w:spacing w:before="182" w:line="229" w:lineRule="auto"/>
              <w:ind w:left="250"/>
            </w:pPr>
            <w:r>
              <w:rPr>
                <w:b/>
                <w:bCs/>
                <w:spacing w:val="1"/>
              </w:rPr>
              <w:t>总计</w:t>
            </w:r>
          </w:p>
        </w:tc>
        <w:tc>
          <w:tcPr>
            <w:tcW w:w="1083" w:type="dxa"/>
            <w:vAlign w:val="top"/>
          </w:tcPr>
          <w:p>
            <w:pPr>
              <w:pStyle w:val="8"/>
              <w:spacing w:before="182" w:line="267" w:lineRule="exact"/>
              <w:ind w:left="139"/>
            </w:pPr>
            <w:r>
              <w:rPr>
                <w:b/>
                <w:bCs/>
                <w:position w:val="1"/>
              </w:rPr>
              <w:t>16900.92</w:t>
            </w:r>
          </w:p>
        </w:tc>
        <w:tc>
          <w:tcPr>
            <w:tcW w:w="1083" w:type="dxa"/>
            <w:vAlign w:val="top"/>
          </w:tcPr>
          <w:p>
            <w:pPr>
              <w:pStyle w:val="8"/>
              <w:spacing w:before="182" w:line="267" w:lineRule="exact"/>
              <w:ind w:left="141"/>
            </w:pPr>
            <w:r>
              <w:rPr>
                <w:b/>
                <w:bCs/>
                <w:position w:val="1"/>
              </w:rPr>
              <w:t>17120.85</w:t>
            </w:r>
          </w:p>
        </w:tc>
        <w:tc>
          <w:tcPr>
            <w:tcW w:w="1067" w:type="dxa"/>
            <w:vAlign w:val="top"/>
          </w:tcPr>
          <w:p>
            <w:pPr>
              <w:pStyle w:val="8"/>
              <w:spacing w:before="182" w:line="267" w:lineRule="exact"/>
              <w:ind w:left="131"/>
            </w:pPr>
            <w:r>
              <w:rPr>
                <w:b/>
                <w:bCs/>
                <w:position w:val="1"/>
              </w:rPr>
              <w:t>17120.85</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hint="eastAsia" w:ascii="楷体" w:hAnsi="楷体" w:eastAsia="楷体" w:cs="楷体"/>
          <w:b w:val="0"/>
          <w:bCs w:val="0"/>
          <w:spacing w:val="0"/>
          <w:sz w:val="32"/>
          <w:szCs w:val="32"/>
        </w:rPr>
      </w:pPr>
      <w:bookmarkStart w:id="5" w:name="bookmark4"/>
      <w:bookmarkEnd w:id="5"/>
      <w:r>
        <w:rPr>
          <w:rFonts w:hint="eastAsia" w:ascii="楷体" w:hAnsi="楷体" w:eastAsia="楷体" w:cs="楷体"/>
          <w:b w:val="0"/>
          <w:bCs w:val="0"/>
          <w:spacing w:val="0"/>
          <w:sz w:val="32"/>
          <w:szCs w:val="32"/>
        </w:rPr>
        <w:t>（三）部门管理情况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eastAsia" w:ascii="Times New Roman" w:hAnsi="Times New Roman" w:eastAsia="仿宋_GB2312" w:cstheme="minorBidi"/>
          <w:b/>
          <w:bCs/>
          <w:snapToGrid/>
          <w:spacing w:val="0"/>
          <w:kern w:val="2"/>
          <w:sz w:val="32"/>
          <w:szCs w:val="32"/>
          <w:lang w:val="en-US" w:eastAsia="zh-CN" w:bidi="ar-SA"/>
        </w:rPr>
      </w:pPr>
      <w:r>
        <w:rPr>
          <w:rFonts w:hint="eastAsia" w:ascii="Times New Roman" w:hAnsi="Times New Roman" w:eastAsia="仿宋_GB2312" w:cstheme="minorBidi"/>
          <w:b/>
          <w:bCs/>
          <w:snapToGrid/>
          <w:spacing w:val="0"/>
          <w:kern w:val="2"/>
          <w:sz w:val="32"/>
          <w:szCs w:val="32"/>
          <w:lang w:val="en-US" w:eastAsia="zh-CN" w:bidi="ar-SA"/>
        </w:rPr>
        <w:t>1.人员管理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按区民政局内设机构工作职责进行划分管理</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eastAsia" w:ascii="Times New Roman" w:hAnsi="Times New Roman" w:eastAsia="仿宋_GB2312" w:cstheme="minorBidi"/>
          <w:b/>
          <w:bCs/>
          <w:snapToGrid/>
          <w:spacing w:val="0"/>
          <w:kern w:val="2"/>
          <w:sz w:val="32"/>
          <w:szCs w:val="32"/>
          <w:lang w:val="en-US" w:eastAsia="zh-CN" w:bidi="ar-SA"/>
        </w:rPr>
      </w:pPr>
      <w:r>
        <w:rPr>
          <w:rFonts w:hint="eastAsia" w:ascii="Times New Roman" w:hAnsi="Times New Roman" w:eastAsia="仿宋_GB2312" w:cstheme="minorBidi"/>
          <w:b/>
          <w:bCs/>
          <w:snapToGrid/>
          <w:spacing w:val="0"/>
          <w:kern w:val="2"/>
          <w:sz w:val="32"/>
          <w:szCs w:val="32"/>
          <w:lang w:val="en-US" w:eastAsia="zh-CN" w:bidi="ar-SA"/>
        </w:rPr>
        <w:t>2.财务管理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区民政局制定了部门内部控制管理制度，财务由综合办公室统一管理，所有经费支出都通必须经主管领导审批后方可执行，严格履行“一支笔”审批制度。开支数额较大的，还需由财经领导小组会议研究后批准。计划财务室统揽财政工作</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eastAsia" w:ascii="Times New Roman" w:hAnsi="Times New Roman" w:eastAsia="仿宋_GB2312" w:cstheme="minorBidi"/>
          <w:b/>
          <w:bCs/>
          <w:snapToGrid/>
          <w:spacing w:val="0"/>
          <w:kern w:val="2"/>
          <w:sz w:val="32"/>
          <w:szCs w:val="32"/>
          <w:lang w:val="en-US" w:eastAsia="zh-CN" w:bidi="ar-SA"/>
        </w:rPr>
      </w:pPr>
      <w:r>
        <w:rPr>
          <w:rFonts w:hint="eastAsia" w:ascii="Times New Roman" w:hAnsi="Times New Roman" w:eastAsia="仿宋_GB2312" w:cstheme="minorBidi"/>
          <w:b/>
          <w:bCs/>
          <w:snapToGrid/>
          <w:spacing w:val="0"/>
          <w:kern w:val="2"/>
          <w:sz w:val="32"/>
          <w:szCs w:val="32"/>
          <w:lang w:val="en-US" w:eastAsia="zh-CN" w:bidi="ar-SA"/>
        </w:rPr>
        <w:t>3.资产管理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区民政局固定资产、办公设备、办公用品、政府采购等工作由综合办公室统一管理，每年对固定资产进行盘点，亏损报废的及时清理，划拨调转的向伊州区财政局申请划转</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outlineLvl w:val="1"/>
        <w:rPr>
          <w:rFonts w:hint="eastAsia" w:ascii="楷体" w:hAnsi="楷体" w:eastAsia="楷体" w:cs="楷体"/>
          <w:spacing w:val="0"/>
          <w:sz w:val="32"/>
          <w:szCs w:val="32"/>
        </w:rPr>
      </w:pPr>
      <w:bookmarkStart w:id="6" w:name="bookmark5"/>
      <w:bookmarkEnd w:id="6"/>
      <w:r>
        <w:rPr>
          <w:rFonts w:hint="eastAsia" w:ascii="楷体" w:hAnsi="楷体" w:eastAsia="楷体" w:cs="楷体"/>
          <w:b/>
          <w:bCs/>
          <w:spacing w:val="0"/>
          <w:sz w:val="32"/>
          <w:szCs w:val="32"/>
        </w:rPr>
        <w:t>（四）部门绩效目标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b/>
          <w:bCs/>
          <w:snapToGrid/>
          <w:spacing w:val="0"/>
          <w:kern w:val="2"/>
          <w:sz w:val="32"/>
          <w:szCs w:val="32"/>
          <w:lang w:val="en-US" w:eastAsia="zh-CN" w:bidi="ar-SA"/>
        </w:rPr>
      </w:pPr>
      <w:r>
        <w:rPr>
          <w:rFonts w:hint="eastAsia" w:ascii="Times New Roman" w:hAnsi="Times New Roman" w:eastAsia="仿宋_GB2312" w:cstheme="minorBidi"/>
          <w:b/>
          <w:bCs/>
          <w:snapToGrid/>
          <w:spacing w:val="0"/>
          <w:kern w:val="2"/>
          <w:sz w:val="32"/>
          <w:szCs w:val="32"/>
          <w:lang w:val="en-US" w:eastAsia="zh-CN" w:bidi="ar-SA"/>
        </w:rPr>
        <w:t>1.总体目标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完成低保金发放，按时发放残疾人两项补贴，发放老年人补贴等，保障各类补贴群众基本生活</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b/>
          <w:bCs/>
          <w:snapToGrid/>
          <w:spacing w:val="0"/>
          <w:kern w:val="2"/>
          <w:sz w:val="32"/>
          <w:szCs w:val="32"/>
          <w:lang w:val="en-US" w:eastAsia="zh-CN" w:bidi="ar-SA"/>
        </w:rPr>
      </w:pPr>
      <w:r>
        <w:rPr>
          <w:rFonts w:hint="eastAsia" w:ascii="Times New Roman" w:hAnsi="Times New Roman" w:eastAsia="仿宋_GB2312" w:cstheme="minorBidi"/>
          <w:b/>
          <w:bCs/>
          <w:snapToGrid/>
          <w:spacing w:val="0"/>
          <w:kern w:val="2"/>
          <w:sz w:val="32"/>
          <w:szCs w:val="32"/>
          <w:lang w:val="en-US" w:eastAsia="zh-CN" w:bidi="ar-SA"/>
        </w:rPr>
        <w:t>2.年度整体绩效目标</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根据区民政局提供的《哈密市伊州区民政局2025年部门整体绩效目标表》，2025年区民政部门年度整体绩效目标如下</w:t>
      </w:r>
      <w:r>
        <w:rPr>
          <w:rFonts w:ascii="华文仿宋" w:hAnsi="华文仿宋" w:eastAsia="华文仿宋" w:cs="华文仿宋"/>
          <w:spacing w:val="0"/>
          <w:sz w:val="31"/>
          <w:szCs w:val="31"/>
        </w:rPr>
        <w:t>：</w:t>
      </w:r>
    </w:p>
    <w:p>
      <w:pPr>
        <w:spacing w:before="44" w:line="202" w:lineRule="auto"/>
        <w:jc w:val="center"/>
        <w:rPr>
          <w:rFonts w:ascii="华文仿宋" w:hAnsi="华文仿宋" w:eastAsia="华文仿宋" w:cs="华文仿宋"/>
          <w:sz w:val="24"/>
          <w:szCs w:val="24"/>
        </w:rPr>
      </w:pPr>
      <w:r>
        <w:rPr>
          <w:rFonts w:hint="eastAsia" w:ascii="黑体" w:hAnsi="黑体" w:eastAsia="黑体" w:cs="黑体"/>
          <w:b w:val="0"/>
          <w:bCs w:val="0"/>
          <w:spacing w:val="-4"/>
          <w:sz w:val="32"/>
          <w:szCs w:val="32"/>
        </w:rPr>
        <w:t>表1-3哈密市伊州区民政局2025年部门整体绩效目标表</w:t>
      </w:r>
    </w:p>
    <w:p>
      <w:pPr>
        <w:spacing w:line="16" w:lineRule="exact"/>
      </w:pPr>
    </w:p>
    <w:tbl>
      <w:tblPr>
        <w:tblStyle w:val="7"/>
        <w:tblW w:w="8306" w:type="dxa"/>
        <w:tblInd w:w="1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1"/>
        <w:gridCol w:w="1282"/>
        <w:gridCol w:w="1558"/>
        <w:gridCol w:w="2800"/>
        <w:gridCol w:w="196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54" w:hRule="atLeast"/>
        </w:trPr>
        <w:tc>
          <w:tcPr>
            <w:tcW w:w="701" w:type="dxa"/>
            <w:vAlign w:val="top"/>
          </w:tcPr>
          <w:p>
            <w:pPr>
              <w:pStyle w:val="8"/>
              <w:spacing w:before="213" w:line="289" w:lineRule="auto"/>
              <w:ind w:left="149" w:right="141" w:hanging="4"/>
              <w:jc w:val="both"/>
            </w:pPr>
            <w:r>
              <w:rPr>
                <w:spacing w:val="4"/>
              </w:rPr>
              <w:t>年度</w:t>
            </w:r>
            <w:r>
              <w:rPr>
                <w:spacing w:val="2"/>
              </w:rPr>
              <w:t>总体目标</w:t>
            </w:r>
          </w:p>
        </w:tc>
        <w:tc>
          <w:tcPr>
            <w:tcW w:w="7605" w:type="dxa"/>
            <w:gridSpan w:val="4"/>
            <w:vAlign w:val="top"/>
          </w:tcPr>
          <w:p>
            <w:pPr>
              <w:spacing w:line="301" w:lineRule="auto"/>
              <w:rPr>
                <w:rFonts w:ascii="Arial"/>
                <w:sz w:val="21"/>
              </w:rPr>
            </w:pPr>
          </w:p>
          <w:p>
            <w:pPr>
              <w:pStyle w:val="8"/>
              <w:spacing w:before="65" w:line="289" w:lineRule="auto"/>
              <w:ind w:left="111" w:right="109" w:firstLine="1"/>
            </w:pPr>
            <w:r>
              <w:rPr>
                <w:spacing w:val="11"/>
              </w:rPr>
              <w:t>完成低保金发放，按时发放残疾人两项补贴，发放老年人补</w:t>
            </w:r>
            <w:r>
              <w:rPr>
                <w:spacing w:val="10"/>
              </w:rPr>
              <w:t>贴等，保障各类补贴</w:t>
            </w:r>
            <w:r>
              <w:rPr>
                <w:spacing w:val="8"/>
              </w:rPr>
              <w:t>群众基本生活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24" w:hRule="atLeast"/>
        </w:trPr>
        <w:tc>
          <w:tcPr>
            <w:tcW w:w="701" w:type="dxa"/>
            <w:vMerge w:val="restart"/>
            <w:tcBorders>
              <w:bottom w:val="nil"/>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pStyle w:val="8"/>
              <w:spacing w:before="65" w:line="289" w:lineRule="auto"/>
              <w:ind w:left="147" w:right="141" w:hanging="2"/>
              <w:jc w:val="both"/>
            </w:pPr>
            <w:r>
              <w:rPr>
                <w:spacing w:val="4"/>
              </w:rPr>
              <w:t>年度</w:t>
            </w:r>
            <w:r>
              <w:rPr>
                <w:spacing w:val="3"/>
              </w:rPr>
              <w:t>绩效目标</w:t>
            </w:r>
          </w:p>
        </w:tc>
        <w:tc>
          <w:tcPr>
            <w:tcW w:w="1282" w:type="dxa"/>
            <w:vAlign w:val="top"/>
          </w:tcPr>
          <w:p>
            <w:pPr>
              <w:pStyle w:val="8"/>
              <w:spacing w:before="105" w:line="228" w:lineRule="auto"/>
              <w:ind w:left="227"/>
            </w:pPr>
            <w:r>
              <w:rPr>
                <w:spacing w:val="6"/>
              </w:rPr>
              <w:t>一级指标</w:t>
            </w:r>
          </w:p>
        </w:tc>
        <w:tc>
          <w:tcPr>
            <w:tcW w:w="1558" w:type="dxa"/>
            <w:vAlign w:val="top"/>
          </w:tcPr>
          <w:p>
            <w:pPr>
              <w:pStyle w:val="8"/>
              <w:spacing w:before="105" w:line="228" w:lineRule="auto"/>
              <w:ind w:left="366"/>
            </w:pPr>
            <w:r>
              <w:rPr>
                <w:spacing w:val="6"/>
              </w:rPr>
              <w:t>二级指标</w:t>
            </w:r>
          </w:p>
        </w:tc>
        <w:tc>
          <w:tcPr>
            <w:tcW w:w="2800" w:type="dxa"/>
            <w:vAlign w:val="top"/>
          </w:tcPr>
          <w:p>
            <w:pPr>
              <w:pStyle w:val="8"/>
              <w:spacing w:before="105" w:line="228" w:lineRule="auto"/>
              <w:ind w:left="986"/>
            </w:pPr>
            <w:r>
              <w:rPr>
                <w:spacing w:val="7"/>
              </w:rPr>
              <w:t>三级指标</w:t>
            </w:r>
          </w:p>
        </w:tc>
        <w:tc>
          <w:tcPr>
            <w:tcW w:w="1965" w:type="dxa"/>
            <w:vAlign w:val="top"/>
          </w:tcPr>
          <w:p>
            <w:pPr>
              <w:pStyle w:val="8"/>
              <w:spacing w:before="105" w:line="228" w:lineRule="auto"/>
              <w:ind w:left="463"/>
            </w:pPr>
            <w:r>
              <w:rPr>
                <w:spacing w:val="7"/>
              </w:rPr>
              <w:t>预期指标值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55" w:hRule="atLeast"/>
        </w:trPr>
        <w:tc>
          <w:tcPr>
            <w:tcW w:w="701" w:type="dxa"/>
            <w:vMerge w:val="continue"/>
            <w:tcBorders>
              <w:top w:val="nil"/>
              <w:bottom w:val="nil"/>
            </w:tcBorders>
            <w:vAlign w:val="top"/>
          </w:tcPr>
          <w:p>
            <w:pPr>
              <w:rPr>
                <w:rFonts w:ascii="Arial"/>
                <w:sz w:val="21"/>
              </w:rPr>
            </w:pPr>
          </w:p>
        </w:tc>
        <w:tc>
          <w:tcPr>
            <w:tcW w:w="1282" w:type="dxa"/>
            <w:vMerge w:val="restart"/>
            <w:tcBorders>
              <w:bottom w:val="nil"/>
            </w:tcBorders>
            <w:vAlign w:val="top"/>
          </w:tcPr>
          <w:p>
            <w:pPr>
              <w:spacing w:line="257" w:lineRule="auto"/>
              <w:rPr>
                <w:rFonts w:ascii="Arial"/>
                <w:sz w:val="21"/>
              </w:rPr>
            </w:pPr>
          </w:p>
          <w:p>
            <w:pPr>
              <w:spacing w:line="258" w:lineRule="auto"/>
              <w:rPr>
                <w:rFonts w:ascii="Arial"/>
                <w:sz w:val="21"/>
              </w:rPr>
            </w:pPr>
          </w:p>
          <w:p>
            <w:pPr>
              <w:spacing w:line="258" w:lineRule="auto"/>
              <w:rPr>
                <w:rFonts w:ascii="Arial"/>
                <w:sz w:val="21"/>
              </w:rPr>
            </w:pPr>
          </w:p>
          <w:p>
            <w:pPr>
              <w:pStyle w:val="8"/>
              <w:spacing w:before="65" w:line="228" w:lineRule="auto"/>
              <w:ind w:left="227"/>
            </w:pPr>
            <w:r>
              <w:rPr>
                <w:spacing w:val="6"/>
              </w:rPr>
              <w:t>履职效能</w:t>
            </w:r>
          </w:p>
        </w:tc>
        <w:tc>
          <w:tcPr>
            <w:tcW w:w="1558" w:type="dxa"/>
            <w:vMerge w:val="restart"/>
            <w:tcBorders>
              <w:bottom w:val="nil"/>
            </w:tcBorders>
            <w:vAlign w:val="top"/>
          </w:tcPr>
          <w:p>
            <w:pPr>
              <w:spacing w:line="257" w:lineRule="auto"/>
              <w:rPr>
                <w:rFonts w:ascii="Arial"/>
                <w:sz w:val="21"/>
              </w:rPr>
            </w:pPr>
          </w:p>
          <w:p>
            <w:pPr>
              <w:spacing w:line="257" w:lineRule="auto"/>
              <w:rPr>
                <w:rFonts w:ascii="Arial"/>
                <w:sz w:val="21"/>
              </w:rPr>
            </w:pPr>
          </w:p>
          <w:p>
            <w:pPr>
              <w:spacing w:line="258" w:lineRule="auto"/>
              <w:rPr>
                <w:rFonts w:ascii="Arial"/>
                <w:sz w:val="21"/>
              </w:rPr>
            </w:pPr>
          </w:p>
          <w:p>
            <w:pPr>
              <w:pStyle w:val="8"/>
              <w:spacing w:before="65" w:line="228" w:lineRule="auto"/>
              <w:ind w:left="364"/>
            </w:pPr>
            <w:r>
              <w:rPr>
                <w:spacing w:val="6"/>
              </w:rPr>
              <w:t>数量指标</w:t>
            </w:r>
          </w:p>
        </w:tc>
        <w:tc>
          <w:tcPr>
            <w:tcW w:w="2800" w:type="dxa"/>
            <w:vAlign w:val="top"/>
          </w:tcPr>
          <w:p>
            <w:pPr>
              <w:pStyle w:val="8"/>
              <w:spacing w:before="220" w:line="228" w:lineRule="auto"/>
              <w:ind w:left="566"/>
            </w:pPr>
            <w:r>
              <w:rPr>
                <w:spacing w:val="8"/>
              </w:rPr>
              <w:t>城乡低保发放人数</w:t>
            </w:r>
          </w:p>
        </w:tc>
        <w:tc>
          <w:tcPr>
            <w:tcW w:w="1965" w:type="dxa"/>
            <w:vAlign w:val="top"/>
          </w:tcPr>
          <w:p>
            <w:pPr>
              <w:pStyle w:val="8"/>
              <w:spacing w:before="220" w:line="231" w:lineRule="auto"/>
              <w:ind w:left="546"/>
            </w:pPr>
            <w:r>
              <w:rPr>
                <w:spacing w:val="2"/>
              </w:rPr>
              <w:t>&gt;=5119人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63" w:hRule="atLeast"/>
        </w:trPr>
        <w:tc>
          <w:tcPr>
            <w:tcW w:w="701" w:type="dxa"/>
            <w:vMerge w:val="continue"/>
            <w:tcBorders>
              <w:top w:val="nil"/>
              <w:bottom w:val="nil"/>
            </w:tcBorders>
            <w:vAlign w:val="top"/>
          </w:tcPr>
          <w:p>
            <w:pPr>
              <w:rPr>
                <w:rFonts w:ascii="Arial"/>
                <w:sz w:val="21"/>
              </w:rPr>
            </w:pPr>
          </w:p>
        </w:tc>
        <w:tc>
          <w:tcPr>
            <w:tcW w:w="1282" w:type="dxa"/>
            <w:vMerge w:val="continue"/>
            <w:tcBorders>
              <w:top w:val="nil"/>
              <w:bottom w:val="nil"/>
            </w:tcBorders>
            <w:vAlign w:val="top"/>
          </w:tcPr>
          <w:p>
            <w:pPr>
              <w:rPr>
                <w:rFonts w:ascii="Arial"/>
                <w:sz w:val="21"/>
              </w:rPr>
            </w:pPr>
          </w:p>
        </w:tc>
        <w:tc>
          <w:tcPr>
            <w:tcW w:w="1558" w:type="dxa"/>
            <w:vMerge w:val="continue"/>
            <w:tcBorders>
              <w:top w:val="nil"/>
              <w:bottom w:val="nil"/>
            </w:tcBorders>
            <w:vAlign w:val="top"/>
          </w:tcPr>
          <w:p>
            <w:pPr>
              <w:rPr>
                <w:rFonts w:ascii="Arial"/>
                <w:sz w:val="21"/>
              </w:rPr>
            </w:pPr>
          </w:p>
        </w:tc>
        <w:tc>
          <w:tcPr>
            <w:tcW w:w="2800" w:type="dxa"/>
            <w:vAlign w:val="top"/>
          </w:tcPr>
          <w:p>
            <w:pPr>
              <w:pStyle w:val="8"/>
              <w:spacing w:before="177" w:line="228" w:lineRule="auto"/>
              <w:ind w:left="252"/>
            </w:pPr>
            <w:r>
              <w:rPr>
                <w:spacing w:val="9"/>
              </w:rPr>
              <w:t>残疾人两项补贴发放人数</w:t>
            </w:r>
          </w:p>
        </w:tc>
        <w:tc>
          <w:tcPr>
            <w:tcW w:w="1965" w:type="dxa"/>
            <w:vAlign w:val="top"/>
          </w:tcPr>
          <w:p>
            <w:pPr>
              <w:pStyle w:val="8"/>
              <w:spacing w:before="177" w:line="231" w:lineRule="auto"/>
              <w:ind w:left="546"/>
            </w:pPr>
            <w:r>
              <w:rPr>
                <w:spacing w:val="2"/>
              </w:rPr>
              <w:t>&gt;=3704人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67" w:hRule="atLeast"/>
        </w:trPr>
        <w:tc>
          <w:tcPr>
            <w:tcW w:w="701" w:type="dxa"/>
            <w:vMerge w:val="continue"/>
            <w:tcBorders>
              <w:top w:val="nil"/>
              <w:bottom w:val="nil"/>
            </w:tcBorders>
            <w:vAlign w:val="top"/>
          </w:tcPr>
          <w:p>
            <w:pPr>
              <w:rPr>
                <w:rFonts w:ascii="Arial"/>
                <w:sz w:val="21"/>
              </w:rPr>
            </w:pPr>
          </w:p>
        </w:tc>
        <w:tc>
          <w:tcPr>
            <w:tcW w:w="1282" w:type="dxa"/>
            <w:vMerge w:val="continue"/>
            <w:tcBorders>
              <w:top w:val="nil"/>
            </w:tcBorders>
            <w:vAlign w:val="top"/>
          </w:tcPr>
          <w:p>
            <w:pPr>
              <w:rPr>
                <w:rFonts w:ascii="Arial"/>
                <w:sz w:val="21"/>
              </w:rPr>
            </w:pPr>
          </w:p>
        </w:tc>
        <w:tc>
          <w:tcPr>
            <w:tcW w:w="1558" w:type="dxa"/>
            <w:vMerge w:val="continue"/>
            <w:tcBorders>
              <w:top w:val="nil"/>
            </w:tcBorders>
            <w:vAlign w:val="top"/>
          </w:tcPr>
          <w:p>
            <w:pPr>
              <w:rPr>
                <w:rFonts w:ascii="Arial"/>
                <w:sz w:val="21"/>
              </w:rPr>
            </w:pPr>
          </w:p>
        </w:tc>
        <w:tc>
          <w:tcPr>
            <w:tcW w:w="2800" w:type="dxa"/>
            <w:vAlign w:val="top"/>
          </w:tcPr>
          <w:p>
            <w:pPr>
              <w:pStyle w:val="8"/>
              <w:spacing w:before="72" w:line="228" w:lineRule="auto"/>
              <w:ind w:left="202"/>
            </w:pPr>
            <w:r>
              <w:rPr>
                <w:spacing w:val="5"/>
              </w:rPr>
              <w:t>发放75岁以上老年人福利</w:t>
            </w:r>
          </w:p>
          <w:p>
            <w:pPr>
              <w:pStyle w:val="8"/>
              <w:spacing w:before="64" w:line="228" w:lineRule="auto"/>
              <w:ind w:left="986"/>
            </w:pPr>
            <w:r>
              <w:rPr>
                <w:spacing w:val="7"/>
              </w:rPr>
              <w:t>补贴人数</w:t>
            </w:r>
          </w:p>
        </w:tc>
        <w:tc>
          <w:tcPr>
            <w:tcW w:w="1965" w:type="dxa"/>
            <w:vAlign w:val="top"/>
          </w:tcPr>
          <w:p>
            <w:pPr>
              <w:pStyle w:val="8"/>
              <w:spacing w:before="228" w:line="231" w:lineRule="auto"/>
              <w:ind w:left="493"/>
            </w:pPr>
            <w:r>
              <w:rPr>
                <w:spacing w:val="2"/>
              </w:rPr>
              <w:t>&gt;=20000人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4" w:hRule="atLeast"/>
        </w:trPr>
        <w:tc>
          <w:tcPr>
            <w:tcW w:w="701" w:type="dxa"/>
            <w:vMerge w:val="continue"/>
            <w:tcBorders>
              <w:top w:val="nil"/>
            </w:tcBorders>
            <w:vAlign w:val="top"/>
          </w:tcPr>
          <w:p>
            <w:pPr>
              <w:rPr>
                <w:rFonts w:ascii="Arial"/>
                <w:sz w:val="21"/>
              </w:rPr>
            </w:pPr>
          </w:p>
        </w:tc>
        <w:tc>
          <w:tcPr>
            <w:tcW w:w="1282" w:type="dxa"/>
            <w:vAlign w:val="top"/>
          </w:tcPr>
          <w:p>
            <w:pPr>
              <w:pStyle w:val="8"/>
              <w:spacing w:before="56" w:line="262" w:lineRule="auto"/>
              <w:ind w:left="440" w:right="115" w:hanging="320"/>
            </w:pPr>
            <w:r>
              <w:rPr>
                <w:spacing w:val="8"/>
              </w:rPr>
              <w:t>服务对象满</w:t>
            </w:r>
            <w:r>
              <w:rPr>
                <w:spacing w:val="2"/>
              </w:rPr>
              <w:t>意度</w:t>
            </w:r>
          </w:p>
        </w:tc>
        <w:tc>
          <w:tcPr>
            <w:tcW w:w="1558" w:type="dxa"/>
            <w:vAlign w:val="top"/>
          </w:tcPr>
          <w:p>
            <w:pPr>
              <w:pStyle w:val="8"/>
              <w:spacing w:before="212" w:line="228" w:lineRule="auto"/>
              <w:ind w:left="259"/>
            </w:pPr>
            <w:r>
              <w:rPr>
                <w:spacing w:val="8"/>
              </w:rPr>
              <w:t>满意度指标</w:t>
            </w:r>
          </w:p>
        </w:tc>
        <w:tc>
          <w:tcPr>
            <w:tcW w:w="2800" w:type="dxa"/>
            <w:vAlign w:val="top"/>
          </w:tcPr>
          <w:p>
            <w:pPr>
              <w:pStyle w:val="8"/>
              <w:spacing w:before="212" w:line="228" w:lineRule="auto"/>
              <w:ind w:left="672"/>
            </w:pPr>
            <w:r>
              <w:rPr>
                <w:spacing w:val="8"/>
              </w:rPr>
              <w:t>补贴群众满意度</w:t>
            </w:r>
          </w:p>
        </w:tc>
        <w:tc>
          <w:tcPr>
            <w:tcW w:w="1965" w:type="dxa"/>
            <w:vAlign w:val="top"/>
          </w:tcPr>
          <w:p>
            <w:pPr>
              <w:pStyle w:val="8"/>
              <w:spacing w:before="212" w:line="268" w:lineRule="exact"/>
              <w:ind w:left="731"/>
            </w:pPr>
            <w:r>
              <w:rPr>
                <w:spacing w:val="2"/>
                <w:position w:val="1"/>
              </w:rPr>
              <w:t>&gt;=95%</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hint="eastAsia" w:ascii="楷体_GB2312" w:hAnsi="楷体_GB2312" w:eastAsia="楷体_GB2312" w:cs="楷体_GB2312"/>
          <w:spacing w:val="0"/>
          <w:sz w:val="31"/>
          <w:szCs w:val="31"/>
        </w:rPr>
      </w:pPr>
      <w:bookmarkStart w:id="7" w:name="bookmark6"/>
      <w:bookmarkEnd w:id="7"/>
      <w:r>
        <w:rPr>
          <w:rFonts w:hint="eastAsia" w:ascii="楷体_GB2312" w:hAnsi="楷体_GB2312" w:eastAsia="楷体_GB2312" w:cs="楷体_GB2312"/>
          <w:b w:val="0"/>
          <w:bCs w:val="0"/>
          <w:spacing w:val="0"/>
          <w:sz w:val="32"/>
          <w:szCs w:val="32"/>
        </w:rPr>
        <w:t>（五）评价对象和范围、主要内容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b/>
          <w:bCs/>
          <w:snapToGrid/>
          <w:spacing w:val="0"/>
          <w:kern w:val="2"/>
          <w:sz w:val="32"/>
          <w:szCs w:val="32"/>
          <w:lang w:val="en-US" w:eastAsia="zh-CN" w:bidi="ar-SA"/>
        </w:rPr>
      </w:pPr>
      <w:r>
        <w:rPr>
          <w:rFonts w:hint="eastAsia" w:ascii="Times New Roman" w:hAnsi="Times New Roman" w:eastAsia="仿宋_GB2312" w:cstheme="minorBidi"/>
          <w:b/>
          <w:bCs/>
          <w:snapToGrid/>
          <w:spacing w:val="0"/>
          <w:kern w:val="2"/>
          <w:sz w:val="32"/>
          <w:szCs w:val="32"/>
          <w:lang w:val="en-US" w:eastAsia="zh-CN" w:bidi="ar-SA"/>
        </w:rPr>
        <w:t>1.评价对象和范围</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本次评价对象为区民政局2025年度部门整体预算资金。资金来源包括一般公共预算和其他收入，资金用途包括基本支出和项目支出，重点关注项目实施对单位履职的支撑作用，项目设立必要性和单位运行管理的规范性</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本次评价范围为2025年区民政局部门整体履职情况</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1" w:firstLineChars="200"/>
        <w:textAlignment w:val="baseline"/>
        <w:rPr>
          <w:rFonts w:hint="eastAsia" w:ascii="华文仿宋" w:hAnsi="华文仿宋" w:eastAsia="华文仿宋" w:cs="华文仿宋"/>
          <w:spacing w:val="0"/>
          <w:sz w:val="32"/>
          <w:szCs w:val="32"/>
        </w:rPr>
      </w:pPr>
      <w:r>
        <w:rPr>
          <w:rFonts w:hint="eastAsia" w:ascii="华文仿宋" w:hAnsi="华文仿宋" w:eastAsia="华文仿宋" w:cs="华文仿宋"/>
          <w:b/>
          <w:bCs/>
          <w:spacing w:val="0"/>
          <w:sz w:val="32"/>
          <w:szCs w:val="32"/>
        </w:rPr>
        <w:t>2.评价主要内容</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（1）绩效目标的设定情况。重点评价绩效目标设立的充分性、明确性、合理性以及细化程度。</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（2）资金投入和使用情况。重点评价资金分配过程、投入方式、资金到位、预算执行情况。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（3）为实现绩效目标制定的制度、采取的措施等。包括项目管理制度、财务管理制度、资产管理制度和绩效跟踪管理措施等。</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（4）绩效目标的实现程度和效果。绩效目标的实现程度包括产出数量</w:t>
      </w:r>
      <w:r>
        <w:rPr>
          <w:rFonts w:hint="eastAsia" w:ascii="Times New Roman" w:hAnsi="Times New Roman" w:eastAsia="仿宋_GB2312" w:cstheme="minorBidi"/>
          <w:snapToGrid/>
          <w:spacing w:val="0"/>
          <w:kern w:val="2"/>
          <w:sz w:val="32"/>
          <w:szCs w:val="32"/>
          <w:lang w:val="en-US" w:eastAsia="zh-CN" w:bidi="ar-SA"/>
        </w:rPr>
        <w:t>、</w:t>
      </w:r>
      <w:r>
        <w:rPr>
          <w:rFonts w:ascii="Times New Roman" w:hAnsi="Times New Roman" w:eastAsia="仿宋_GB2312" w:cstheme="minorBidi"/>
          <w:snapToGrid/>
          <w:spacing w:val="0"/>
          <w:kern w:val="2"/>
          <w:sz w:val="32"/>
          <w:szCs w:val="32"/>
          <w:lang w:val="en-US" w:eastAsia="zh-CN" w:bidi="ar-SA"/>
        </w:rPr>
        <w:t>产出质量、产出时效和产出成本。效果包括经济效益、社会效益、以及服务对象满意度等</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eastAsia" w:ascii="Times New Roman" w:hAnsi="Times New Roman" w:eastAsia="仿宋_GB2312" w:cstheme="minorBidi"/>
          <w:b/>
          <w:bCs/>
          <w:snapToGrid/>
          <w:spacing w:val="0"/>
          <w:kern w:val="2"/>
          <w:sz w:val="32"/>
          <w:szCs w:val="32"/>
          <w:lang w:val="en-US" w:eastAsia="zh-CN" w:bidi="ar-SA"/>
        </w:rPr>
      </w:pPr>
      <w:r>
        <w:rPr>
          <w:rFonts w:hint="eastAsia" w:ascii="Times New Roman" w:hAnsi="Times New Roman" w:eastAsia="仿宋_GB2312" w:cstheme="minorBidi"/>
          <w:b/>
          <w:bCs/>
          <w:snapToGrid/>
          <w:spacing w:val="0"/>
          <w:kern w:val="2"/>
          <w:sz w:val="32"/>
          <w:szCs w:val="32"/>
          <w:lang w:val="en-US" w:eastAsia="zh-CN" w:bidi="ar-SA"/>
        </w:rPr>
        <w:t>3.绩效评价时段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本次部门整体绩效评价工作的评价时段为：2026年6月16日</w:t>
      </w:r>
      <w:r>
        <w:rPr>
          <w:rFonts w:hint="eastAsia" w:ascii="Times New Roman" w:hAnsi="Times New Roman" w:eastAsia="仿宋_GB2312" w:cstheme="minorBidi"/>
          <w:snapToGrid/>
          <w:spacing w:val="0"/>
          <w:kern w:val="2"/>
          <w:sz w:val="32"/>
          <w:szCs w:val="32"/>
          <w:lang w:val="en-US" w:eastAsia="zh-CN" w:bidi="ar-SA"/>
        </w:rPr>
        <w:t>-</w:t>
      </w:r>
      <w:r>
        <w:rPr>
          <w:rFonts w:ascii="Times New Roman" w:hAnsi="Times New Roman" w:eastAsia="仿宋_GB2312" w:cstheme="minorBidi"/>
          <w:snapToGrid/>
          <w:spacing w:val="0"/>
          <w:kern w:val="2"/>
          <w:sz w:val="32"/>
          <w:szCs w:val="32"/>
          <w:lang w:val="en-US" w:eastAsia="zh-CN" w:bidi="ar-SA"/>
        </w:rPr>
        <w:t>2026年7月30日。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hint="eastAsia" w:ascii="黑体" w:hAnsi="黑体" w:eastAsia="黑体" w:cs="黑体"/>
          <w:b w:val="0"/>
          <w:bCs w:val="0"/>
          <w:spacing w:val="0"/>
          <w:sz w:val="32"/>
          <w:szCs w:val="32"/>
        </w:rPr>
      </w:pPr>
      <w:bookmarkStart w:id="8" w:name="bookmark27"/>
      <w:bookmarkEnd w:id="8"/>
      <w:r>
        <w:rPr>
          <w:rFonts w:hint="eastAsia" w:ascii="黑体" w:hAnsi="黑体" w:eastAsia="黑体" w:cs="黑体"/>
          <w:b w:val="0"/>
          <w:bCs w:val="0"/>
          <w:spacing w:val="0"/>
          <w:sz w:val="32"/>
          <w:szCs w:val="32"/>
        </w:rPr>
        <w:t>二、评价工作简述</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楷体" w:hAnsi="楷体" w:eastAsia="楷体" w:cs="楷体"/>
          <w:b w:val="0"/>
          <w:bCs w:val="0"/>
          <w:snapToGrid/>
          <w:spacing w:val="0"/>
          <w:kern w:val="2"/>
          <w:sz w:val="32"/>
          <w:szCs w:val="32"/>
          <w:lang w:val="en-US" w:eastAsia="zh-CN" w:bidi="ar-SA"/>
        </w:rPr>
      </w:pPr>
      <w:bookmarkStart w:id="9" w:name="bookmark7"/>
      <w:bookmarkEnd w:id="9"/>
      <w:bookmarkStart w:id="10" w:name="bookmark8"/>
      <w:bookmarkEnd w:id="10"/>
      <w:r>
        <w:rPr>
          <w:rFonts w:hint="eastAsia" w:ascii="楷体" w:hAnsi="楷体" w:eastAsia="楷体" w:cs="楷体"/>
          <w:b w:val="0"/>
          <w:bCs w:val="0"/>
          <w:snapToGrid/>
          <w:spacing w:val="0"/>
          <w:kern w:val="2"/>
          <w:sz w:val="32"/>
          <w:szCs w:val="32"/>
          <w:lang w:val="en-US" w:eastAsia="zh-CN" w:bidi="ar-SA"/>
        </w:rPr>
        <w:t>（一）评价依据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1.部门2025年预算公开文件、部门2025年决算报表；2.部门履职绩效的工作材料等。</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hint="eastAsia" w:ascii="楷体" w:hAnsi="楷体" w:eastAsia="楷体" w:cs="楷体"/>
          <w:b w:val="0"/>
          <w:bCs w:val="0"/>
          <w:spacing w:val="0"/>
          <w:sz w:val="32"/>
          <w:szCs w:val="32"/>
        </w:rPr>
      </w:pPr>
      <w:bookmarkStart w:id="11" w:name="bookmark9"/>
      <w:bookmarkEnd w:id="11"/>
      <w:r>
        <w:rPr>
          <w:rFonts w:hint="eastAsia" w:ascii="楷体" w:hAnsi="楷体" w:eastAsia="楷体" w:cs="楷体"/>
          <w:b w:val="0"/>
          <w:bCs w:val="0"/>
          <w:spacing w:val="0"/>
          <w:sz w:val="32"/>
          <w:szCs w:val="32"/>
        </w:rPr>
        <w:t>（二）评价目的</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部门整体支出绩效评价是分析部门目标计划完成与履职情况，总结经验做法，找出资金使用和管理的薄弱环节，提出改进意见，提高财政资金使用效率。同时重点关注</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第一</w:t>
      </w:r>
      <w:r>
        <w:rPr>
          <w:rFonts w:hint="eastAsia" w:ascii="Times New Roman" w:hAnsi="Times New Roman" w:eastAsia="仿宋_GB2312" w:cstheme="minorBidi"/>
          <w:snapToGrid/>
          <w:spacing w:val="0"/>
          <w:kern w:val="2"/>
          <w:sz w:val="32"/>
          <w:szCs w:val="32"/>
          <w:lang w:val="en-US" w:eastAsia="zh-CN" w:bidi="ar-SA"/>
        </w:rPr>
        <w:t>：</w:t>
      </w:r>
      <w:r>
        <w:rPr>
          <w:rFonts w:ascii="Times New Roman" w:hAnsi="Times New Roman" w:eastAsia="仿宋_GB2312" w:cstheme="minorBidi"/>
          <w:snapToGrid/>
          <w:spacing w:val="0"/>
          <w:kern w:val="2"/>
          <w:sz w:val="32"/>
          <w:szCs w:val="32"/>
          <w:lang w:val="en-US" w:eastAsia="zh-CN" w:bidi="ar-SA"/>
        </w:rPr>
        <w:t>关注整体支出中经常性业务活动的预算变动情况，通过资金数据的采集，对变动原因进行了解和分析，判断预算变动的合理性。</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第二</w:t>
      </w:r>
      <w:r>
        <w:rPr>
          <w:rFonts w:hint="eastAsia" w:ascii="Times New Roman" w:hAnsi="Times New Roman" w:eastAsia="仿宋_GB2312" w:cstheme="minorBidi"/>
          <w:snapToGrid/>
          <w:spacing w:val="0"/>
          <w:kern w:val="2"/>
          <w:sz w:val="32"/>
          <w:szCs w:val="32"/>
          <w:lang w:val="en-US" w:eastAsia="zh-CN" w:bidi="ar-SA"/>
        </w:rPr>
        <w:t>：</w:t>
      </w:r>
      <w:r>
        <w:rPr>
          <w:rFonts w:ascii="Times New Roman" w:hAnsi="Times New Roman" w:eastAsia="仿宋_GB2312" w:cstheme="minorBidi"/>
          <w:snapToGrid/>
          <w:spacing w:val="0"/>
          <w:kern w:val="2"/>
          <w:sz w:val="32"/>
          <w:szCs w:val="32"/>
          <w:lang w:val="en-US" w:eastAsia="zh-CN" w:bidi="ar-SA"/>
        </w:rPr>
        <w:t>关注整体支出规范性，通过整理相关政策、文献及其他相关标准，结合实际支出使用情况，评价资金使用的规范性；同时关注是否建立健全部门资金使用的相关制度。</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第三</w:t>
      </w:r>
      <w:r>
        <w:rPr>
          <w:rFonts w:hint="eastAsia" w:ascii="Times New Roman" w:hAnsi="Times New Roman" w:eastAsia="仿宋_GB2312" w:cstheme="minorBidi"/>
          <w:snapToGrid/>
          <w:spacing w:val="0"/>
          <w:kern w:val="2"/>
          <w:sz w:val="32"/>
          <w:szCs w:val="32"/>
          <w:lang w:val="en-US" w:eastAsia="zh-CN" w:bidi="ar-SA"/>
        </w:rPr>
        <w:t>：</w:t>
      </w:r>
      <w:r>
        <w:rPr>
          <w:rFonts w:ascii="Times New Roman" w:hAnsi="Times New Roman" w:eastAsia="仿宋_GB2312" w:cstheme="minorBidi"/>
          <w:snapToGrid/>
          <w:spacing w:val="0"/>
          <w:kern w:val="2"/>
          <w:sz w:val="32"/>
          <w:szCs w:val="32"/>
          <w:lang w:val="en-US" w:eastAsia="zh-CN" w:bidi="ar-SA"/>
        </w:rPr>
        <w:t>关注履职和产出的实现，评价小组围绕重点职责的履行情况以及职能的实现程度，主要从工作的整体效果、各项目标的实现程度、社会各界的满意程度等方面来评价部门整体职能的履行情况</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hint="eastAsia" w:ascii="楷体" w:hAnsi="楷体" w:eastAsia="楷体" w:cs="楷体"/>
          <w:b w:val="0"/>
          <w:bCs w:val="0"/>
          <w:spacing w:val="0"/>
          <w:sz w:val="32"/>
          <w:szCs w:val="32"/>
        </w:rPr>
      </w:pPr>
      <w:bookmarkStart w:id="12" w:name="bookmark10"/>
      <w:bookmarkEnd w:id="12"/>
      <w:r>
        <w:rPr>
          <w:rFonts w:hint="eastAsia" w:ascii="楷体" w:hAnsi="楷体" w:eastAsia="楷体" w:cs="楷体"/>
          <w:b w:val="0"/>
          <w:bCs w:val="0"/>
          <w:spacing w:val="0"/>
          <w:sz w:val="32"/>
          <w:szCs w:val="32"/>
        </w:rPr>
        <w:t>（三）评价原则</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依据相关文件的要求，本次绩效评价秉承科学规范、公正公开、分级分类、绩效相关等原则，主要运用指标分析方法结合比较法、专家咨询法、文献法和社会调查法进行评价。按照从决策、过程、履职产出、履职效果的绩效逻辑路径，结合区民政局部门整体工作实际开展情况，运用定量指标优先、定量指标与定性指标相结合的方法，总结经验做法，发现部门整体预算绩效管理中的问题，以切实提升财政资金管理的科学化、规范化和精细化水平</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hint="eastAsia" w:ascii="楷体" w:hAnsi="楷体" w:eastAsia="楷体" w:cs="楷体"/>
          <w:b w:val="0"/>
          <w:bCs w:val="0"/>
          <w:spacing w:val="0"/>
          <w:sz w:val="32"/>
          <w:szCs w:val="32"/>
        </w:rPr>
      </w:pPr>
      <w:bookmarkStart w:id="13" w:name="bookmark11"/>
      <w:bookmarkEnd w:id="13"/>
      <w:r>
        <w:rPr>
          <w:rFonts w:hint="eastAsia" w:ascii="楷体" w:hAnsi="楷体" w:eastAsia="楷体" w:cs="楷体"/>
          <w:b w:val="0"/>
          <w:bCs w:val="0"/>
          <w:spacing w:val="0"/>
          <w:sz w:val="32"/>
          <w:szCs w:val="32"/>
        </w:rPr>
        <w:t>（四）评价方法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本次绩效评价主要运用指标分析法、比较法、文献法、因素分析法、社会调查法等多种方法，具体评价方法如下：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b/>
          <w:bCs/>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（1）指标分析法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通过指标分析法，反映对区民政局年度工作计划、项目的制定、执行和实现效果的判断结果，重点分析区民政局年度工作计划、项目设立的科学性和严谨性，年度工作计划和项目时效的严肃性，资金分配的合理性和规范性，资金使用审核和监管机制的健全性，年度工作计划和项目实施的产出和效果的充分性。</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b/>
          <w:bCs/>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（2）比较法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通过对区民政局绩效目标与预算单位履职效果、历史数据与当期数据情况、不同部门同类支出的比较，综合分析绩效目标实现程度。</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b/>
          <w:bCs/>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（3）文献法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通过收集相关文献，对文献的研究形成对区民政局整体财政支出的产出和效果的科学认识，以达到客观评价的目的。</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leftChars="0" w:right="0" w:rightChars="0" w:firstLine="643" w:firstLineChars="200"/>
        <w:jc w:val="both"/>
        <w:textAlignment w:val="baseline"/>
        <w:rPr>
          <w:rFonts w:ascii="Times New Roman" w:hAnsi="Times New Roman" w:eastAsia="仿宋_GB2312" w:cstheme="minorBidi"/>
          <w:b/>
          <w:bCs/>
          <w:snapToGrid/>
          <w:spacing w:val="0"/>
          <w:kern w:val="2"/>
          <w:sz w:val="32"/>
          <w:szCs w:val="32"/>
          <w:lang w:val="en-US" w:eastAsia="zh-CN" w:bidi="ar-SA"/>
        </w:rPr>
      </w:pPr>
      <w:r>
        <w:rPr>
          <w:rFonts w:hint="eastAsia" w:ascii="Times New Roman" w:hAnsi="Times New Roman" w:eastAsia="仿宋_GB2312" w:cstheme="minorBidi"/>
          <w:b/>
          <w:bCs/>
          <w:snapToGrid/>
          <w:spacing w:val="0"/>
          <w:kern w:val="2"/>
          <w:sz w:val="32"/>
          <w:szCs w:val="32"/>
          <w:lang w:val="en-US" w:eastAsia="zh-CN" w:bidi="ar-SA"/>
        </w:rPr>
        <w:t>（4）</w:t>
      </w:r>
      <w:r>
        <w:rPr>
          <w:rFonts w:ascii="Times New Roman" w:hAnsi="Times New Roman" w:eastAsia="仿宋_GB2312" w:cstheme="minorBidi"/>
          <w:b/>
          <w:bCs/>
          <w:snapToGrid/>
          <w:spacing w:val="0"/>
          <w:kern w:val="2"/>
          <w:sz w:val="32"/>
          <w:szCs w:val="32"/>
          <w:lang w:val="en-US" w:eastAsia="zh-CN" w:bidi="ar-SA"/>
        </w:rPr>
        <w:t>因素分析法</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left="0" w:right="0" w:rightChars="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通过列举分析会影响区民政局各部门工作任务实施情况的因素，得出评价结果。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b/>
          <w:bCs/>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（5）社会调查法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通过向社会公众开展问卷调查、实地访谈取得公众对区民政局财政支出效果的评判，评价绩效目标的实现程度。对于无法直接用评价指标考量其支出效益的，可以选择通过社会调查方式进行评价</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hint="eastAsia" w:ascii="楷体" w:hAnsi="楷体" w:eastAsia="楷体" w:cs="楷体"/>
          <w:b w:val="0"/>
          <w:bCs w:val="0"/>
          <w:spacing w:val="0"/>
          <w:sz w:val="32"/>
          <w:szCs w:val="32"/>
        </w:rPr>
      </w:pPr>
      <w:bookmarkStart w:id="14" w:name="bookmark12"/>
      <w:bookmarkEnd w:id="14"/>
      <w:r>
        <w:rPr>
          <w:rFonts w:hint="eastAsia" w:ascii="楷体" w:hAnsi="楷体" w:eastAsia="楷体" w:cs="楷体"/>
          <w:b w:val="0"/>
          <w:bCs w:val="0"/>
          <w:spacing w:val="0"/>
          <w:sz w:val="32"/>
          <w:szCs w:val="32"/>
        </w:rPr>
        <w:t>（五）评价指标体系及评价标准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b/>
          <w:bCs/>
          <w:snapToGrid/>
          <w:spacing w:val="0"/>
          <w:kern w:val="2"/>
          <w:sz w:val="32"/>
          <w:szCs w:val="32"/>
          <w:lang w:val="en-US" w:eastAsia="zh-CN" w:bidi="ar-SA"/>
        </w:rPr>
      </w:pPr>
      <w:r>
        <w:rPr>
          <w:rFonts w:hint="eastAsia" w:ascii="Times New Roman" w:hAnsi="Times New Roman" w:eastAsia="仿宋_GB2312" w:cstheme="minorBidi"/>
          <w:b/>
          <w:bCs/>
          <w:snapToGrid/>
          <w:spacing w:val="0"/>
          <w:kern w:val="2"/>
          <w:sz w:val="32"/>
          <w:szCs w:val="32"/>
          <w:lang w:val="en-US" w:eastAsia="zh-CN" w:bidi="ar-SA"/>
        </w:rPr>
        <w:t>1.评价指标体系</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通过对区民政局提供的资料进行分析研究，评价组按照相关管理办法的要求，从部门决策、部门管理、部门绩效三个维度，围绕职能设置部门规划计划、绩效目标管理、部门预算管理、预算资金管理、内部控制管理、部门履职情况、部门产出情况、部门履职效果、满意度情况等指标客观开展分析评价，体现了从决策到履职效益的绩效逻辑路径。</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经综合考虑定量指标与定性指标、共性指标与个性指标、投入指标与产出指标的平衡，最终将本次部门整体支出绩效评价指标体系分为“部门决策、部门管理、部门绩效”3个一级指标，权重分别为：15%、35%、50%，在此基础上又将一级指标具体分解为12个二级指标和33个三级指标（详见附件1）</w:t>
      </w:r>
      <w:r>
        <w:rPr>
          <w:rFonts w:hint="eastAsia" w:ascii="Times New Roman" w:hAnsi="Times New Roman" w:eastAsia="仿宋_GB2312" w:cstheme="minorBidi"/>
          <w:snapToGrid/>
          <w:spacing w:val="0"/>
          <w:kern w:val="2"/>
          <w:sz w:val="32"/>
          <w:szCs w:val="32"/>
          <w:lang w:val="en-US" w:eastAsia="zh-CN" w:bidi="ar-SA"/>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b/>
          <w:bCs/>
          <w:snapToGrid/>
          <w:spacing w:val="0"/>
          <w:kern w:val="2"/>
          <w:sz w:val="32"/>
          <w:szCs w:val="32"/>
          <w:lang w:val="en-US" w:eastAsia="zh-CN" w:bidi="ar-SA"/>
        </w:rPr>
      </w:pPr>
      <w:r>
        <w:rPr>
          <w:rFonts w:hint="eastAsia" w:ascii="Times New Roman" w:hAnsi="Times New Roman" w:eastAsia="仿宋_GB2312" w:cstheme="minorBidi"/>
          <w:b/>
          <w:bCs/>
          <w:snapToGrid/>
          <w:spacing w:val="0"/>
          <w:kern w:val="2"/>
          <w:sz w:val="32"/>
          <w:szCs w:val="32"/>
          <w:lang w:val="en-US" w:eastAsia="zh-CN" w:bidi="ar-SA"/>
        </w:rPr>
        <w:t>2.评价定级标准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本次部门整体支出绩效评价结果采取评价指标总分为100分，分4档；评价得分90（含）-100分为优、评价得分80（含）-90分为良、评价得分60（含）-80分为中、60分以下为差</w:t>
      </w:r>
      <w:r>
        <w:rPr>
          <w:rFonts w:hint="eastAsia" w:ascii="Times New Roman" w:hAnsi="Times New Roman" w:eastAsia="仿宋_GB2312" w:cstheme="minorBidi"/>
          <w:snapToGrid/>
          <w:spacing w:val="0"/>
          <w:kern w:val="2"/>
          <w:sz w:val="32"/>
          <w:szCs w:val="32"/>
          <w:lang w:val="en-US" w:eastAsia="zh-CN" w:bidi="ar-SA"/>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64" w:firstLineChars="200"/>
        <w:textAlignment w:val="baseline"/>
        <w:outlineLvl w:val="0"/>
        <w:rPr>
          <w:rFonts w:hint="eastAsia" w:ascii="楷体" w:hAnsi="楷体" w:eastAsia="楷体" w:cs="楷体"/>
          <w:b w:val="0"/>
          <w:bCs w:val="0"/>
          <w:sz w:val="32"/>
          <w:szCs w:val="32"/>
        </w:rPr>
      </w:pPr>
      <w:bookmarkStart w:id="15" w:name="bookmark13"/>
      <w:bookmarkEnd w:id="15"/>
      <w:r>
        <w:rPr>
          <w:rFonts w:hint="eastAsia" w:ascii="楷体" w:hAnsi="楷体" w:eastAsia="楷体" w:cs="楷体"/>
          <w:b w:val="0"/>
          <w:bCs w:val="0"/>
          <w:spacing w:val="6"/>
          <w:sz w:val="32"/>
          <w:szCs w:val="32"/>
        </w:rPr>
        <w:t>（六）评价组织实施情况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b/>
          <w:bCs/>
          <w:snapToGrid/>
          <w:kern w:val="2"/>
          <w:sz w:val="32"/>
          <w:szCs w:val="32"/>
          <w:lang w:val="en-US" w:eastAsia="zh-CN" w:bidi="ar-SA"/>
        </w:rPr>
      </w:pPr>
      <w:r>
        <w:rPr>
          <w:rFonts w:hint="eastAsia" w:ascii="Times New Roman" w:hAnsi="Times New Roman" w:eastAsia="仿宋_GB2312" w:cstheme="minorBidi"/>
          <w:b/>
          <w:bCs/>
          <w:snapToGrid/>
          <w:kern w:val="2"/>
          <w:sz w:val="32"/>
          <w:szCs w:val="32"/>
          <w:lang w:val="en-US" w:eastAsia="zh-CN" w:bidi="ar-SA"/>
        </w:rPr>
        <w:t>1.人员分工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z w:val="31"/>
          <w:szCs w:val="31"/>
        </w:rPr>
      </w:pPr>
      <w:r>
        <w:rPr>
          <w:rFonts w:ascii="Times New Roman" w:hAnsi="Times New Roman" w:eastAsia="仿宋_GB2312" w:cstheme="minorBidi"/>
          <w:snapToGrid/>
          <w:kern w:val="2"/>
          <w:sz w:val="32"/>
          <w:szCs w:val="32"/>
          <w:lang w:val="en-US" w:eastAsia="zh-CN" w:bidi="ar-SA"/>
        </w:rPr>
        <w:t>本次区民政局部门整体支出绩效评价项目的组织者为哈密市伊州区财政局，受托方为天津安信管理咨询有限公司。天津安信管理咨询有限公司负责完成具体评价工作，包括前期调查，研究讨论、制定工作方案，调查取数，撰写评价报告等事项，具体评价组成员及职责分工如下</w:t>
      </w:r>
      <w:r>
        <w:rPr>
          <w:rFonts w:hint="eastAsia" w:ascii="Times New Roman" w:hAnsi="Times New Roman" w:eastAsia="仿宋_GB2312" w:cstheme="minorBidi"/>
          <w:snapToGrid/>
          <w:kern w:val="2"/>
          <w:sz w:val="32"/>
          <w:szCs w:val="32"/>
          <w:lang w:val="en-US" w:eastAsia="zh-CN" w:bidi="ar-SA"/>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jc w:val="center"/>
        <w:textAlignment w:val="baseline"/>
        <w:rPr>
          <w:rFonts w:hint="eastAsia" w:ascii="黑体" w:hAnsi="黑体" w:eastAsia="黑体" w:cs="黑体"/>
          <w:b/>
          <w:bCs/>
          <w:spacing w:val="-2"/>
          <w:sz w:val="32"/>
          <w:szCs w:val="32"/>
        </w:rPr>
      </w:pPr>
      <w:r>
        <w:rPr>
          <w:rFonts w:hint="eastAsia" w:ascii="黑体" w:hAnsi="黑体" w:eastAsia="黑体" w:cs="黑体"/>
          <w:b/>
          <w:bCs/>
          <w:spacing w:val="-2"/>
          <w:sz w:val="32"/>
          <w:szCs w:val="32"/>
        </w:rPr>
        <w:t>表2-1评价组组员表</w:t>
      </w:r>
    </w:p>
    <w:p>
      <w:pPr>
        <w:spacing w:line="90" w:lineRule="auto"/>
        <w:rPr>
          <w:rFonts w:ascii="Arial"/>
          <w:sz w:val="2"/>
        </w:rPr>
      </w:pPr>
    </w:p>
    <w:tbl>
      <w:tblPr>
        <w:tblStyle w:val="7"/>
        <w:tblW w:w="8296" w:type="dxa"/>
        <w:tblInd w:w="1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558"/>
        <w:gridCol w:w="2794"/>
        <w:gridCol w:w="394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28" w:hRule="atLeast"/>
        </w:trPr>
        <w:tc>
          <w:tcPr>
            <w:tcW w:w="1558" w:type="dxa"/>
            <w:vAlign w:val="top"/>
          </w:tcPr>
          <w:p>
            <w:pPr>
              <w:pStyle w:val="8"/>
              <w:spacing w:before="156" w:line="228" w:lineRule="auto"/>
              <w:ind w:left="566"/>
            </w:pPr>
            <w:r>
              <w:rPr>
                <w:b/>
                <w:bCs/>
                <w:spacing w:val="3"/>
              </w:rPr>
              <w:t>姓名</w:t>
            </w:r>
          </w:p>
        </w:tc>
        <w:tc>
          <w:tcPr>
            <w:tcW w:w="2794" w:type="dxa"/>
            <w:vAlign w:val="top"/>
          </w:tcPr>
          <w:p>
            <w:pPr>
              <w:pStyle w:val="8"/>
              <w:spacing w:before="157" w:line="226" w:lineRule="auto"/>
              <w:ind w:left="762"/>
            </w:pPr>
            <w:r>
              <w:rPr>
                <w:b/>
                <w:bCs/>
                <w:spacing w:val="7"/>
              </w:rPr>
              <w:t>评价中的角色</w:t>
            </w:r>
          </w:p>
        </w:tc>
        <w:tc>
          <w:tcPr>
            <w:tcW w:w="3944" w:type="dxa"/>
            <w:vAlign w:val="top"/>
          </w:tcPr>
          <w:p>
            <w:pPr>
              <w:pStyle w:val="8"/>
              <w:spacing w:before="157" w:line="228" w:lineRule="auto"/>
              <w:ind w:left="1552"/>
            </w:pPr>
            <w:r>
              <w:rPr>
                <w:b/>
                <w:bCs/>
                <w:spacing w:val="5"/>
              </w:rPr>
              <w:t>工作职责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1251" w:hRule="atLeast"/>
        </w:trPr>
        <w:tc>
          <w:tcPr>
            <w:tcW w:w="1558" w:type="dxa"/>
            <w:vAlign w:val="top"/>
          </w:tcPr>
          <w:p>
            <w:pPr>
              <w:spacing w:line="448" w:lineRule="auto"/>
              <w:rPr>
                <w:rFonts w:ascii="Arial"/>
                <w:sz w:val="21"/>
              </w:rPr>
            </w:pPr>
          </w:p>
          <w:p>
            <w:pPr>
              <w:pStyle w:val="8"/>
              <w:spacing w:before="65" w:line="229" w:lineRule="auto"/>
              <w:ind w:left="464"/>
            </w:pPr>
            <w:r>
              <w:rPr>
                <w:spacing w:val="6"/>
              </w:rPr>
              <w:t>石云海</w:t>
            </w:r>
          </w:p>
        </w:tc>
        <w:tc>
          <w:tcPr>
            <w:tcW w:w="2794" w:type="dxa"/>
            <w:vAlign w:val="top"/>
          </w:tcPr>
          <w:p>
            <w:pPr>
              <w:spacing w:line="448" w:lineRule="auto"/>
              <w:rPr>
                <w:rFonts w:ascii="Arial"/>
                <w:sz w:val="21"/>
              </w:rPr>
            </w:pPr>
          </w:p>
          <w:p>
            <w:pPr>
              <w:pStyle w:val="8"/>
              <w:spacing w:before="65" w:line="226" w:lineRule="auto"/>
              <w:ind w:left="868"/>
            </w:pPr>
            <w:r>
              <w:rPr>
                <w:spacing w:val="8"/>
              </w:rPr>
              <w:t>评价主评人</w:t>
            </w:r>
          </w:p>
        </w:tc>
        <w:tc>
          <w:tcPr>
            <w:tcW w:w="3944" w:type="dxa"/>
            <w:vAlign w:val="top"/>
          </w:tcPr>
          <w:p>
            <w:pPr>
              <w:pStyle w:val="8"/>
              <w:spacing w:before="48" w:line="226" w:lineRule="auto"/>
              <w:ind w:left="195"/>
            </w:pPr>
            <w:r>
              <w:rPr>
                <w:spacing w:val="8"/>
              </w:rPr>
              <w:t>负责本次评价中对部门整体评价的实施</w:t>
            </w:r>
          </w:p>
          <w:p>
            <w:pPr>
              <w:pStyle w:val="8"/>
              <w:spacing w:before="66" w:line="228" w:lineRule="auto"/>
              <w:ind w:left="191"/>
            </w:pPr>
            <w:r>
              <w:rPr>
                <w:spacing w:val="9"/>
              </w:rPr>
              <w:t>统筹、资料收集，整理及数据分析、撰</w:t>
            </w:r>
          </w:p>
          <w:p>
            <w:pPr>
              <w:pStyle w:val="8"/>
              <w:spacing w:before="65" w:line="226" w:lineRule="auto"/>
              <w:ind w:left="192"/>
            </w:pPr>
            <w:r>
              <w:rPr>
                <w:spacing w:val="9"/>
              </w:rPr>
              <w:t>写工作方案及评价报告并对评价报告质</w:t>
            </w:r>
          </w:p>
          <w:p>
            <w:pPr>
              <w:pStyle w:val="8"/>
              <w:spacing w:before="67" w:line="228" w:lineRule="auto"/>
              <w:ind w:left="1446"/>
            </w:pPr>
            <w:r>
              <w:rPr>
                <w:spacing w:val="8"/>
              </w:rPr>
              <w:t>量进行把控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620" w:hRule="atLeast"/>
        </w:trPr>
        <w:tc>
          <w:tcPr>
            <w:tcW w:w="1558" w:type="dxa"/>
            <w:vAlign w:val="top"/>
          </w:tcPr>
          <w:p>
            <w:pPr>
              <w:pStyle w:val="8"/>
              <w:spacing w:before="202" w:line="228" w:lineRule="auto"/>
              <w:ind w:left="489"/>
            </w:pPr>
            <w:r>
              <w:rPr>
                <w:spacing w:val="-2"/>
              </w:rPr>
              <w:t>昆都孜</w:t>
            </w:r>
          </w:p>
        </w:tc>
        <w:tc>
          <w:tcPr>
            <w:tcW w:w="2794" w:type="dxa"/>
            <w:vMerge w:val="restart"/>
            <w:tcBorders>
              <w:bottom w:val="nil"/>
            </w:tcBorders>
            <w:vAlign w:val="top"/>
          </w:tcPr>
          <w:p>
            <w:pPr>
              <w:spacing w:line="406" w:lineRule="auto"/>
              <w:rPr>
                <w:rFonts w:ascii="Arial"/>
                <w:sz w:val="21"/>
              </w:rPr>
            </w:pPr>
          </w:p>
          <w:p>
            <w:pPr>
              <w:pStyle w:val="8"/>
              <w:spacing w:before="65" w:line="228" w:lineRule="auto"/>
              <w:ind w:left="974"/>
            </w:pPr>
            <w:r>
              <w:rPr>
                <w:spacing w:val="7"/>
              </w:rPr>
              <w:t>执行组员</w:t>
            </w:r>
          </w:p>
        </w:tc>
        <w:tc>
          <w:tcPr>
            <w:tcW w:w="3944" w:type="dxa"/>
            <w:vMerge w:val="restart"/>
            <w:tcBorders>
              <w:bottom w:val="nil"/>
            </w:tcBorders>
            <w:vAlign w:val="top"/>
          </w:tcPr>
          <w:p>
            <w:pPr>
              <w:pStyle w:val="8"/>
              <w:spacing w:before="161" w:line="228" w:lineRule="auto"/>
              <w:ind w:left="195"/>
            </w:pPr>
            <w:r>
              <w:rPr>
                <w:spacing w:val="8"/>
              </w:rPr>
              <w:t>负责协助与部门单位进行沟通、资料搜</w:t>
            </w:r>
          </w:p>
          <w:p>
            <w:pPr>
              <w:pStyle w:val="8"/>
              <w:spacing w:before="65" w:line="228" w:lineRule="auto"/>
              <w:ind w:left="186"/>
            </w:pPr>
            <w:r>
              <w:rPr>
                <w:spacing w:val="9"/>
              </w:rPr>
              <w:t>集、整理及数据分析等，并协助撰写工</w:t>
            </w:r>
          </w:p>
          <w:p>
            <w:pPr>
              <w:pStyle w:val="8"/>
              <w:spacing w:before="65" w:line="226" w:lineRule="auto"/>
              <w:ind w:left="816"/>
            </w:pPr>
            <w:r>
              <w:rPr>
                <w:spacing w:val="9"/>
              </w:rPr>
              <w:t>作方案及评价报告等工作</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529" w:hRule="atLeast"/>
        </w:trPr>
        <w:tc>
          <w:tcPr>
            <w:tcW w:w="1558" w:type="dxa"/>
            <w:tcBorders>
              <w:bottom w:val="single" w:color="000000" w:sz="2" w:space="0"/>
            </w:tcBorders>
            <w:vAlign w:val="top"/>
          </w:tcPr>
          <w:p>
            <w:pPr>
              <w:pStyle w:val="8"/>
              <w:spacing w:before="158" w:line="231" w:lineRule="auto"/>
              <w:ind w:left="467"/>
            </w:pPr>
            <w:r>
              <w:rPr>
                <w:spacing w:val="5"/>
              </w:rPr>
              <w:t>热西旦</w:t>
            </w:r>
          </w:p>
        </w:tc>
        <w:tc>
          <w:tcPr>
            <w:tcW w:w="2794" w:type="dxa"/>
            <w:vMerge w:val="continue"/>
            <w:tcBorders>
              <w:top w:val="nil"/>
              <w:bottom w:val="single" w:color="000000" w:sz="2" w:space="0"/>
            </w:tcBorders>
            <w:vAlign w:val="top"/>
          </w:tcPr>
          <w:p>
            <w:pPr>
              <w:rPr>
                <w:rFonts w:ascii="Arial"/>
                <w:sz w:val="21"/>
              </w:rPr>
            </w:pPr>
          </w:p>
        </w:tc>
        <w:tc>
          <w:tcPr>
            <w:tcW w:w="3944" w:type="dxa"/>
            <w:vMerge w:val="continue"/>
            <w:tcBorders>
              <w:top w:val="nil"/>
              <w:bottom w:val="single" w:color="000000" w:sz="2" w:space="0"/>
            </w:tcBorders>
            <w:vAlign w:val="top"/>
          </w:tcPr>
          <w:p>
            <w:pPr>
              <w:rPr>
                <w:rFonts w:ascii="Arial"/>
                <w:sz w:val="21"/>
              </w:rPr>
            </w:pP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b/>
          <w:bCs/>
          <w:snapToGrid/>
          <w:spacing w:val="0"/>
          <w:kern w:val="2"/>
          <w:sz w:val="32"/>
          <w:szCs w:val="32"/>
          <w:lang w:val="en-US" w:eastAsia="zh-CN" w:bidi="ar-SA"/>
        </w:rPr>
      </w:pPr>
      <w:r>
        <w:rPr>
          <w:rFonts w:hint="eastAsia" w:ascii="Times New Roman" w:hAnsi="Times New Roman" w:eastAsia="仿宋_GB2312" w:cstheme="minorBidi"/>
          <w:b/>
          <w:bCs/>
          <w:snapToGrid/>
          <w:spacing w:val="0"/>
          <w:kern w:val="2"/>
          <w:sz w:val="32"/>
          <w:szCs w:val="32"/>
          <w:lang w:val="en-US" w:eastAsia="zh-CN" w:bidi="ar-SA"/>
        </w:rPr>
        <w:t>2.工作进程安排</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b/>
          <w:bCs/>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（1）内部工作部署</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为与区民政局配合做好本次评价工作，天津安信管理咨询有限公司对评价团队人员进行培训，主要包括评价开展要求、流程、重点关注内容等。</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（2）与部门单位对接</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与区民政局进行对接，了解部门职能、2025年部门预算及决算情况、重点项目及部门整体绩效目标、部门管理制度、部门相关合同、立项文件等依据情况。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b/>
          <w:bCs/>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（3）资料收集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根据绩效评价实施方案及指标体系内容，向区民政局提供相关资料收集清单，包括基础数据、相关制度及政策文件、2025年部门预算及决算情况、重点项目工作情况等。</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b/>
          <w:bCs/>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（4）现场调研</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为进一步验证材料真实性，并对相关访谈、问卷问题进行调研，向区民政局办公现场进行实地核查，并对相关访谈内容进行现场座谈，形成访谈记录。</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b/>
          <w:bCs/>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（5）撰写报告初稿</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根据综合评价结果，撰写评价分析报告，报告撰写的内容包括部门基本情况概述、现场评价总体情况、评价指标分析、绩效实施效果和存在问题、具体改进措施及建议等。</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b/>
          <w:bCs/>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（6）征求意见并提交正式报告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哈密市伊州区财政局组织对本次评价报告进行审阅，并向区民政局征求意见，天津安信管理咨询有限公司根据反馈意见，修改完善报告后形成绩效评价报告终稿，报送至哈密市伊州区财政局</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ascii="黑体" w:hAnsi="黑体" w:eastAsia="黑体" w:cs="黑体"/>
          <w:spacing w:val="0"/>
          <w:sz w:val="32"/>
          <w:szCs w:val="32"/>
        </w:rPr>
      </w:pPr>
      <w:r>
        <w:rPr>
          <w:rFonts w:ascii="黑体" w:hAnsi="黑体" w:eastAsia="黑体" w:cs="黑体"/>
          <w:spacing w:val="0"/>
          <w:sz w:val="32"/>
          <w:szCs w:val="32"/>
        </w:rPr>
        <w:t>三、绩效评价分析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eastAsia" w:ascii="楷体" w:hAnsi="楷体" w:eastAsia="楷体" w:cs="楷体"/>
          <w:spacing w:val="0"/>
          <w:sz w:val="31"/>
          <w:szCs w:val="31"/>
        </w:rPr>
      </w:pPr>
      <w:bookmarkStart w:id="16" w:name="bookmark15"/>
      <w:bookmarkEnd w:id="16"/>
      <w:bookmarkStart w:id="17" w:name="bookmark14"/>
      <w:bookmarkEnd w:id="17"/>
      <w:r>
        <w:rPr>
          <w:rFonts w:hint="eastAsia" w:ascii="楷体" w:hAnsi="楷体" w:eastAsia="楷体" w:cs="楷体"/>
          <w:b w:val="0"/>
          <w:bCs w:val="0"/>
          <w:spacing w:val="0"/>
          <w:sz w:val="32"/>
          <w:szCs w:val="32"/>
        </w:rPr>
        <w:t>（一）部门决策</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部门决策指标从中长期规划科学合理性、年度工作计划科学完整性、绩效目标合理性、绩效目标明确性、预算编制规范性及预算编制合理性等多方面对部门决策目标完成情况进行考察，部门决策类指标权重分值15分，实际得分11.5分。各项指标的得分情况如表3-1所示</w:t>
      </w:r>
      <w:r>
        <w:rPr>
          <w:rFonts w:hint="eastAsia" w:ascii="Times New Roman" w:hAnsi="Times New Roman" w:eastAsia="仿宋_GB2312" w:cstheme="minorBidi"/>
          <w:snapToGrid/>
          <w:spacing w:val="0"/>
          <w:kern w:val="2"/>
          <w:sz w:val="32"/>
          <w:szCs w:val="32"/>
          <w:lang w:val="en-US" w:eastAsia="zh-CN" w:bidi="ar-SA"/>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jc w:val="center"/>
        <w:textAlignment w:val="baseline"/>
        <w:rPr>
          <w:rFonts w:hint="eastAsia" w:ascii="黑体" w:hAnsi="黑体" w:eastAsia="黑体" w:cs="黑体"/>
          <w:sz w:val="32"/>
          <w:szCs w:val="32"/>
        </w:rPr>
      </w:pPr>
      <w:r>
        <w:rPr>
          <w:rFonts w:hint="eastAsia" w:ascii="黑体" w:hAnsi="黑体" w:eastAsia="黑体" w:cs="黑体"/>
          <w:b/>
          <w:bCs/>
          <w:spacing w:val="-1"/>
          <w:sz w:val="32"/>
          <w:szCs w:val="32"/>
        </w:rPr>
        <w:t>表3-1部门决策类指标得分情况表</w:t>
      </w:r>
    </w:p>
    <w:p>
      <w:pPr>
        <w:spacing w:line="90" w:lineRule="auto"/>
        <w:rPr>
          <w:rFonts w:ascii="Arial"/>
          <w:sz w:val="2"/>
        </w:rPr>
      </w:pPr>
    </w:p>
    <w:tbl>
      <w:tblPr>
        <w:tblStyle w:val="7"/>
        <w:tblW w:w="8296" w:type="dxa"/>
        <w:tblInd w:w="1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686"/>
        <w:gridCol w:w="709"/>
        <w:gridCol w:w="1417"/>
        <w:gridCol w:w="1696"/>
        <w:gridCol w:w="709"/>
        <w:gridCol w:w="10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67" w:hRule="atLeast"/>
        </w:trPr>
        <w:tc>
          <w:tcPr>
            <w:tcW w:w="2686" w:type="dxa"/>
            <w:vAlign w:val="top"/>
          </w:tcPr>
          <w:p>
            <w:pPr>
              <w:pStyle w:val="8"/>
              <w:spacing w:before="128" w:line="228" w:lineRule="auto"/>
              <w:ind w:left="922"/>
            </w:pPr>
            <w:r>
              <w:rPr>
                <w:b/>
                <w:bCs/>
                <w:spacing w:val="6"/>
              </w:rPr>
              <w:t>三级指标</w:t>
            </w:r>
          </w:p>
        </w:tc>
        <w:tc>
          <w:tcPr>
            <w:tcW w:w="709" w:type="dxa"/>
            <w:vAlign w:val="top"/>
          </w:tcPr>
          <w:p>
            <w:pPr>
              <w:pStyle w:val="8"/>
              <w:spacing w:before="127" w:line="228" w:lineRule="auto"/>
              <w:ind w:left="140"/>
            </w:pPr>
            <w:r>
              <w:rPr>
                <w:b/>
                <w:bCs/>
                <w:spacing w:val="4"/>
              </w:rPr>
              <w:t>权重</w:t>
            </w:r>
          </w:p>
        </w:tc>
        <w:tc>
          <w:tcPr>
            <w:tcW w:w="1417" w:type="dxa"/>
            <w:vAlign w:val="top"/>
          </w:tcPr>
          <w:p>
            <w:pPr>
              <w:pStyle w:val="8"/>
              <w:spacing w:before="127" w:line="228" w:lineRule="auto"/>
              <w:ind w:left="393"/>
            </w:pPr>
            <w:r>
              <w:rPr>
                <w:b/>
                <w:bCs/>
                <w:spacing w:val="5"/>
              </w:rPr>
              <w:t>标杆值</w:t>
            </w:r>
          </w:p>
        </w:tc>
        <w:tc>
          <w:tcPr>
            <w:tcW w:w="1696" w:type="dxa"/>
            <w:vAlign w:val="top"/>
          </w:tcPr>
          <w:p>
            <w:pPr>
              <w:pStyle w:val="8"/>
              <w:spacing w:before="127" w:line="228" w:lineRule="auto"/>
              <w:ind w:left="534"/>
            </w:pPr>
            <w:r>
              <w:rPr>
                <w:b/>
                <w:bCs/>
                <w:spacing w:val="5"/>
              </w:rPr>
              <w:t>业绩值</w:t>
            </w:r>
          </w:p>
        </w:tc>
        <w:tc>
          <w:tcPr>
            <w:tcW w:w="709" w:type="dxa"/>
            <w:vAlign w:val="top"/>
          </w:tcPr>
          <w:p>
            <w:pPr>
              <w:pStyle w:val="8"/>
              <w:spacing w:before="127" w:line="228" w:lineRule="auto"/>
              <w:ind w:left="148"/>
            </w:pPr>
            <w:r>
              <w:rPr>
                <w:b/>
                <w:bCs/>
                <w:spacing w:val="3"/>
              </w:rPr>
              <w:t>得分</w:t>
            </w:r>
          </w:p>
        </w:tc>
        <w:tc>
          <w:tcPr>
            <w:tcW w:w="1079" w:type="dxa"/>
            <w:vAlign w:val="top"/>
          </w:tcPr>
          <w:p>
            <w:pPr>
              <w:pStyle w:val="8"/>
              <w:spacing w:before="127" w:line="228" w:lineRule="auto"/>
              <w:ind w:left="226"/>
            </w:pPr>
            <w:r>
              <w:rPr>
                <w:b/>
                <w:bCs/>
                <w:spacing w:val="5"/>
              </w:rPr>
              <w:t>得分率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1" w:hRule="atLeast"/>
        </w:trPr>
        <w:tc>
          <w:tcPr>
            <w:tcW w:w="2686" w:type="dxa"/>
            <w:vAlign w:val="top"/>
          </w:tcPr>
          <w:p>
            <w:pPr>
              <w:pStyle w:val="8"/>
              <w:spacing w:before="125" w:line="227" w:lineRule="auto"/>
              <w:ind w:left="312"/>
            </w:pPr>
            <w:r>
              <w:rPr>
                <w:spacing w:val="6"/>
              </w:rPr>
              <w:t>中长期规划科学合理性</w:t>
            </w:r>
          </w:p>
        </w:tc>
        <w:tc>
          <w:tcPr>
            <w:tcW w:w="709" w:type="dxa"/>
            <w:vAlign w:val="top"/>
          </w:tcPr>
          <w:p>
            <w:pPr>
              <w:spacing w:before="162" w:line="195" w:lineRule="auto"/>
              <w:ind w:left="29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17" w:type="dxa"/>
            <w:vAlign w:val="top"/>
          </w:tcPr>
          <w:p>
            <w:pPr>
              <w:pStyle w:val="8"/>
              <w:spacing w:before="126" w:line="231" w:lineRule="auto"/>
              <w:ind w:left="499"/>
            </w:pPr>
            <w:r>
              <w:rPr>
                <w:spacing w:val="4"/>
              </w:rPr>
              <w:t>合理</w:t>
            </w:r>
          </w:p>
        </w:tc>
        <w:tc>
          <w:tcPr>
            <w:tcW w:w="1696" w:type="dxa"/>
            <w:vAlign w:val="top"/>
          </w:tcPr>
          <w:p>
            <w:pPr>
              <w:pStyle w:val="8"/>
              <w:spacing w:before="125" w:line="231" w:lineRule="auto"/>
              <w:ind w:left="539"/>
            </w:pPr>
            <w:r>
              <w:rPr>
                <w:spacing w:val="5"/>
              </w:rPr>
              <w:t>不合理</w:t>
            </w:r>
          </w:p>
        </w:tc>
        <w:tc>
          <w:tcPr>
            <w:tcW w:w="709" w:type="dxa"/>
            <w:vAlign w:val="top"/>
          </w:tcPr>
          <w:p>
            <w:pPr>
              <w:spacing w:before="162" w:line="195" w:lineRule="auto"/>
              <w:ind w:left="322"/>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079" w:type="dxa"/>
            <w:vAlign w:val="top"/>
          </w:tcPr>
          <w:p>
            <w:pPr>
              <w:spacing w:before="161" w:line="195" w:lineRule="auto"/>
              <w:ind w:left="35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1" w:hRule="atLeast"/>
        </w:trPr>
        <w:tc>
          <w:tcPr>
            <w:tcW w:w="2686" w:type="dxa"/>
            <w:vAlign w:val="top"/>
          </w:tcPr>
          <w:p>
            <w:pPr>
              <w:pStyle w:val="8"/>
              <w:spacing w:before="127" w:line="227" w:lineRule="auto"/>
              <w:ind w:left="188"/>
            </w:pPr>
            <w:r>
              <w:rPr>
                <w:spacing w:val="9"/>
              </w:rPr>
              <w:t>年度工作计划科学完整性</w:t>
            </w:r>
          </w:p>
        </w:tc>
        <w:tc>
          <w:tcPr>
            <w:tcW w:w="709" w:type="dxa"/>
            <w:vAlign w:val="top"/>
          </w:tcPr>
          <w:p>
            <w:pPr>
              <w:spacing w:before="163" w:line="195" w:lineRule="auto"/>
              <w:ind w:left="300"/>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417" w:type="dxa"/>
            <w:vAlign w:val="top"/>
          </w:tcPr>
          <w:p>
            <w:pPr>
              <w:pStyle w:val="8"/>
              <w:spacing w:before="127" w:line="227" w:lineRule="auto"/>
              <w:ind w:left="289"/>
            </w:pPr>
            <w:r>
              <w:rPr>
                <w:spacing w:val="7"/>
              </w:rPr>
              <w:t>科学完整</w:t>
            </w:r>
          </w:p>
        </w:tc>
        <w:tc>
          <w:tcPr>
            <w:tcW w:w="1696" w:type="dxa"/>
            <w:vAlign w:val="top"/>
          </w:tcPr>
          <w:p>
            <w:pPr>
              <w:pStyle w:val="8"/>
              <w:spacing w:before="127" w:line="227" w:lineRule="auto"/>
              <w:ind w:left="430"/>
            </w:pPr>
            <w:r>
              <w:rPr>
                <w:spacing w:val="7"/>
              </w:rPr>
              <w:t>科学完整</w:t>
            </w:r>
          </w:p>
        </w:tc>
        <w:tc>
          <w:tcPr>
            <w:tcW w:w="709" w:type="dxa"/>
            <w:vAlign w:val="top"/>
          </w:tcPr>
          <w:p>
            <w:pPr>
              <w:spacing w:before="163" w:line="195" w:lineRule="auto"/>
              <w:ind w:left="306"/>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079" w:type="dxa"/>
            <w:vAlign w:val="top"/>
          </w:tcPr>
          <w:p>
            <w:pPr>
              <w:spacing w:before="163" w:line="195" w:lineRule="auto"/>
              <w:ind w:left="31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1" w:hRule="atLeast"/>
        </w:trPr>
        <w:tc>
          <w:tcPr>
            <w:tcW w:w="2686" w:type="dxa"/>
            <w:vAlign w:val="top"/>
          </w:tcPr>
          <w:p>
            <w:pPr>
              <w:pStyle w:val="8"/>
              <w:spacing w:before="131" w:line="228" w:lineRule="auto"/>
              <w:ind w:left="611"/>
            </w:pPr>
            <w:r>
              <w:rPr>
                <w:spacing w:val="8"/>
              </w:rPr>
              <w:t>绩效目标合理性</w:t>
            </w:r>
          </w:p>
        </w:tc>
        <w:tc>
          <w:tcPr>
            <w:tcW w:w="709" w:type="dxa"/>
            <w:vAlign w:val="top"/>
          </w:tcPr>
          <w:p>
            <w:pPr>
              <w:spacing w:before="166" w:line="195" w:lineRule="auto"/>
              <w:ind w:left="29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17" w:type="dxa"/>
            <w:vAlign w:val="top"/>
          </w:tcPr>
          <w:p>
            <w:pPr>
              <w:pStyle w:val="8"/>
              <w:spacing w:before="131" w:line="231" w:lineRule="auto"/>
              <w:ind w:left="499"/>
            </w:pPr>
            <w:r>
              <w:rPr>
                <w:spacing w:val="4"/>
              </w:rPr>
              <w:t>合理</w:t>
            </w:r>
          </w:p>
        </w:tc>
        <w:tc>
          <w:tcPr>
            <w:tcW w:w="1696" w:type="dxa"/>
            <w:vAlign w:val="top"/>
          </w:tcPr>
          <w:p>
            <w:pPr>
              <w:pStyle w:val="8"/>
              <w:spacing w:before="130" w:line="228" w:lineRule="auto"/>
              <w:ind w:left="327"/>
            </w:pPr>
            <w:r>
              <w:rPr>
                <w:spacing w:val="7"/>
              </w:rPr>
              <w:t>部分不合理</w:t>
            </w:r>
          </w:p>
        </w:tc>
        <w:tc>
          <w:tcPr>
            <w:tcW w:w="709" w:type="dxa"/>
            <w:vAlign w:val="top"/>
          </w:tcPr>
          <w:p>
            <w:pPr>
              <w:spacing w:before="166" w:line="195" w:lineRule="auto"/>
              <w:ind w:left="322"/>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079" w:type="dxa"/>
            <w:vAlign w:val="top"/>
          </w:tcPr>
          <w:p>
            <w:pPr>
              <w:spacing w:before="166" w:line="195" w:lineRule="auto"/>
              <w:ind w:left="35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1" w:hRule="atLeast"/>
        </w:trPr>
        <w:tc>
          <w:tcPr>
            <w:tcW w:w="2686" w:type="dxa"/>
            <w:vAlign w:val="top"/>
          </w:tcPr>
          <w:p>
            <w:pPr>
              <w:pStyle w:val="8"/>
              <w:spacing w:before="131" w:line="228" w:lineRule="auto"/>
              <w:ind w:left="611"/>
            </w:pPr>
            <w:r>
              <w:rPr>
                <w:spacing w:val="8"/>
              </w:rPr>
              <w:t>绩效目标明确性</w:t>
            </w:r>
          </w:p>
        </w:tc>
        <w:tc>
          <w:tcPr>
            <w:tcW w:w="709" w:type="dxa"/>
            <w:vAlign w:val="top"/>
          </w:tcPr>
          <w:p>
            <w:pPr>
              <w:spacing w:before="167" w:line="195" w:lineRule="auto"/>
              <w:ind w:left="300"/>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417" w:type="dxa"/>
            <w:vAlign w:val="top"/>
          </w:tcPr>
          <w:p>
            <w:pPr>
              <w:pStyle w:val="8"/>
              <w:spacing w:before="131" w:line="228" w:lineRule="auto"/>
              <w:ind w:left="309"/>
            </w:pPr>
            <w:r>
              <w:rPr>
                <w:spacing w:val="2"/>
              </w:rPr>
              <w:t>明确规范</w:t>
            </w:r>
          </w:p>
        </w:tc>
        <w:tc>
          <w:tcPr>
            <w:tcW w:w="1696" w:type="dxa"/>
            <w:vAlign w:val="top"/>
          </w:tcPr>
          <w:p>
            <w:pPr>
              <w:pStyle w:val="8"/>
              <w:spacing w:before="131" w:line="228" w:lineRule="auto"/>
              <w:ind w:left="449"/>
            </w:pPr>
            <w:r>
              <w:rPr>
                <w:spacing w:val="2"/>
              </w:rPr>
              <w:t>明确规范</w:t>
            </w:r>
          </w:p>
        </w:tc>
        <w:tc>
          <w:tcPr>
            <w:tcW w:w="709" w:type="dxa"/>
            <w:vAlign w:val="top"/>
          </w:tcPr>
          <w:p>
            <w:pPr>
              <w:spacing w:before="167" w:line="195" w:lineRule="auto"/>
              <w:ind w:left="306"/>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079" w:type="dxa"/>
            <w:vAlign w:val="top"/>
          </w:tcPr>
          <w:p>
            <w:pPr>
              <w:spacing w:before="167" w:line="195" w:lineRule="auto"/>
              <w:ind w:left="31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1" w:hRule="atLeast"/>
        </w:trPr>
        <w:tc>
          <w:tcPr>
            <w:tcW w:w="2686" w:type="dxa"/>
            <w:vAlign w:val="top"/>
          </w:tcPr>
          <w:p>
            <w:pPr>
              <w:pStyle w:val="8"/>
              <w:spacing w:before="132" w:line="228" w:lineRule="auto"/>
              <w:ind w:left="609"/>
            </w:pPr>
            <w:r>
              <w:rPr>
                <w:spacing w:val="8"/>
              </w:rPr>
              <w:t>预算编制规范性</w:t>
            </w:r>
          </w:p>
        </w:tc>
        <w:tc>
          <w:tcPr>
            <w:tcW w:w="709" w:type="dxa"/>
            <w:vAlign w:val="top"/>
          </w:tcPr>
          <w:p>
            <w:pPr>
              <w:spacing w:before="169" w:line="195" w:lineRule="auto"/>
              <w:ind w:left="29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17" w:type="dxa"/>
            <w:vAlign w:val="top"/>
          </w:tcPr>
          <w:p>
            <w:pPr>
              <w:pStyle w:val="8"/>
              <w:spacing w:before="133" w:line="230" w:lineRule="auto"/>
              <w:ind w:left="499"/>
            </w:pPr>
            <w:r>
              <w:rPr>
                <w:spacing w:val="4"/>
              </w:rPr>
              <w:t>规范</w:t>
            </w:r>
          </w:p>
        </w:tc>
        <w:tc>
          <w:tcPr>
            <w:tcW w:w="1696" w:type="dxa"/>
            <w:vAlign w:val="top"/>
          </w:tcPr>
          <w:p>
            <w:pPr>
              <w:pStyle w:val="8"/>
              <w:spacing w:before="132" w:line="228" w:lineRule="auto"/>
              <w:ind w:left="327"/>
            </w:pPr>
            <w:r>
              <w:rPr>
                <w:spacing w:val="7"/>
              </w:rPr>
              <w:t>部分不规范</w:t>
            </w:r>
          </w:p>
        </w:tc>
        <w:tc>
          <w:tcPr>
            <w:tcW w:w="709" w:type="dxa"/>
            <w:vAlign w:val="top"/>
          </w:tcPr>
          <w:p>
            <w:pPr>
              <w:spacing w:before="169" w:line="195" w:lineRule="auto"/>
              <w:ind w:left="322"/>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079" w:type="dxa"/>
            <w:vAlign w:val="top"/>
          </w:tcPr>
          <w:p>
            <w:pPr>
              <w:spacing w:before="169" w:line="195" w:lineRule="auto"/>
              <w:ind w:left="35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1" w:hRule="atLeast"/>
        </w:trPr>
        <w:tc>
          <w:tcPr>
            <w:tcW w:w="2686" w:type="dxa"/>
            <w:vAlign w:val="top"/>
          </w:tcPr>
          <w:p>
            <w:pPr>
              <w:pStyle w:val="8"/>
              <w:spacing w:before="136" w:line="228" w:lineRule="auto"/>
              <w:ind w:left="609"/>
            </w:pPr>
            <w:r>
              <w:rPr>
                <w:spacing w:val="8"/>
              </w:rPr>
              <w:t>预算编制合理性</w:t>
            </w:r>
          </w:p>
        </w:tc>
        <w:tc>
          <w:tcPr>
            <w:tcW w:w="709" w:type="dxa"/>
            <w:vAlign w:val="top"/>
          </w:tcPr>
          <w:p>
            <w:pPr>
              <w:spacing w:before="172" w:line="195" w:lineRule="auto"/>
              <w:ind w:left="300"/>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417" w:type="dxa"/>
            <w:vAlign w:val="top"/>
          </w:tcPr>
          <w:p>
            <w:pPr>
              <w:pStyle w:val="8"/>
              <w:spacing w:before="137" w:line="231" w:lineRule="auto"/>
              <w:ind w:left="499"/>
            </w:pPr>
            <w:r>
              <w:rPr>
                <w:spacing w:val="4"/>
              </w:rPr>
              <w:t>合理</w:t>
            </w:r>
          </w:p>
        </w:tc>
        <w:tc>
          <w:tcPr>
            <w:tcW w:w="1696" w:type="dxa"/>
            <w:vAlign w:val="top"/>
          </w:tcPr>
          <w:p>
            <w:pPr>
              <w:pStyle w:val="8"/>
              <w:spacing w:before="137" w:line="231" w:lineRule="auto"/>
              <w:ind w:left="642"/>
            </w:pPr>
            <w:r>
              <w:rPr>
                <w:spacing w:val="4"/>
              </w:rPr>
              <w:t>合理</w:t>
            </w:r>
          </w:p>
        </w:tc>
        <w:tc>
          <w:tcPr>
            <w:tcW w:w="709" w:type="dxa"/>
            <w:vAlign w:val="top"/>
          </w:tcPr>
          <w:p>
            <w:pPr>
              <w:spacing w:before="172" w:line="195" w:lineRule="auto"/>
              <w:ind w:left="306"/>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079" w:type="dxa"/>
            <w:vAlign w:val="top"/>
          </w:tcPr>
          <w:p>
            <w:pPr>
              <w:spacing w:before="172" w:line="195" w:lineRule="auto"/>
              <w:ind w:left="31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81" w:hRule="atLeast"/>
        </w:trPr>
        <w:tc>
          <w:tcPr>
            <w:tcW w:w="2686" w:type="dxa"/>
            <w:vAlign w:val="top"/>
          </w:tcPr>
          <w:p>
            <w:pPr>
              <w:pStyle w:val="8"/>
              <w:spacing w:before="138" w:line="229" w:lineRule="auto"/>
              <w:ind w:left="1136"/>
            </w:pPr>
            <w:r>
              <w:rPr>
                <w:b/>
                <w:bCs/>
                <w:spacing w:val="1"/>
              </w:rPr>
              <w:t>总计</w:t>
            </w:r>
          </w:p>
        </w:tc>
        <w:tc>
          <w:tcPr>
            <w:tcW w:w="709" w:type="dxa"/>
            <w:vAlign w:val="top"/>
          </w:tcPr>
          <w:p>
            <w:pPr>
              <w:spacing w:before="173" w:line="195" w:lineRule="auto"/>
              <w:ind w:left="252"/>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15</w:t>
            </w:r>
          </w:p>
        </w:tc>
        <w:tc>
          <w:tcPr>
            <w:tcW w:w="1417" w:type="dxa"/>
            <w:vAlign w:val="top"/>
          </w:tcPr>
          <w:p>
            <w:pPr>
              <w:spacing w:before="258" w:line="101" w:lineRule="exact"/>
              <w:ind w:left="670"/>
              <w:rPr>
                <w:rFonts w:ascii="Times New Roman" w:hAnsi="Times New Roman" w:eastAsia="Times New Roman" w:cs="Times New Roman"/>
                <w:sz w:val="20"/>
                <w:szCs w:val="20"/>
              </w:rPr>
            </w:pPr>
            <w:r>
              <w:rPr>
                <w:rFonts w:ascii="Times New Roman" w:hAnsi="Times New Roman" w:eastAsia="Times New Roman" w:cs="Times New Roman"/>
                <w:b/>
                <w:bCs/>
                <w:position w:val="-2"/>
                <w:sz w:val="20"/>
                <w:szCs w:val="20"/>
              </w:rPr>
              <w:t>-</w:t>
            </w:r>
          </w:p>
        </w:tc>
        <w:tc>
          <w:tcPr>
            <w:tcW w:w="1696" w:type="dxa"/>
            <w:vAlign w:val="top"/>
          </w:tcPr>
          <w:p>
            <w:pPr>
              <w:spacing w:before="258" w:line="101" w:lineRule="exact"/>
              <w:ind w:left="813"/>
              <w:rPr>
                <w:rFonts w:ascii="Times New Roman" w:hAnsi="Times New Roman" w:eastAsia="Times New Roman" w:cs="Times New Roman"/>
                <w:sz w:val="20"/>
                <w:szCs w:val="20"/>
              </w:rPr>
            </w:pPr>
            <w:r>
              <w:rPr>
                <w:rFonts w:ascii="Times New Roman" w:hAnsi="Times New Roman" w:eastAsia="Times New Roman" w:cs="Times New Roman"/>
                <w:b/>
                <w:bCs/>
                <w:position w:val="-2"/>
                <w:sz w:val="20"/>
                <w:szCs w:val="20"/>
              </w:rPr>
              <w:t>-</w:t>
            </w:r>
          </w:p>
        </w:tc>
        <w:tc>
          <w:tcPr>
            <w:tcW w:w="709" w:type="dxa"/>
            <w:vAlign w:val="top"/>
          </w:tcPr>
          <w:p>
            <w:pPr>
              <w:spacing w:before="174" w:line="195" w:lineRule="auto"/>
              <w:ind w:left="261"/>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12</w:t>
            </w:r>
          </w:p>
        </w:tc>
        <w:tc>
          <w:tcPr>
            <w:tcW w:w="1079" w:type="dxa"/>
            <w:vAlign w:val="top"/>
          </w:tcPr>
          <w:p>
            <w:pPr>
              <w:spacing w:before="174" w:line="195" w:lineRule="auto"/>
              <w:ind w:left="330"/>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80%</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eastAsia" w:ascii="黑体" w:hAnsi="黑体" w:eastAsia="黑体" w:cs="黑体"/>
          <w:b w:val="0"/>
          <w:bCs w:val="0"/>
          <w:spacing w:val="0"/>
          <w:sz w:val="32"/>
          <w:szCs w:val="32"/>
        </w:rPr>
      </w:pPr>
      <w:r>
        <w:rPr>
          <w:rFonts w:hint="eastAsia" w:ascii="仿宋_GB2312" w:hAnsi="仿宋_GB2312" w:eastAsia="仿宋_GB2312" w:cs="仿宋_GB2312"/>
          <w:b/>
          <w:bCs/>
          <w:spacing w:val="0"/>
          <w:sz w:val="32"/>
          <w:szCs w:val="32"/>
        </w:rPr>
        <w:t>部门决策类指标具体情况分析如下：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仿宋_GB2312" w:hAnsi="仿宋_GB2312" w:eastAsia="仿宋_GB2312" w:cs="仿宋_GB2312"/>
          <w:b/>
          <w:bCs/>
          <w:snapToGrid/>
          <w:spacing w:val="0"/>
          <w:kern w:val="2"/>
          <w:sz w:val="32"/>
          <w:szCs w:val="32"/>
          <w:lang w:val="en-US" w:eastAsia="zh-CN" w:bidi="ar-SA"/>
        </w:rPr>
      </w:pPr>
      <w:r>
        <w:rPr>
          <w:rFonts w:hint="eastAsia" w:ascii="仿宋_GB2312" w:hAnsi="仿宋_GB2312" w:eastAsia="仿宋_GB2312" w:cs="仿宋_GB2312"/>
          <w:b/>
          <w:bCs/>
          <w:snapToGrid/>
          <w:spacing w:val="0"/>
          <w:kern w:val="2"/>
          <w:sz w:val="32"/>
          <w:szCs w:val="32"/>
          <w:lang w:val="en-US" w:eastAsia="zh-CN" w:bidi="ar-SA"/>
        </w:rPr>
        <w:t>1.部门规划计划</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（1）中长期规划科学合理性：</w:t>
      </w:r>
      <w:r>
        <w:rPr>
          <w:rFonts w:ascii="Times New Roman" w:hAnsi="Times New Roman" w:eastAsia="仿宋_GB2312" w:cstheme="minorBidi"/>
          <w:snapToGrid/>
          <w:spacing w:val="0"/>
          <w:kern w:val="2"/>
          <w:sz w:val="32"/>
          <w:szCs w:val="32"/>
          <w:lang w:val="en-US" w:eastAsia="zh-CN" w:bidi="ar-SA"/>
        </w:rPr>
        <w:t>分值2分，得分1分，得分率50%。根据区民政局提供的项目资料，并结合现场调研，区民政局在2025年度编制了部门</w:t>
      </w:r>
      <w:r>
        <w:rPr>
          <w:rFonts w:hint="eastAsia" w:ascii="Times New Roman" w:hAnsi="Times New Roman" w:eastAsia="仿宋_GB2312" w:cstheme="minorBidi"/>
          <w:snapToGrid/>
          <w:spacing w:val="0"/>
          <w:kern w:val="2"/>
          <w:sz w:val="32"/>
          <w:szCs w:val="32"/>
          <w:lang w:val="en-US" w:eastAsia="zh-CN" w:bidi="ar-SA"/>
        </w:rPr>
        <w:t>“十四五”</w:t>
      </w:r>
      <w:r>
        <w:rPr>
          <w:rFonts w:ascii="Times New Roman" w:hAnsi="Times New Roman" w:eastAsia="仿宋_GB2312" w:cstheme="minorBidi"/>
          <w:snapToGrid/>
          <w:spacing w:val="0"/>
          <w:kern w:val="2"/>
          <w:sz w:val="32"/>
          <w:szCs w:val="32"/>
          <w:lang w:val="en-US" w:eastAsia="zh-CN" w:bidi="ar-SA"/>
        </w:rPr>
        <w:t>中长期发展规划，截至评价期间，但部门单位提供的中长期发展规划材料不完整，区民政局总体目标中，对中长期规划的实施内容及时间安排上，未做具体描述，依据评价标准，该指标扣1分。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b/>
          <w:bCs/>
          <w:snapToGrid/>
          <w:spacing w:val="0"/>
          <w:kern w:val="2"/>
          <w:sz w:val="32"/>
          <w:szCs w:val="32"/>
          <w:lang w:val="en-US" w:eastAsia="zh-CN" w:bidi="ar-SA"/>
        </w:rPr>
        <w:t>（2）年度工作计划科学完整性：</w:t>
      </w:r>
      <w:r>
        <w:rPr>
          <w:rFonts w:ascii="Times New Roman" w:hAnsi="Times New Roman" w:eastAsia="仿宋_GB2312" w:cstheme="minorBidi"/>
          <w:snapToGrid/>
          <w:spacing w:val="0"/>
          <w:kern w:val="2"/>
          <w:sz w:val="32"/>
          <w:szCs w:val="32"/>
          <w:lang w:val="en-US" w:eastAsia="zh-CN" w:bidi="ar-SA"/>
        </w:rPr>
        <w:t>分值3分，得分3分，得分率100%。根据区民政局提供的重点工作计划，其年度工作计划设置的总体目标是“完成低保金发放，发放残疾人两项补贴，发放老年人补贴等，保障各类群众基本生活。”，且计划内明确了全年实施内容及责任主体，全年工作计划主要内容为开展家庭经济老年人能力评估工作、实施老年人家庭养老床位及居家服务项目、特殊老年人探访关爱服务、失地人员、城市化转移安置搬迁工作等，与区民政局部门职能相符。依据评价标准，该指标得3分</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eastAsia" w:ascii="仿宋_GB2312" w:hAnsi="仿宋_GB2312" w:eastAsia="仿宋_GB2312" w:cs="仿宋_GB2312"/>
          <w:b/>
          <w:bCs/>
          <w:spacing w:val="0"/>
          <w:sz w:val="32"/>
          <w:szCs w:val="32"/>
        </w:rPr>
      </w:pPr>
      <w:r>
        <w:rPr>
          <w:rFonts w:hint="eastAsia" w:ascii="仿宋_GB2312" w:hAnsi="仿宋_GB2312" w:eastAsia="仿宋_GB2312" w:cs="仿宋_GB2312"/>
          <w:b/>
          <w:bCs/>
          <w:spacing w:val="0"/>
          <w:sz w:val="32"/>
          <w:szCs w:val="32"/>
        </w:rPr>
        <w:t>2.绩效目标管理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（1）绩效目标合理性：</w:t>
      </w:r>
      <w:r>
        <w:rPr>
          <w:rFonts w:ascii="Times New Roman" w:hAnsi="Times New Roman" w:eastAsia="仿宋_GB2312" w:cstheme="minorBidi"/>
          <w:snapToGrid/>
          <w:spacing w:val="0"/>
          <w:kern w:val="2"/>
          <w:sz w:val="32"/>
          <w:szCs w:val="32"/>
          <w:lang w:val="en-US" w:eastAsia="zh-CN" w:bidi="ar-SA"/>
        </w:rPr>
        <w:t>分值2分，得分1分，得分率50%。根据区民政局提供的2025年度部门整体绩效目标表，部门年度绩效目标主要包括完成低保金发放，发放残疾人两项补贴，发放老年人补贴、失地人员、城市化转移安置搬迁工作等，保障各类补助群众基本生活等方面，其设置与区民政局部门职能、工作计划具有相关性。绩效目标与本年度部门、项目预算资金相匹配，部门履职产出及履职效益设置符合行业正常业绩水平，且与预期计划相符，但部门年度总体目标内容描述过于简单，仅描述了发放项目名称，未根据部门单位年度工作计划做各项目补贴标准、补贴细则等内容分析，故年度总体目标内容描述不完整、不细化。依据评价标准，该指标得1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b/>
          <w:bCs/>
          <w:snapToGrid/>
          <w:spacing w:val="0"/>
          <w:kern w:val="2"/>
          <w:sz w:val="32"/>
          <w:szCs w:val="32"/>
          <w:lang w:val="en-US" w:eastAsia="zh-CN" w:bidi="ar-SA"/>
        </w:rPr>
        <w:t>（2）绩效目标明确性：</w:t>
      </w:r>
      <w:r>
        <w:rPr>
          <w:rFonts w:ascii="Times New Roman" w:hAnsi="Times New Roman" w:eastAsia="仿宋_GB2312" w:cstheme="minorBidi"/>
          <w:snapToGrid/>
          <w:spacing w:val="0"/>
          <w:kern w:val="2"/>
          <w:sz w:val="32"/>
          <w:szCs w:val="32"/>
          <w:lang w:val="en-US" w:eastAsia="zh-CN" w:bidi="ar-SA"/>
        </w:rPr>
        <w:t>分值3分，得分3分，得分率100%。根据区民政局提供的2025年度部门整体绩效目标表，部门共设置了4条三级指标，已将整体绩效目标细化为具体的绩效指标，且指标设置全部为量化可衡量指标，依据评价标准，该指标得3分</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eastAsia" w:ascii="仿宋_GB2312" w:hAnsi="仿宋_GB2312" w:eastAsia="仿宋_GB2312" w:cs="仿宋_GB2312"/>
          <w:b/>
          <w:bCs/>
          <w:spacing w:val="0"/>
          <w:sz w:val="32"/>
          <w:szCs w:val="32"/>
        </w:rPr>
      </w:pPr>
      <w:r>
        <w:rPr>
          <w:rFonts w:hint="eastAsia" w:ascii="仿宋_GB2312" w:hAnsi="仿宋_GB2312" w:eastAsia="仿宋_GB2312" w:cs="仿宋_GB2312"/>
          <w:b/>
          <w:bCs/>
          <w:spacing w:val="0"/>
          <w:sz w:val="32"/>
          <w:szCs w:val="32"/>
        </w:rPr>
        <w:t>3.部门预算管理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（1）预算编制规范性：</w:t>
      </w:r>
      <w:r>
        <w:rPr>
          <w:rFonts w:ascii="Times New Roman" w:hAnsi="Times New Roman" w:eastAsia="仿宋_GB2312" w:cstheme="minorBidi"/>
          <w:snapToGrid/>
          <w:spacing w:val="0"/>
          <w:kern w:val="2"/>
          <w:sz w:val="32"/>
          <w:szCs w:val="32"/>
          <w:lang w:val="en-US" w:eastAsia="zh-CN" w:bidi="ar-SA"/>
        </w:rPr>
        <w:t>分值2分，得分1分，得分率50%。根据区民政局提供的部门预算批复、预算测算依据等相关资料，部门2025年预算测算内容主要围绕着城市低保金发放，残疾人两项补贴，发放老年人补贴等工作，测算内容与部门履职、年度工作计划相符，并且具有完整的预算额度测算依据，其测算资金量与工作任务计划一致。</w:t>
      </w:r>
      <w:r>
        <w:rPr>
          <w:rFonts w:hint="eastAsia" w:ascii="Times New Roman" w:hAnsi="Times New Roman" w:eastAsia="仿宋_GB2312" w:cstheme="minorBidi"/>
          <w:snapToGrid/>
          <w:spacing w:val="0"/>
          <w:kern w:val="2"/>
          <w:sz w:val="32"/>
          <w:szCs w:val="32"/>
          <w:lang w:val="en-US" w:eastAsia="zh-CN" w:bidi="ar-SA"/>
        </w:rPr>
        <w:t>一一对应</w:t>
      </w:r>
      <w:r>
        <w:rPr>
          <w:rFonts w:ascii="Times New Roman" w:hAnsi="Times New Roman" w:eastAsia="仿宋_GB2312" w:cstheme="minorBidi"/>
          <w:snapToGrid/>
          <w:spacing w:val="0"/>
          <w:kern w:val="2"/>
          <w:sz w:val="32"/>
          <w:szCs w:val="32"/>
          <w:lang w:val="en-US" w:eastAsia="zh-CN" w:bidi="ar-SA"/>
        </w:rPr>
        <w:t>预算编制决策程序不规范，虽然区民政局2025年部门预算编制采取预算编制流程，但在预算编制期间缺少部门集体会议决策环节及相关会议纪要。依据评价标准，该指标扣1分。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b/>
          <w:bCs/>
          <w:snapToGrid/>
          <w:spacing w:val="0"/>
          <w:kern w:val="2"/>
          <w:sz w:val="32"/>
          <w:szCs w:val="32"/>
          <w:lang w:val="en-US" w:eastAsia="zh-CN" w:bidi="ar-SA"/>
        </w:rPr>
        <w:t>（2）预算编制合理性：</w:t>
      </w:r>
      <w:r>
        <w:rPr>
          <w:rFonts w:ascii="Times New Roman" w:hAnsi="Times New Roman" w:eastAsia="仿宋_GB2312" w:cstheme="minorBidi"/>
          <w:snapToGrid/>
          <w:spacing w:val="0"/>
          <w:kern w:val="2"/>
          <w:sz w:val="32"/>
          <w:szCs w:val="32"/>
          <w:lang w:val="en-US" w:eastAsia="zh-CN" w:bidi="ar-SA"/>
        </w:rPr>
        <w:t>分值3分，得分3分，得分率100%。根据区民政局提供的部门职责、部门预算批复、预算测算依据等相关资料，区民政局年初预算项目为完成低保金发放，发放残疾人两项补贴，发放老年人补贴、失地人员、城市话转移安置搬迁工作，保障各类群众基本生活等，各专项均具有完整的立项依据及测算标准，且部门全年预算支出方向主要为城乡低保、残疾人两项、老年人补贴、失地搬迁补助支出等，符合部门年度工作计划内容，重点工作保障遵循轻重缓急按顺序保障机制。依据评价标准，该指标得3分</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hint="eastAsia" w:ascii="楷体" w:hAnsi="楷体" w:eastAsia="楷体" w:cs="楷体"/>
          <w:b w:val="0"/>
          <w:bCs w:val="0"/>
          <w:spacing w:val="0"/>
          <w:sz w:val="32"/>
          <w:szCs w:val="32"/>
        </w:rPr>
      </w:pPr>
      <w:bookmarkStart w:id="18" w:name="bookmark16"/>
      <w:bookmarkEnd w:id="18"/>
      <w:r>
        <w:rPr>
          <w:rFonts w:hint="eastAsia" w:ascii="楷体" w:hAnsi="楷体" w:eastAsia="楷体" w:cs="楷体"/>
          <w:b w:val="0"/>
          <w:bCs w:val="0"/>
          <w:spacing w:val="0"/>
          <w:sz w:val="32"/>
          <w:szCs w:val="32"/>
        </w:rPr>
        <w:t>（二）部门管理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部门管理指标从中部门预算资金管理、内部制度管理两方面对部门管理情况进行考察，部门管理类指标权重分值35分，实际得分34.1分。各项指标的得分情况如表3-2所示</w:t>
      </w:r>
      <w:r>
        <w:rPr>
          <w:rFonts w:ascii="华文仿宋" w:hAnsi="华文仿宋" w:eastAsia="华文仿宋" w:cs="华文仿宋"/>
          <w:spacing w:val="0"/>
          <w:sz w:val="31"/>
          <w:szCs w:val="31"/>
        </w:rPr>
        <w:t>。</w:t>
      </w:r>
    </w:p>
    <w:p>
      <w:pPr>
        <w:spacing w:before="28" w:line="184" w:lineRule="auto"/>
        <w:ind w:left="2359"/>
        <w:rPr>
          <w:rFonts w:ascii="微软雅黑" w:hAnsi="微软雅黑" w:eastAsia="微软雅黑" w:cs="微软雅黑"/>
          <w:sz w:val="24"/>
          <w:szCs w:val="24"/>
        </w:rPr>
      </w:pPr>
      <w:r>
        <w:rPr>
          <w:rFonts w:ascii="微软雅黑" w:hAnsi="微软雅黑" w:eastAsia="微软雅黑" w:cs="微软雅黑"/>
          <w:b/>
          <w:bCs/>
          <w:spacing w:val="-1"/>
          <w:sz w:val="24"/>
          <w:szCs w:val="24"/>
        </w:rPr>
        <w:t>表</w:t>
      </w:r>
      <w:r>
        <w:rPr>
          <w:rFonts w:ascii="Times New Roman" w:hAnsi="Times New Roman" w:eastAsia="Times New Roman" w:cs="Times New Roman"/>
          <w:b/>
          <w:bCs/>
          <w:spacing w:val="-1"/>
          <w:sz w:val="24"/>
          <w:szCs w:val="24"/>
        </w:rPr>
        <w:t>3-2</w:t>
      </w:r>
      <w:r>
        <w:rPr>
          <w:rFonts w:ascii="微软雅黑" w:hAnsi="微软雅黑" w:eastAsia="微软雅黑" w:cs="微软雅黑"/>
          <w:b/>
          <w:bCs/>
          <w:spacing w:val="-1"/>
          <w:sz w:val="24"/>
          <w:szCs w:val="24"/>
        </w:rPr>
        <w:t>部门管理类指标得分情况表</w:t>
      </w:r>
    </w:p>
    <w:p>
      <w:pPr>
        <w:spacing w:line="90" w:lineRule="auto"/>
        <w:rPr>
          <w:rFonts w:ascii="Arial"/>
          <w:sz w:val="2"/>
        </w:rPr>
      </w:pPr>
    </w:p>
    <w:tbl>
      <w:tblPr>
        <w:tblStyle w:val="7"/>
        <w:tblW w:w="8296" w:type="dxa"/>
        <w:tblInd w:w="1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688"/>
        <w:gridCol w:w="709"/>
        <w:gridCol w:w="1417"/>
        <w:gridCol w:w="1695"/>
        <w:gridCol w:w="709"/>
        <w:gridCol w:w="107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67" w:hRule="atLeast"/>
        </w:trPr>
        <w:tc>
          <w:tcPr>
            <w:tcW w:w="2688" w:type="dxa"/>
            <w:vAlign w:val="top"/>
          </w:tcPr>
          <w:p>
            <w:pPr>
              <w:pStyle w:val="8"/>
              <w:spacing w:before="128" w:line="228" w:lineRule="auto"/>
              <w:ind w:left="922"/>
            </w:pPr>
            <w:r>
              <w:rPr>
                <w:b/>
                <w:bCs/>
                <w:spacing w:val="6"/>
              </w:rPr>
              <w:t>三级指标</w:t>
            </w:r>
          </w:p>
        </w:tc>
        <w:tc>
          <w:tcPr>
            <w:tcW w:w="709" w:type="dxa"/>
            <w:vAlign w:val="top"/>
          </w:tcPr>
          <w:p>
            <w:pPr>
              <w:pStyle w:val="8"/>
              <w:spacing w:before="127" w:line="228" w:lineRule="auto"/>
              <w:ind w:left="141"/>
            </w:pPr>
            <w:r>
              <w:rPr>
                <w:b/>
                <w:bCs/>
                <w:spacing w:val="4"/>
              </w:rPr>
              <w:t>权重</w:t>
            </w:r>
          </w:p>
        </w:tc>
        <w:tc>
          <w:tcPr>
            <w:tcW w:w="1417" w:type="dxa"/>
            <w:vAlign w:val="top"/>
          </w:tcPr>
          <w:p>
            <w:pPr>
              <w:pStyle w:val="8"/>
              <w:spacing w:before="127" w:line="228" w:lineRule="auto"/>
              <w:ind w:left="393"/>
            </w:pPr>
            <w:r>
              <w:rPr>
                <w:b/>
                <w:bCs/>
                <w:spacing w:val="5"/>
              </w:rPr>
              <w:t>标杆值</w:t>
            </w:r>
          </w:p>
        </w:tc>
        <w:tc>
          <w:tcPr>
            <w:tcW w:w="1695" w:type="dxa"/>
            <w:vAlign w:val="top"/>
          </w:tcPr>
          <w:p>
            <w:pPr>
              <w:pStyle w:val="8"/>
              <w:spacing w:before="127" w:line="228" w:lineRule="auto"/>
              <w:ind w:left="532"/>
            </w:pPr>
            <w:r>
              <w:rPr>
                <w:b/>
                <w:bCs/>
                <w:spacing w:val="5"/>
              </w:rPr>
              <w:t>业绩值</w:t>
            </w:r>
          </w:p>
        </w:tc>
        <w:tc>
          <w:tcPr>
            <w:tcW w:w="709" w:type="dxa"/>
            <w:vAlign w:val="top"/>
          </w:tcPr>
          <w:p>
            <w:pPr>
              <w:pStyle w:val="8"/>
              <w:spacing w:before="127" w:line="228" w:lineRule="auto"/>
              <w:ind w:left="149"/>
            </w:pPr>
            <w:r>
              <w:rPr>
                <w:b/>
                <w:bCs/>
                <w:spacing w:val="3"/>
              </w:rPr>
              <w:t>得分</w:t>
            </w:r>
          </w:p>
        </w:tc>
        <w:tc>
          <w:tcPr>
            <w:tcW w:w="1078" w:type="dxa"/>
            <w:vAlign w:val="top"/>
          </w:tcPr>
          <w:p>
            <w:pPr>
              <w:pStyle w:val="8"/>
              <w:spacing w:before="127" w:line="228" w:lineRule="auto"/>
              <w:ind w:left="225"/>
            </w:pPr>
            <w:r>
              <w:rPr>
                <w:b/>
                <w:bCs/>
                <w:spacing w:val="5"/>
              </w:rPr>
              <w:t>得分率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1" w:hRule="atLeast"/>
        </w:trPr>
        <w:tc>
          <w:tcPr>
            <w:tcW w:w="2688" w:type="dxa"/>
            <w:vAlign w:val="top"/>
          </w:tcPr>
          <w:p>
            <w:pPr>
              <w:pStyle w:val="8"/>
              <w:spacing w:before="125" w:line="227" w:lineRule="auto"/>
              <w:ind w:left="398"/>
            </w:pPr>
            <w:r>
              <w:rPr>
                <w:spacing w:val="8"/>
              </w:rPr>
              <w:t>基本支出预算执行率</w:t>
            </w:r>
          </w:p>
        </w:tc>
        <w:tc>
          <w:tcPr>
            <w:tcW w:w="709" w:type="dxa"/>
            <w:vAlign w:val="top"/>
          </w:tcPr>
          <w:p>
            <w:pPr>
              <w:spacing w:before="162" w:line="195" w:lineRule="auto"/>
              <w:ind w:left="29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17" w:type="dxa"/>
            <w:vAlign w:val="top"/>
          </w:tcPr>
          <w:p>
            <w:pPr>
              <w:spacing w:before="161" w:line="195" w:lineRule="auto"/>
              <w:ind w:left="47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c>
          <w:tcPr>
            <w:tcW w:w="1695" w:type="dxa"/>
            <w:vAlign w:val="top"/>
          </w:tcPr>
          <w:p>
            <w:pPr>
              <w:spacing w:before="161" w:line="195" w:lineRule="auto"/>
              <w:ind w:left="62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c>
          <w:tcPr>
            <w:tcW w:w="709" w:type="dxa"/>
            <w:vAlign w:val="top"/>
          </w:tcPr>
          <w:p>
            <w:pPr>
              <w:spacing w:before="162" w:line="195" w:lineRule="auto"/>
              <w:ind w:left="30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078" w:type="dxa"/>
            <w:vAlign w:val="top"/>
          </w:tcPr>
          <w:p>
            <w:pPr>
              <w:spacing w:before="161" w:line="195" w:lineRule="auto"/>
              <w:ind w:left="31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1" w:hRule="atLeast"/>
        </w:trPr>
        <w:tc>
          <w:tcPr>
            <w:tcW w:w="2688" w:type="dxa"/>
            <w:vAlign w:val="top"/>
          </w:tcPr>
          <w:p>
            <w:pPr>
              <w:pStyle w:val="8"/>
              <w:spacing w:before="126" w:line="228" w:lineRule="auto"/>
              <w:ind w:left="402"/>
            </w:pPr>
            <w:r>
              <w:rPr>
                <w:spacing w:val="8"/>
              </w:rPr>
              <w:t>项目支出预算执行率</w:t>
            </w:r>
          </w:p>
        </w:tc>
        <w:tc>
          <w:tcPr>
            <w:tcW w:w="709" w:type="dxa"/>
            <w:vAlign w:val="top"/>
          </w:tcPr>
          <w:p>
            <w:pPr>
              <w:spacing w:before="163" w:line="195" w:lineRule="auto"/>
              <w:ind w:left="29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17" w:type="dxa"/>
            <w:vAlign w:val="top"/>
          </w:tcPr>
          <w:p>
            <w:pPr>
              <w:spacing w:before="163" w:line="195" w:lineRule="auto"/>
              <w:ind w:left="47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c>
          <w:tcPr>
            <w:tcW w:w="1695" w:type="dxa"/>
            <w:vAlign w:val="top"/>
          </w:tcPr>
          <w:p>
            <w:pPr>
              <w:spacing w:before="163" w:line="195" w:lineRule="auto"/>
              <w:ind w:left="62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c>
          <w:tcPr>
            <w:tcW w:w="709" w:type="dxa"/>
            <w:vAlign w:val="top"/>
          </w:tcPr>
          <w:p>
            <w:pPr>
              <w:spacing w:before="163" w:line="195" w:lineRule="auto"/>
              <w:ind w:left="30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078" w:type="dxa"/>
            <w:vAlign w:val="top"/>
          </w:tcPr>
          <w:p>
            <w:pPr>
              <w:spacing w:before="163" w:line="195" w:lineRule="auto"/>
              <w:ind w:left="31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2" w:hRule="atLeast"/>
        </w:trPr>
        <w:tc>
          <w:tcPr>
            <w:tcW w:w="2688" w:type="dxa"/>
            <w:vAlign w:val="top"/>
          </w:tcPr>
          <w:p>
            <w:pPr>
              <w:pStyle w:val="8"/>
              <w:spacing w:before="131" w:line="228" w:lineRule="auto"/>
              <w:ind w:firstLine="216" w:firstLineChars="100"/>
            </w:pPr>
            <w:r>
              <w:rPr>
                <w:rFonts w:hint="eastAsia"/>
                <w:spacing w:val="8"/>
                <w:lang w:eastAsia="zh-CN"/>
              </w:rPr>
              <w:t>“</w:t>
            </w:r>
            <w:r>
              <w:rPr>
                <w:spacing w:val="8"/>
              </w:rPr>
              <w:t>三公</w:t>
            </w:r>
            <w:r>
              <w:rPr>
                <w:rFonts w:hint="eastAsia"/>
                <w:spacing w:val="8"/>
                <w:lang w:eastAsia="zh-CN"/>
              </w:rPr>
              <w:t>”</w:t>
            </w:r>
            <w:r>
              <w:rPr>
                <w:spacing w:val="8"/>
              </w:rPr>
              <w:t>经费控制情况</w:t>
            </w:r>
          </w:p>
        </w:tc>
        <w:tc>
          <w:tcPr>
            <w:tcW w:w="709" w:type="dxa"/>
            <w:vAlign w:val="top"/>
          </w:tcPr>
          <w:p>
            <w:pPr>
              <w:spacing w:before="166" w:line="195" w:lineRule="auto"/>
              <w:ind w:left="29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17" w:type="dxa"/>
            <w:vAlign w:val="top"/>
          </w:tcPr>
          <w:p>
            <w:pPr>
              <w:pStyle w:val="8"/>
              <w:spacing w:before="130" w:line="230" w:lineRule="auto"/>
              <w:ind w:left="499"/>
            </w:pPr>
            <w:r>
              <w:rPr>
                <w:spacing w:val="4"/>
              </w:rPr>
              <w:t>合规</w:t>
            </w:r>
          </w:p>
        </w:tc>
        <w:tc>
          <w:tcPr>
            <w:tcW w:w="1695" w:type="dxa"/>
            <w:vAlign w:val="top"/>
          </w:tcPr>
          <w:p>
            <w:pPr>
              <w:pStyle w:val="8"/>
              <w:spacing w:before="130" w:line="230" w:lineRule="auto"/>
              <w:ind w:left="642"/>
            </w:pPr>
            <w:r>
              <w:rPr>
                <w:spacing w:val="4"/>
              </w:rPr>
              <w:t>合规</w:t>
            </w:r>
          </w:p>
        </w:tc>
        <w:tc>
          <w:tcPr>
            <w:tcW w:w="709" w:type="dxa"/>
            <w:vAlign w:val="top"/>
          </w:tcPr>
          <w:p>
            <w:pPr>
              <w:spacing w:before="166" w:line="195" w:lineRule="auto"/>
              <w:ind w:left="30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078" w:type="dxa"/>
            <w:vAlign w:val="top"/>
          </w:tcPr>
          <w:p>
            <w:pPr>
              <w:spacing w:before="166" w:line="195" w:lineRule="auto"/>
              <w:ind w:left="31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1" w:hRule="atLeast"/>
        </w:trPr>
        <w:tc>
          <w:tcPr>
            <w:tcW w:w="2688" w:type="dxa"/>
            <w:vAlign w:val="top"/>
          </w:tcPr>
          <w:p>
            <w:pPr>
              <w:pStyle w:val="8"/>
              <w:spacing w:before="130" w:line="228" w:lineRule="auto"/>
              <w:ind w:left="820"/>
            </w:pPr>
            <w:r>
              <w:rPr>
                <w:spacing w:val="7"/>
              </w:rPr>
              <w:t>预算调整率</w:t>
            </w:r>
          </w:p>
        </w:tc>
        <w:tc>
          <w:tcPr>
            <w:tcW w:w="709" w:type="dxa"/>
            <w:vAlign w:val="top"/>
          </w:tcPr>
          <w:p>
            <w:pPr>
              <w:spacing w:before="167" w:line="195" w:lineRule="auto"/>
              <w:ind w:left="29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17" w:type="dxa"/>
            <w:vAlign w:val="top"/>
          </w:tcPr>
          <w:p>
            <w:pPr>
              <w:pStyle w:val="8"/>
              <w:spacing w:before="130" w:line="228" w:lineRule="auto"/>
              <w:ind w:left="338"/>
            </w:pPr>
            <w:r>
              <w:rPr>
                <w:spacing w:val="-15"/>
              </w:rPr>
              <w:t>±</w:t>
            </w:r>
            <w:r>
              <w:rPr>
                <w:rFonts w:ascii="Times New Roman" w:hAnsi="Times New Roman" w:eastAsia="Times New Roman" w:cs="Times New Roman"/>
                <w:spacing w:val="-15"/>
              </w:rPr>
              <w:t>1</w:t>
            </w:r>
            <w:r>
              <w:rPr>
                <w:spacing w:val="-15"/>
              </w:rPr>
              <w:t>以内</w:t>
            </w:r>
          </w:p>
        </w:tc>
        <w:tc>
          <w:tcPr>
            <w:tcW w:w="1695" w:type="dxa"/>
            <w:vAlign w:val="top"/>
          </w:tcPr>
          <w:p>
            <w:pPr>
              <w:spacing w:before="166" w:line="195" w:lineRule="auto"/>
              <w:ind w:left="648"/>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1.3%</w:t>
            </w:r>
          </w:p>
        </w:tc>
        <w:tc>
          <w:tcPr>
            <w:tcW w:w="709" w:type="dxa"/>
            <w:vAlign w:val="top"/>
          </w:tcPr>
          <w:p>
            <w:pPr>
              <w:spacing w:before="166" w:line="195" w:lineRule="auto"/>
              <w:ind w:left="244"/>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1.6</w:t>
            </w:r>
          </w:p>
        </w:tc>
        <w:tc>
          <w:tcPr>
            <w:tcW w:w="1078" w:type="dxa"/>
            <w:vAlign w:val="top"/>
          </w:tcPr>
          <w:p>
            <w:pPr>
              <w:spacing w:before="166" w:line="195" w:lineRule="auto"/>
              <w:ind w:left="27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84.2%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2" w:hRule="atLeast"/>
        </w:trPr>
        <w:tc>
          <w:tcPr>
            <w:tcW w:w="2688" w:type="dxa"/>
            <w:vAlign w:val="top"/>
          </w:tcPr>
          <w:p>
            <w:pPr>
              <w:pStyle w:val="8"/>
              <w:spacing w:before="131" w:line="228" w:lineRule="auto"/>
              <w:ind w:left="616"/>
            </w:pPr>
            <w:r>
              <w:rPr>
                <w:spacing w:val="7"/>
              </w:rPr>
              <w:t>资金使用合规性</w:t>
            </w:r>
          </w:p>
        </w:tc>
        <w:tc>
          <w:tcPr>
            <w:tcW w:w="709" w:type="dxa"/>
            <w:vAlign w:val="top"/>
          </w:tcPr>
          <w:p>
            <w:pPr>
              <w:spacing w:before="168" w:line="195" w:lineRule="auto"/>
              <w:ind w:left="29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417" w:type="dxa"/>
            <w:vAlign w:val="top"/>
          </w:tcPr>
          <w:p>
            <w:pPr>
              <w:pStyle w:val="8"/>
              <w:spacing w:before="132" w:line="230" w:lineRule="auto"/>
              <w:ind w:left="499"/>
            </w:pPr>
            <w:r>
              <w:rPr>
                <w:spacing w:val="4"/>
              </w:rPr>
              <w:t>合规</w:t>
            </w:r>
          </w:p>
        </w:tc>
        <w:tc>
          <w:tcPr>
            <w:tcW w:w="1695" w:type="dxa"/>
            <w:vAlign w:val="top"/>
          </w:tcPr>
          <w:p>
            <w:pPr>
              <w:pStyle w:val="8"/>
              <w:spacing w:before="132" w:line="230" w:lineRule="auto"/>
              <w:ind w:left="642"/>
            </w:pPr>
            <w:r>
              <w:rPr>
                <w:spacing w:val="4"/>
              </w:rPr>
              <w:t>合规</w:t>
            </w:r>
          </w:p>
        </w:tc>
        <w:tc>
          <w:tcPr>
            <w:tcW w:w="709" w:type="dxa"/>
            <w:vAlign w:val="top"/>
          </w:tcPr>
          <w:p>
            <w:pPr>
              <w:spacing w:before="168" w:line="195" w:lineRule="auto"/>
              <w:ind w:left="30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078" w:type="dxa"/>
            <w:vAlign w:val="top"/>
          </w:tcPr>
          <w:p>
            <w:pPr>
              <w:spacing w:before="168" w:line="195" w:lineRule="auto"/>
              <w:ind w:left="31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2" w:hRule="atLeast"/>
        </w:trPr>
        <w:tc>
          <w:tcPr>
            <w:tcW w:w="2688" w:type="dxa"/>
            <w:vAlign w:val="top"/>
          </w:tcPr>
          <w:p>
            <w:pPr>
              <w:pStyle w:val="8"/>
              <w:spacing w:before="134" w:line="228" w:lineRule="auto"/>
              <w:ind w:left="503"/>
            </w:pPr>
            <w:r>
              <w:rPr>
                <w:spacing w:val="8"/>
              </w:rPr>
              <w:t>存量资金控制情况</w:t>
            </w:r>
          </w:p>
        </w:tc>
        <w:tc>
          <w:tcPr>
            <w:tcW w:w="709" w:type="dxa"/>
            <w:vAlign w:val="top"/>
          </w:tcPr>
          <w:p>
            <w:pPr>
              <w:spacing w:before="170" w:line="195" w:lineRule="auto"/>
              <w:ind w:left="29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17" w:type="dxa"/>
            <w:vAlign w:val="top"/>
          </w:tcPr>
          <w:p>
            <w:pPr>
              <w:pStyle w:val="8"/>
              <w:spacing w:before="134" w:line="230" w:lineRule="auto"/>
              <w:ind w:left="499"/>
            </w:pPr>
            <w:r>
              <w:rPr>
                <w:spacing w:val="4"/>
              </w:rPr>
              <w:t>合规</w:t>
            </w:r>
          </w:p>
        </w:tc>
        <w:tc>
          <w:tcPr>
            <w:tcW w:w="1695" w:type="dxa"/>
            <w:vAlign w:val="top"/>
          </w:tcPr>
          <w:p>
            <w:pPr>
              <w:pStyle w:val="8"/>
              <w:spacing w:before="134" w:line="230" w:lineRule="auto"/>
              <w:ind w:left="642"/>
            </w:pPr>
            <w:r>
              <w:rPr>
                <w:spacing w:val="4"/>
              </w:rPr>
              <w:t>合规</w:t>
            </w:r>
          </w:p>
        </w:tc>
        <w:tc>
          <w:tcPr>
            <w:tcW w:w="709" w:type="dxa"/>
            <w:vAlign w:val="top"/>
          </w:tcPr>
          <w:p>
            <w:pPr>
              <w:spacing w:before="170" w:line="195" w:lineRule="auto"/>
              <w:ind w:left="30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078" w:type="dxa"/>
            <w:vAlign w:val="top"/>
          </w:tcPr>
          <w:p>
            <w:pPr>
              <w:spacing w:before="170" w:line="195" w:lineRule="auto"/>
              <w:ind w:left="31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1" w:hRule="atLeast"/>
        </w:trPr>
        <w:tc>
          <w:tcPr>
            <w:tcW w:w="2688" w:type="dxa"/>
            <w:vAlign w:val="top"/>
          </w:tcPr>
          <w:p>
            <w:pPr>
              <w:pStyle w:val="8"/>
              <w:spacing w:before="134" w:line="228" w:lineRule="auto"/>
              <w:ind w:left="402"/>
            </w:pPr>
            <w:r>
              <w:rPr>
                <w:spacing w:val="8"/>
              </w:rPr>
              <w:t>项目管理制度健全性</w:t>
            </w:r>
          </w:p>
        </w:tc>
        <w:tc>
          <w:tcPr>
            <w:tcW w:w="709" w:type="dxa"/>
            <w:vAlign w:val="top"/>
          </w:tcPr>
          <w:p>
            <w:pPr>
              <w:spacing w:before="171" w:line="195" w:lineRule="auto"/>
              <w:ind w:left="29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17" w:type="dxa"/>
            <w:vAlign w:val="top"/>
          </w:tcPr>
          <w:p>
            <w:pPr>
              <w:pStyle w:val="8"/>
              <w:spacing w:before="135" w:line="229" w:lineRule="auto"/>
              <w:ind w:left="498"/>
            </w:pPr>
            <w:r>
              <w:rPr>
                <w:spacing w:val="4"/>
              </w:rPr>
              <w:t>健全</w:t>
            </w:r>
          </w:p>
        </w:tc>
        <w:tc>
          <w:tcPr>
            <w:tcW w:w="1695" w:type="dxa"/>
            <w:vAlign w:val="top"/>
          </w:tcPr>
          <w:p>
            <w:pPr>
              <w:pStyle w:val="8"/>
              <w:spacing w:before="135" w:line="229" w:lineRule="auto"/>
              <w:ind w:left="641"/>
            </w:pPr>
            <w:r>
              <w:rPr>
                <w:spacing w:val="4"/>
              </w:rPr>
              <w:t>健全</w:t>
            </w:r>
          </w:p>
        </w:tc>
        <w:tc>
          <w:tcPr>
            <w:tcW w:w="709" w:type="dxa"/>
            <w:vAlign w:val="top"/>
          </w:tcPr>
          <w:p>
            <w:pPr>
              <w:spacing w:before="171" w:line="195" w:lineRule="auto"/>
              <w:ind w:left="30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078" w:type="dxa"/>
            <w:vAlign w:val="top"/>
          </w:tcPr>
          <w:p>
            <w:pPr>
              <w:spacing w:before="170" w:line="195" w:lineRule="auto"/>
              <w:ind w:left="31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2" w:hRule="atLeast"/>
        </w:trPr>
        <w:tc>
          <w:tcPr>
            <w:tcW w:w="2688" w:type="dxa"/>
            <w:vAlign w:val="top"/>
          </w:tcPr>
          <w:p>
            <w:pPr>
              <w:pStyle w:val="8"/>
              <w:spacing w:before="135" w:line="228" w:lineRule="auto"/>
              <w:ind w:left="191"/>
            </w:pPr>
            <w:r>
              <w:rPr>
                <w:spacing w:val="8"/>
              </w:rPr>
              <w:t>项目管理制度执行有效性</w:t>
            </w:r>
          </w:p>
        </w:tc>
        <w:tc>
          <w:tcPr>
            <w:tcW w:w="709" w:type="dxa"/>
            <w:vAlign w:val="top"/>
          </w:tcPr>
          <w:p>
            <w:pPr>
              <w:spacing w:before="172" w:line="195" w:lineRule="auto"/>
              <w:ind w:left="29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17" w:type="dxa"/>
            <w:vAlign w:val="top"/>
          </w:tcPr>
          <w:p>
            <w:pPr>
              <w:pStyle w:val="8"/>
              <w:spacing w:before="135" w:line="228" w:lineRule="auto"/>
              <w:ind w:left="184"/>
              <w:rPr>
                <w:rFonts w:hint="eastAsia" w:eastAsia="宋体"/>
                <w:lang w:eastAsia="zh-CN"/>
              </w:rPr>
            </w:pPr>
            <w:r>
              <w:rPr>
                <w:rFonts w:hint="eastAsia"/>
                <w:spacing w:val="8"/>
                <w:lang w:eastAsia="zh-CN"/>
              </w:rPr>
              <w:t>执行且有效</w:t>
            </w:r>
          </w:p>
        </w:tc>
        <w:tc>
          <w:tcPr>
            <w:tcW w:w="1695" w:type="dxa"/>
            <w:vAlign w:val="top"/>
          </w:tcPr>
          <w:p>
            <w:pPr>
              <w:pStyle w:val="8"/>
              <w:spacing w:before="135" w:line="228" w:lineRule="auto"/>
              <w:ind w:left="324"/>
              <w:rPr>
                <w:rFonts w:hint="eastAsia" w:eastAsia="宋体"/>
                <w:lang w:eastAsia="zh-CN"/>
              </w:rPr>
            </w:pPr>
            <w:r>
              <w:rPr>
                <w:rFonts w:hint="eastAsia"/>
                <w:spacing w:val="8"/>
                <w:lang w:eastAsia="zh-CN"/>
              </w:rPr>
              <w:t>执行且有效</w:t>
            </w:r>
          </w:p>
        </w:tc>
        <w:tc>
          <w:tcPr>
            <w:tcW w:w="709" w:type="dxa"/>
            <w:vAlign w:val="top"/>
          </w:tcPr>
          <w:p>
            <w:pPr>
              <w:spacing w:before="172" w:line="195" w:lineRule="auto"/>
              <w:ind w:left="30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078" w:type="dxa"/>
            <w:vAlign w:val="top"/>
          </w:tcPr>
          <w:p>
            <w:pPr>
              <w:spacing w:before="172" w:line="195" w:lineRule="auto"/>
              <w:ind w:left="31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9" w:hRule="atLeast"/>
        </w:trPr>
        <w:tc>
          <w:tcPr>
            <w:tcW w:w="2688" w:type="dxa"/>
            <w:vAlign w:val="top"/>
          </w:tcPr>
          <w:p>
            <w:pPr>
              <w:pStyle w:val="8"/>
              <w:spacing w:before="138" w:line="228" w:lineRule="auto"/>
              <w:ind w:left="399"/>
            </w:pPr>
            <w:r>
              <w:rPr>
                <w:spacing w:val="8"/>
              </w:rPr>
              <w:t>财务管理制度健全性</w:t>
            </w:r>
          </w:p>
        </w:tc>
        <w:tc>
          <w:tcPr>
            <w:tcW w:w="709" w:type="dxa"/>
            <w:vAlign w:val="top"/>
          </w:tcPr>
          <w:p>
            <w:pPr>
              <w:spacing w:before="174" w:line="195" w:lineRule="auto"/>
              <w:ind w:left="29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17" w:type="dxa"/>
            <w:vAlign w:val="top"/>
          </w:tcPr>
          <w:p>
            <w:pPr>
              <w:pStyle w:val="8"/>
              <w:spacing w:before="138" w:line="229" w:lineRule="auto"/>
              <w:ind w:left="498"/>
            </w:pPr>
            <w:r>
              <w:rPr>
                <w:spacing w:val="4"/>
              </w:rPr>
              <w:t>健全</w:t>
            </w:r>
          </w:p>
        </w:tc>
        <w:tc>
          <w:tcPr>
            <w:tcW w:w="1695" w:type="dxa"/>
            <w:vAlign w:val="top"/>
          </w:tcPr>
          <w:p>
            <w:pPr>
              <w:pStyle w:val="8"/>
              <w:spacing w:before="138" w:line="229" w:lineRule="auto"/>
              <w:ind w:left="641"/>
            </w:pPr>
            <w:r>
              <w:rPr>
                <w:spacing w:val="4"/>
              </w:rPr>
              <w:t>健全</w:t>
            </w:r>
          </w:p>
        </w:tc>
        <w:tc>
          <w:tcPr>
            <w:tcW w:w="709" w:type="dxa"/>
            <w:vAlign w:val="top"/>
          </w:tcPr>
          <w:p>
            <w:pPr>
              <w:spacing w:before="174" w:line="195" w:lineRule="auto"/>
              <w:ind w:left="30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078" w:type="dxa"/>
            <w:vAlign w:val="top"/>
          </w:tcPr>
          <w:p>
            <w:pPr>
              <w:spacing w:before="174" w:line="195" w:lineRule="auto"/>
              <w:ind w:left="31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67" w:hRule="atLeast"/>
        </w:trPr>
        <w:tc>
          <w:tcPr>
            <w:tcW w:w="2688" w:type="dxa"/>
            <w:vAlign w:val="top"/>
          </w:tcPr>
          <w:p>
            <w:pPr>
              <w:pStyle w:val="8"/>
              <w:spacing w:before="128" w:line="228" w:lineRule="auto"/>
              <w:ind w:left="922"/>
            </w:pPr>
            <w:r>
              <w:rPr>
                <w:b/>
                <w:bCs/>
                <w:spacing w:val="6"/>
              </w:rPr>
              <w:t>三级指标</w:t>
            </w:r>
          </w:p>
        </w:tc>
        <w:tc>
          <w:tcPr>
            <w:tcW w:w="709" w:type="dxa"/>
            <w:vAlign w:val="top"/>
          </w:tcPr>
          <w:p>
            <w:pPr>
              <w:pStyle w:val="8"/>
              <w:spacing w:before="127" w:line="228" w:lineRule="auto"/>
              <w:ind w:left="141"/>
            </w:pPr>
            <w:r>
              <w:rPr>
                <w:b/>
                <w:bCs/>
                <w:spacing w:val="4"/>
              </w:rPr>
              <w:t>权重</w:t>
            </w:r>
          </w:p>
        </w:tc>
        <w:tc>
          <w:tcPr>
            <w:tcW w:w="1417" w:type="dxa"/>
            <w:vAlign w:val="top"/>
          </w:tcPr>
          <w:p>
            <w:pPr>
              <w:pStyle w:val="8"/>
              <w:spacing w:before="127" w:line="228" w:lineRule="auto"/>
              <w:ind w:left="393"/>
            </w:pPr>
            <w:r>
              <w:rPr>
                <w:b/>
                <w:bCs/>
                <w:spacing w:val="5"/>
              </w:rPr>
              <w:t>标杆值</w:t>
            </w:r>
          </w:p>
        </w:tc>
        <w:tc>
          <w:tcPr>
            <w:tcW w:w="1695" w:type="dxa"/>
            <w:vAlign w:val="top"/>
          </w:tcPr>
          <w:p>
            <w:pPr>
              <w:pStyle w:val="8"/>
              <w:spacing w:before="127" w:line="228" w:lineRule="auto"/>
              <w:ind w:left="532"/>
            </w:pPr>
            <w:r>
              <w:rPr>
                <w:b/>
                <w:bCs/>
                <w:spacing w:val="5"/>
              </w:rPr>
              <w:t>业绩值</w:t>
            </w:r>
          </w:p>
        </w:tc>
        <w:tc>
          <w:tcPr>
            <w:tcW w:w="709" w:type="dxa"/>
            <w:vAlign w:val="top"/>
          </w:tcPr>
          <w:p>
            <w:pPr>
              <w:pStyle w:val="8"/>
              <w:spacing w:before="127" w:line="228" w:lineRule="auto"/>
              <w:ind w:left="149"/>
            </w:pPr>
            <w:r>
              <w:rPr>
                <w:b/>
                <w:bCs/>
                <w:spacing w:val="3"/>
              </w:rPr>
              <w:t>得分</w:t>
            </w:r>
          </w:p>
        </w:tc>
        <w:tc>
          <w:tcPr>
            <w:tcW w:w="1078" w:type="dxa"/>
            <w:vAlign w:val="top"/>
          </w:tcPr>
          <w:p>
            <w:pPr>
              <w:pStyle w:val="8"/>
              <w:spacing w:before="127" w:line="228" w:lineRule="auto"/>
              <w:ind w:left="225"/>
            </w:pPr>
            <w:r>
              <w:rPr>
                <w:b/>
                <w:bCs/>
                <w:spacing w:val="5"/>
              </w:rPr>
              <w:t>得分率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1" w:hRule="atLeast"/>
        </w:trPr>
        <w:tc>
          <w:tcPr>
            <w:tcW w:w="2688" w:type="dxa"/>
            <w:vAlign w:val="top"/>
          </w:tcPr>
          <w:p>
            <w:pPr>
              <w:pStyle w:val="8"/>
              <w:spacing w:before="125" w:line="228" w:lineRule="auto"/>
              <w:ind w:left="188"/>
            </w:pPr>
            <w:r>
              <w:rPr>
                <w:spacing w:val="9"/>
              </w:rPr>
              <w:t>财务管理制度执行有效性</w:t>
            </w:r>
          </w:p>
        </w:tc>
        <w:tc>
          <w:tcPr>
            <w:tcW w:w="709" w:type="dxa"/>
            <w:vAlign w:val="top"/>
          </w:tcPr>
          <w:p>
            <w:pPr>
              <w:spacing w:before="162" w:line="195" w:lineRule="auto"/>
              <w:ind w:left="29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17" w:type="dxa"/>
            <w:vAlign w:val="top"/>
          </w:tcPr>
          <w:p>
            <w:pPr>
              <w:pStyle w:val="8"/>
              <w:spacing w:before="125" w:line="228" w:lineRule="auto"/>
              <w:ind w:left="184"/>
              <w:rPr>
                <w:rFonts w:hint="eastAsia" w:eastAsia="宋体"/>
                <w:lang w:eastAsia="zh-CN"/>
              </w:rPr>
            </w:pPr>
            <w:r>
              <w:rPr>
                <w:rFonts w:hint="eastAsia"/>
                <w:spacing w:val="8"/>
                <w:lang w:eastAsia="zh-CN"/>
              </w:rPr>
              <w:t>执行且有效</w:t>
            </w:r>
          </w:p>
        </w:tc>
        <w:tc>
          <w:tcPr>
            <w:tcW w:w="1695" w:type="dxa"/>
            <w:vAlign w:val="top"/>
          </w:tcPr>
          <w:p>
            <w:pPr>
              <w:pStyle w:val="8"/>
              <w:spacing w:before="125" w:line="228" w:lineRule="auto"/>
              <w:ind w:left="324"/>
              <w:rPr>
                <w:rFonts w:hint="eastAsia" w:eastAsia="宋体"/>
                <w:lang w:eastAsia="zh-CN"/>
              </w:rPr>
            </w:pPr>
            <w:r>
              <w:rPr>
                <w:rFonts w:hint="eastAsia"/>
                <w:spacing w:val="8"/>
                <w:lang w:eastAsia="zh-CN"/>
              </w:rPr>
              <w:t>执行且有效</w:t>
            </w:r>
          </w:p>
        </w:tc>
        <w:tc>
          <w:tcPr>
            <w:tcW w:w="709" w:type="dxa"/>
            <w:vAlign w:val="top"/>
          </w:tcPr>
          <w:p>
            <w:pPr>
              <w:spacing w:before="162" w:line="195" w:lineRule="auto"/>
              <w:ind w:left="30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078" w:type="dxa"/>
            <w:vAlign w:val="top"/>
          </w:tcPr>
          <w:p>
            <w:pPr>
              <w:spacing w:before="161" w:line="195" w:lineRule="auto"/>
              <w:ind w:left="31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1" w:hRule="atLeast"/>
        </w:trPr>
        <w:tc>
          <w:tcPr>
            <w:tcW w:w="2688" w:type="dxa"/>
            <w:vAlign w:val="top"/>
          </w:tcPr>
          <w:p>
            <w:pPr>
              <w:pStyle w:val="8"/>
              <w:spacing w:before="126" w:line="228" w:lineRule="auto"/>
              <w:ind w:left="407"/>
            </w:pPr>
            <w:r>
              <w:rPr>
                <w:spacing w:val="7"/>
              </w:rPr>
              <w:t>资产管理制度健全性</w:t>
            </w:r>
          </w:p>
        </w:tc>
        <w:tc>
          <w:tcPr>
            <w:tcW w:w="709" w:type="dxa"/>
            <w:vAlign w:val="top"/>
          </w:tcPr>
          <w:p>
            <w:pPr>
              <w:spacing w:before="163" w:line="195" w:lineRule="auto"/>
              <w:ind w:left="29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17" w:type="dxa"/>
            <w:vAlign w:val="top"/>
          </w:tcPr>
          <w:p>
            <w:pPr>
              <w:pStyle w:val="8"/>
              <w:spacing w:before="127" w:line="229" w:lineRule="auto"/>
              <w:ind w:left="498"/>
            </w:pPr>
            <w:r>
              <w:rPr>
                <w:spacing w:val="4"/>
              </w:rPr>
              <w:t>健全</w:t>
            </w:r>
          </w:p>
        </w:tc>
        <w:tc>
          <w:tcPr>
            <w:tcW w:w="1695" w:type="dxa"/>
            <w:vAlign w:val="top"/>
          </w:tcPr>
          <w:p>
            <w:pPr>
              <w:pStyle w:val="8"/>
              <w:spacing w:before="127" w:line="229" w:lineRule="auto"/>
              <w:ind w:left="641"/>
            </w:pPr>
            <w:r>
              <w:rPr>
                <w:spacing w:val="4"/>
              </w:rPr>
              <w:t>健全</w:t>
            </w:r>
          </w:p>
        </w:tc>
        <w:tc>
          <w:tcPr>
            <w:tcW w:w="709" w:type="dxa"/>
            <w:vAlign w:val="top"/>
          </w:tcPr>
          <w:p>
            <w:pPr>
              <w:spacing w:before="163" w:line="195" w:lineRule="auto"/>
              <w:ind w:left="30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078" w:type="dxa"/>
            <w:vAlign w:val="top"/>
          </w:tcPr>
          <w:p>
            <w:pPr>
              <w:spacing w:before="163" w:line="195" w:lineRule="auto"/>
              <w:ind w:left="31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1" w:hRule="atLeast"/>
        </w:trPr>
        <w:tc>
          <w:tcPr>
            <w:tcW w:w="2688" w:type="dxa"/>
            <w:vAlign w:val="top"/>
          </w:tcPr>
          <w:p>
            <w:pPr>
              <w:pStyle w:val="8"/>
              <w:spacing w:before="130" w:line="228" w:lineRule="auto"/>
              <w:ind w:left="625"/>
            </w:pPr>
            <w:r>
              <w:rPr>
                <w:spacing w:val="6"/>
              </w:rPr>
              <w:t>固定资产利用率</w:t>
            </w:r>
          </w:p>
        </w:tc>
        <w:tc>
          <w:tcPr>
            <w:tcW w:w="709" w:type="dxa"/>
            <w:vAlign w:val="top"/>
          </w:tcPr>
          <w:p>
            <w:pPr>
              <w:spacing w:before="166" w:line="195" w:lineRule="auto"/>
              <w:ind w:left="29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17" w:type="dxa"/>
            <w:vAlign w:val="top"/>
          </w:tcPr>
          <w:p>
            <w:pPr>
              <w:pStyle w:val="8"/>
              <w:spacing w:before="131" w:line="241" w:lineRule="auto"/>
              <w:ind w:left="430"/>
              <w:rPr>
                <w:rFonts w:ascii="Times New Roman" w:hAnsi="Times New Roman" w:eastAsia="Times New Roman" w:cs="Times New Roman"/>
              </w:rPr>
            </w:pPr>
            <w:r>
              <w:t>≥</w:t>
            </w:r>
            <w:r>
              <w:rPr>
                <w:rFonts w:ascii="Times New Roman" w:hAnsi="Times New Roman" w:eastAsia="Times New Roman" w:cs="Times New Roman"/>
              </w:rPr>
              <w:t>95%</w:t>
            </w:r>
          </w:p>
        </w:tc>
        <w:tc>
          <w:tcPr>
            <w:tcW w:w="1695" w:type="dxa"/>
            <w:vAlign w:val="top"/>
          </w:tcPr>
          <w:p>
            <w:pPr>
              <w:spacing w:before="166" w:line="195" w:lineRule="auto"/>
              <w:ind w:left="49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126.73%</w:t>
            </w:r>
          </w:p>
        </w:tc>
        <w:tc>
          <w:tcPr>
            <w:tcW w:w="709" w:type="dxa"/>
            <w:vAlign w:val="top"/>
          </w:tcPr>
          <w:p>
            <w:pPr>
              <w:spacing w:before="166" w:line="195" w:lineRule="auto"/>
              <w:ind w:left="323"/>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1078" w:type="dxa"/>
            <w:vAlign w:val="top"/>
          </w:tcPr>
          <w:p>
            <w:pPr>
              <w:spacing w:before="166" w:line="195" w:lineRule="auto"/>
              <w:ind w:left="351"/>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1" w:hRule="atLeast"/>
        </w:trPr>
        <w:tc>
          <w:tcPr>
            <w:tcW w:w="2688" w:type="dxa"/>
            <w:vAlign w:val="top"/>
          </w:tcPr>
          <w:p>
            <w:pPr>
              <w:pStyle w:val="8"/>
              <w:spacing w:before="131" w:line="227" w:lineRule="auto"/>
              <w:ind w:left="186"/>
            </w:pPr>
            <w:r>
              <w:rPr>
                <w:spacing w:val="9"/>
              </w:rPr>
              <w:t>政府采购制度执行有效性</w:t>
            </w:r>
          </w:p>
        </w:tc>
        <w:tc>
          <w:tcPr>
            <w:tcW w:w="709" w:type="dxa"/>
            <w:vAlign w:val="top"/>
          </w:tcPr>
          <w:p>
            <w:pPr>
              <w:spacing w:before="168" w:line="195" w:lineRule="auto"/>
              <w:ind w:left="29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17" w:type="dxa"/>
            <w:vAlign w:val="top"/>
          </w:tcPr>
          <w:p>
            <w:pPr>
              <w:pStyle w:val="8"/>
              <w:spacing w:before="131" w:line="228" w:lineRule="auto"/>
              <w:ind w:left="184"/>
              <w:rPr>
                <w:rFonts w:hint="eastAsia" w:eastAsia="宋体"/>
                <w:lang w:eastAsia="zh-CN"/>
              </w:rPr>
            </w:pPr>
            <w:r>
              <w:rPr>
                <w:rFonts w:hint="eastAsia"/>
                <w:spacing w:val="8"/>
                <w:lang w:eastAsia="zh-CN"/>
              </w:rPr>
              <w:t>执行且有效</w:t>
            </w:r>
          </w:p>
        </w:tc>
        <w:tc>
          <w:tcPr>
            <w:tcW w:w="1695" w:type="dxa"/>
            <w:vAlign w:val="top"/>
          </w:tcPr>
          <w:p>
            <w:pPr>
              <w:pStyle w:val="8"/>
              <w:spacing w:before="131" w:line="228" w:lineRule="auto"/>
              <w:ind w:left="324"/>
              <w:rPr>
                <w:rFonts w:hint="eastAsia" w:eastAsia="宋体"/>
                <w:lang w:eastAsia="zh-CN"/>
              </w:rPr>
            </w:pPr>
            <w:r>
              <w:rPr>
                <w:rFonts w:hint="eastAsia"/>
                <w:spacing w:val="8"/>
                <w:lang w:eastAsia="zh-CN"/>
              </w:rPr>
              <w:t>执行且有效</w:t>
            </w:r>
          </w:p>
        </w:tc>
        <w:tc>
          <w:tcPr>
            <w:tcW w:w="709" w:type="dxa"/>
            <w:vAlign w:val="top"/>
          </w:tcPr>
          <w:p>
            <w:pPr>
              <w:spacing w:before="168" w:line="195" w:lineRule="auto"/>
              <w:ind w:left="303"/>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078" w:type="dxa"/>
            <w:vAlign w:val="top"/>
          </w:tcPr>
          <w:p>
            <w:pPr>
              <w:spacing w:before="167" w:line="195" w:lineRule="auto"/>
              <w:ind w:left="31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1" w:hRule="atLeast"/>
        </w:trPr>
        <w:tc>
          <w:tcPr>
            <w:tcW w:w="2688" w:type="dxa"/>
            <w:vAlign w:val="top"/>
          </w:tcPr>
          <w:p>
            <w:pPr>
              <w:pStyle w:val="8"/>
              <w:spacing w:before="132" w:line="228" w:lineRule="auto"/>
              <w:ind w:left="189"/>
            </w:pPr>
            <w:r>
              <w:rPr>
                <w:spacing w:val="9"/>
              </w:rPr>
              <w:t>预算绩效管理制度健全性</w:t>
            </w:r>
          </w:p>
        </w:tc>
        <w:tc>
          <w:tcPr>
            <w:tcW w:w="709" w:type="dxa"/>
            <w:vAlign w:val="top"/>
          </w:tcPr>
          <w:p>
            <w:pPr>
              <w:spacing w:before="169" w:line="195" w:lineRule="auto"/>
              <w:ind w:left="29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17" w:type="dxa"/>
            <w:vAlign w:val="top"/>
          </w:tcPr>
          <w:p>
            <w:pPr>
              <w:pStyle w:val="8"/>
              <w:spacing w:before="133" w:line="229" w:lineRule="auto"/>
              <w:ind w:left="498"/>
            </w:pPr>
            <w:r>
              <w:rPr>
                <w:spacing w:val="4"/>
              </w:rPr>
              <w:t>健全</w:t>
            </w:r>
          </w:p>
        </w:tc>
        <w:tc>
          <w:tcPr>
            <w:tcW w:w="1695" w:type="dxa"/>
            <w:vAlign w:val="top"/>
          </w:tcPr>
          <w:p>
            <w:pPr>
              <w:pStyle w:val="8"/>
              <w:spacing w:before="133" w:line="229" w:lineRule="auto"/>
              <w:ind w:left="539"/>
            </w:pPr>
            <w:r>
              <w:rPr>
                <w:spacing w:val="5"/>
              </w:rPr>
              <w:t>不健全</w:t>
            </w:r>
          </w:p>
        </w:tc>
        <w:tc>
          <w:tcPr>
            <w:tcW w:w="709" w:type="dxa"/>
            <w:vAlign w:val="top"/>
          </w:tcPr>
          <w:p>
            <w:pPr>
              <w:spacing w:before="169" w:line="195" w:lineRule="auto"/>
              <w:ind w:left="30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078" w:type="dxa"/>
            <w:vAlign w:val="top"/>
          </w:tcPr>
          <w:p>
            <w:pPr>
              <w:spacing w:before="169" w:line="195" w:lineRule="auto"/>
              <w:ind w:left="3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2" w:hRule="atLeast"/>
        </w:trPr>
        <w:tc>
          <w:tcPr>
            <w:tcW w:w="2688" w:type="dxa"/>
            <w:vAlign w:val="top"/>
          </w:tcPr>
          <w:p>
            <w:pPr>
              <w:pStyle w:val="8"/>
              <w:spacing w:before="136" w:line="228" w:lineRule="auto"/>
              <w:ind w:left="399"/>
            </w:pPr>
            <w:r>
              <w:rPr>
                <w:spacing w:val="8"/>
              </w:rPr>
              <w:t>档案管理制度健全性</w:t>
            </w:r>
          </w:p>
        </w:tc>
        <w:tc>
          <w:tcPr>
            <w:tcW w:w="709" w:type="dxa"/>
            <w:vAlign w:val="top"/>
          </w:tcPr>
          <w:p>
            <w:pPr>
              <w:spacing w:before="172" w:line="195" w:lineRule="auto"/>
              <w:ind w:left="29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417" w:type="dxa"/>
            <w:vAlign w:val="top"/>
          </w:tcPr>
          <w:p>
            <w:pPr>
              <w:pStyle w:val="8"/>
              <w:spacing w:before="136" w:line="229" w:lineRule="auto"/>
              <w:ind w:left="498"/>
            </w:pPr>
            <w:r>
              <w:rPr>
                <w:spacing w:val="4"/>
              </w:rPr>
              <w:t>健全</w:t>
            </w:r>
          </w:p>
        </w:tc>
        <w:tc>
          <w:tcPr>
            <w:tcW w:w="1695" w:type="dxa"/>
            <w:vAlign w:val="top"/>
          </w:tcPr>
          <w:p>
            <w:pPr>
              <w:pStyle w:val="8"/>
              <w:spacing w:before="136" w:line="229" w:lineRule="auto"/>
              <w:ind w:left="539"/>
            </w:pPr>
            <w:r>
              <w:rPr>
                <w:spacing w:val="5"/>
              </w:rPr>
              <w:t>不健全</w:t>
            </w:r>
          </w:p>
        </w:tc>
        <w:tc>
          <w:tcPr>
            <w:tcW w:w="709" w:type="dxa"/>
            <w:vAlign w:val="top"/>
          </w:tcPr>
          <w:p>
            <w:pPr>
              <w:spacing w:before="172" w:line="195" w:lineRule="auto"/>
              <w:ind w:left="306"/>
              <w:rPr>
                <w:rFonts w:ascii="Times New Roman" w:hAnsi="Times New Roman" w:eastAsia="Times New Roman" w:cs="Times New Roman"/>
                <w:sz w:val="20"/>
                <w:szCs w:val="20"/>
              </w:rPr>
            </w:pPr>
            <w:r>
              <w:rPr>
                <w:rFonts w:ascii="Times New Roman" w:hAnsi="Times New Roman" w:eastAsia="Times New Roman" w:cs="Times New Roman"/>
                <w:sz w:val="20"/>
                <w:szCs w:val="20"/>
              </w:rPr>
              <w:t>0</w:t>
            </w:r>
          </w:p>
        </w:tc>
        <w:tc>
          <w:tcPr>
            <w:tcW w:w="1078" w:type="dxa"/>
            <w:vAlign w:val="top"/>
          </w:tcPr>
          <w:p>
            <w:pPr>
              <w:spacing w:before="172" w:line="195" w:lineRule="auto"/>
              <w:ind w:left="399"/>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2" w:hRule="atLeast"/>
        </w:trPr>
        <w:tc>
          <w:tcPr>
            <w:tcW w:w="2688" w:type="dxa"/>
            <w:vAlign w:val="top"/>
          </w:tcPr>
          <w:p>
            <w:pPr>
              <w:pStyle w:val="8"/>
              <w:spacing w:before="136" w:line="228" w:lineRule="auto"/>
              <w:ind w:left="187"/>
            </w:pPr>
            <w:r>
              <w:rPr>
                <w:spacing w:val="9"/>
              </w:rPr>
              <w:t>信息公开制度执行有效性</w:t>
            </w:r>
          </w:p>
        </w:tc>
        <w:tc>
          <w:tcPr>
            <w:tcW w:w="709" w:type="dxa"/>
            <w:vAlign w:val="top"/>
          </w:tcPr>
          <w:p>
            <w:pPr>
              <w:spacing w:before="172" w:line="195" w:lineRule="auto"/>
              <w:ind w:left="300"/>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417" w:type="dxa"/>
            <w:vAlign w:val="top"/>
          </w:tcPr>
          <w:p>
            <w:pPr>
              <w:pStyle w:val="8"/>
              <w:spacing w:before="136" w:line="228" w:lineRule="auto"/>
              <w:ind w:left="184"/>
              <w:rPr>
                <w:rFonts w:hint="eastAsia" w:eastAsia="宋体"/>
                <w:lang w:eastAsia="zh-CN"/>
              </w:rPr>
            </w:pPr>
            <w:r>
              <w:rPr>
                <w:rFonts w:hint="eastAsia"/>
                <w:spacing w:val="8"/>
                <w:lang w:eastAsia="zh-CN"/>
              </w:rPr>
              <w:t>执行且有效</w:t>
            </w:r>
          </w:p>
        </w:tc>
        <w:tc>
          <w:tcPr>
            <w:tcW w:w="1695" w:type="dxa"/>
            <w:vAlign w:val="top"/>
          </w:tcPr>
          <w:p>
            <w:pPr>
              <w:pStyle w:val="8"/>
              <w:spacing w:before="136" w:line="228" w:lineRule="auto"/>
              <w:ind w:left="324"/>
              <w:rPr>
                <w:rFonts w:hint="eastAsia" w:eastAsia="宋体"/>
                <w:lang w:eastAsia="zh-CN"/>
              </w:rPr>
            </w:pPr>
            <w:r>
              <w:rPr>
                <w:rFonts w:hint="eastAsia"/>
                <w:spacing w:val="8"/>
                <w:lang w:eastAsia="zh-CN"/>
              </w:rPr>
              <w:t>执行且有效</w:t>
            </w:r>
          </w:p>
        </w:tc>
        <w:tc>
          <w:tcPr>
            <w:tcW w:w="709" w:type="dxa"/>
            <w:vAlign w:val="top"/>
          </w:tcPr>
          <w:p>
            <w:pPr>
              <w:spacing w:before="172" w:line="195" w:lineRule="auto"/>
              <w:ind w:left="307"/>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078" w:type="dxa"/>
            <w:vAlign w:val="top"/>
          </w:tcPr>
          <w:p>
            <w:pPr>
              <w:spacing w:before="172" w:line="195" w:lineRule="auto"/>
              <w:ind w:left="310"/>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81" w:hRule="atLeast"/>
        </w:trPr>
        <w:tc>
          <w:tcPr>
            <w:tcW w:w="2688" w:type="dxa"/>
            <w:vAlign w:val="top"/>
          </w:tcPr>
          <w:p>
            <w:pPr>
              <w:pStyle w:val="8"/>
              <w:spacing w:before="137" w:line="229" w:lineRule="auto"/>
              <w:ind w:left="1138"/>
            </w:pPr>
            <w:r>
              <w:rPr>
                <w:b/>
                <w:bCs/>
                <w:spacing w:val="1"/>
              </w:rPr>
              <w:t>总计</w:t>
            </w:r>
          </w:p>
        </w:tc>
        <w:tc>
          <w:tcPr>
            <w:tcW w:w="709" w:type="dxa"/>
            <w:vAlign w:val="top"/>
          </w:tcPr>
          <w:p>
            <w:pPr>
              <w:spacing w:before="173" w:line="195" w:lineRule="auto"/>
              <w:ind w:left="242"/>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35</w:t>
            </w:r>
          </w:p>
        </w:tc>
        <w:tc>
          <w:tcPr>
            <w:tcW w:w="1417" w:type="dxa"/>
            <w:vAlign w:val="top"/>
          </w:tcPr>
          <w:p>
            <w:pPr>
              <w:spacing w:before="257" w:line="101" w:lineRule="exact"/>
              <w:ind w:left="670"/>
              <w:rPr>
                <w:rFonts w:ascii="Times New Roman" w:hAnsi="Times New Roman" w:eastAsia="Times New Roman" w:cs="Times New Roman"/>
                <w:sz w:val="20"/>
                <w:szCs w:val="20"/>
              </w:rPr>
            </w:pPr>
            <w:r>
              <w:rPr>
                <w:rFonts w:ascii="Times New Roman" w:hAnsi="Times New Roman" w:eastAsia="Times New Roman" w:cs="Times New Roman"/>
                <w:b/>
                <w:bCs/>
                <w:position w:val="-2"/>
                <w:sz w:val="20"/>
                <w:szCs w:val="20"/>
              </w:rPr>
              <w:t>-</w:t>
            </w:r>
          </w:p>
        </w:tc>
        <w:tc>
          <w:tcPr>
            <w:tcW w:w="1695" w:type="dxa"/>
            <w:vAlign w:val="top"/>
          </w:tcPr>
          <w:p>
            <w:pPr>
              <w:spacing w:before="257" w:line="101" w:lineRule="exact"/>
              <w:ind w:left="811"/>
              <w:rPr>
                <w:rFonts w:ascii="Times New Roman" w:hAnsi="Times New Roman" w:eastAsia="Times New Roman" w:cs="Times New Roman"/>
                <w:sz w:val="20"/>
                <w:szCs w:val="20"/>
              </w:rPr>
            </w:pPr>
            <w:r>
              <w:rPr>
                <w:rFonts w:ascii="Times New Roman" w:hAnsi="Times New Roman" w:eastAsia="Times New Roman" w:cs="Times New Roman"/>
                <w:b/>
                <w:bCs/>
                <w:position w:val="-2"/>
                <w:sz w:val="20"/>
                <w:szCs w:val="20"/>
              </w:rPr>
              <w:t>-</w:t>
            </w:r>
          </w:p>
        </w:tc>
        <w:tc>
          <w:tcPr>
            <w:tcW w:w="709" w:type="dxa"/>
            <w:vAlign w:val="top"/>
          </w:tcPr>
          <w:p>
            <w:pPr>
              <w:spacing w:before="173" w:line="195" w:lineRule="auto"/>
              <w:ind w:left="170"/>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33.6</w:t>
            </w:r>
          </w:p>
        </w:tc>
        <w:tc>
          <w:tcPr>
            <w:tcW w:w="1078" w:type="dxa"/>
            <w:vAlign w:val="top"/>
          </w:tcPr>
          <w:p>
            <w:pPr>
              <w:spacing w:before="173" w:line="195" w:lineRule="auto"/>
              <w:ind w:left="328"/>
              <w:rPr>
                <w:rFonts w:ascii="Times New Roman" w:hAnsi="Times New Roman" w:eastAsia="Times New Roman" w:cs="Times New Roman"/>
                <w:sz w:val="20"/>
                <w:szCs w:val="20"/>
              </w:rPr>
            </w:pPr>
            <w:r>
              <w:rPr>
                <w:rFonts w:ascii="Times New Roman" w:hAnsi="Times New Roman" w:eastAsia="Times New Roman" w:cs="Times New Roman"/>
                <w:b/>
                <w:bCs/>
                <w:spacing w:val="4"/>
                <w:sz w:val="20"/>
                <w:szCs w:val="20"/>
              </w:rPr>
              <w:t>96%</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黑体" w:hAnsi="黑体" w:eastAsia="黑体" w:cs="黑体"/>
          <w:b w:val="0"/>
          <w:bCs w:val="0"/>
          <w:spacing w:val="0"/>
          <w:sz w:val="32"/>
          <w:szCs w:val="32"/>
        </w:rPr>
      </w:pPr>
      <w:r>
        <w:rPr>
          <w:rFonts w:hint="eastAsia" w:ascii="黑体" w:hAnsi="黑体" w:eastAsia="黑体" w:cs="黑体"/>
          <w:b w:val="0"/>
          <w:bCs w:val="0"/>
          <w:spacing w:val="0"/>
          <w:sz w:val="32"/>
          <w:szCs w:val="32"/>
        </w:rPr>
        <w:t>部门管理类指标具体情况分析如下：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eastAsia" w:ascii="仿宋_GB2312" w:hAnsi="仿宋_GB2312" w:eastAsia="仿宋_GB2312" w:cs="仿宋_GB2312"/>
          <w:b/>
          <w:bCs/>
          <w:spacing w:val="0"/>
          <w:sz w:val="32"/>
          <w:szCs w:val="32"/>
        </w:rPr>
      </w:pPr>
      <w:r>
        <w:rPr>
          <w:rFonts w:hint="eastAsia" w:ascii="仿宋_GB2312" w:hAnsi="仿宋_GB2312" w:eastAsia="仿宋_GB2312" w:cs="仿宋_GB2312"/>
          <w:b/>
          <w:bCs/>
          <w:spacing w:val="0"/>
          <w:sz w:val="32"/>
          <w:szCs w:val="32"/>
        </w:rPr>
        <w:t>1.预算资金管理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（1）基本支出预算执行率：</w:t>
      </w:r>
      <w:r>
        <w:rPr>
          <w:rFonts w:ascii="Times New Roman" w:hAnsi="Times New Roman" w:eastAsia="仿宋_GB2312" w:cstheme="minorBidi"/>
          <w:snapToGrid/>
          <w:spacing w:val="0"/>
          <w:kern w:val="2"/>
          <w:sz w:val="32"/>
          <w:szCs w:val="32"/>
          <w:lang w:val="en-US" w:eastAsia="zh-CN" w:bidi="ar-SA"/>
        </w:rPr>
        <w:t>分值2分，得分2分，得分率100%。根据区民政局提供的预算批复、决算报表等相关资料，区民政局基本支出全年预算数为601.88万元，全年执行数为601.88万元，执行率为100%。依据评价标准，该指标得2分。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（2）项目支出预算执行率：</w:t>
      </w:r>
      <w:r>
        <w:rPr>
          <w:rFonts w:ascii="Times New Roman" w:hAnsi="Times New Roman" w:eastAsia="仿宋_GB2312" w:cstheme="minorBidi"/>
          <w:snapToGrid/>
          <w:spacing w:val="0"/>
          <w:kern w:val="2"/>
          <w:sz w:val="32"/>
          <w:szCs w:val="32"/>
          <w:lang w:val="en-US" w:eastAsia="zh-CN" w:bidi="ar-SA"/>
        </w:rPr>
        <w:t>分值2分，得分2分，得分率100%。根据区民政局提供的预算批复、决算报表等相关资料，区民政局项目支出全年预算数为16518.9万元，全年执行数为16518.9万元，执行率为100%。依据评价标准，该指标得2分。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（3）</w:t>
      </w:r>
      <w:r>
        <w:rPr>
          <w:rFonts w:hint="eastAsia" w:ascii="Times New Roman" w:hAnsi="Times New Roman" w:eastAsia="仿宋_GB2312" w:cstheme="minorBidi"/>
          <w:b/>
          <w:bCs/>
          <w:snapToGrid/>
          <w:spacing w:val="0"/>
          <w:kern w:val="2"/>
          <w:sz w:val="32"/>
          <w:szCs w:val="32"/>
          <w:lang w:val="en-US" w:eastAsia="zh-CN" w:bidi="ar-SA"/>
        </w:rPr>
        <w:t>“三公”</w:t>
      </w:r>
      <w:r>
        <w:rPr>
          <w:rFonts w:ascii="Times New Roman" w:hAnsi="Times New Roman" w:eastAsia="仿宋_GB2312" w:cstheme="minorBidi"/>
          <w:b/>
          <w:bCs/>
          <w:snapToGrid/>
          <w:spacing w:val="0"/>
          <w:kern w:val="2"/>
          <w:sz w:val="32"/>
          <w:szCs w:val="32"/>
          <w:lang w:val="en-US" w:eastAsia="zh-CN" w:bidi="ar-SA"/>
        </w:rPr>
        <w:t>经费控制情况：</w:t>
      </w:r>
      <w:r>
        <w:rPr>
          <w:rFonts w:ascii="Times New Roman" w:hAnsi="Times New Roman" w:eastAsia="仿宋_GB2312" w:cstheme="minorBidi"/>
          <w:snapToGrid/>
          <w:spacing w:val="0"/>
          <w:kern w:val="2"/>
          <w:sz w:val="32"/>
          <w:szCs w:val="32"/>
          <w:lang w:val="en-US" w:eastAsia="zh-CN" w:bidi="ar-SA"/>
        </w:rPr>
        <w:t>分值2分，得分2分，得分率100%。根据区民政局提供的预算批复、决算报表等相关资料，区民政局“三公</w:t>
      </w:r>
      <w:r>
        <w:rPr>
          <w:rFonts w:hint="eastAsia" w:ascii="Times New Roman" w:hAnsi="Times New Roman" w:eastAsia="仿宋_GB2312" w:cstheme="minorBidi"/>
          <w:snapToGrid/>
          <w:spacing w:val="0"/>
          <w:kern w:val="2"/>
          <w:sz w:val="32"/>
          <w:szCs w:val="32"/>
          <w:lang w:val="en-US" w:eastAsia="zh-CN" w:bidi="ar-SA"/>
        </w:rPr>
        <w:t>”</w:t>
      </w:r>
      <w:r>
        <w:rPr>
          <w:rFonts w:ascii="Times New Roman" w:hAnsi="Times New Roman" w:eastAsia="仿宋_GB2312" w:cstheme="minorBidi"/>
          <w:snapToGrid/>
          <w:spacing w:val="0"/>
          <w:kern w:val="2"/>
          <w:sz w:val="32"/>
          <w:szCs w:val="32"/>
          <w:lang w:val="en-US" w:eastAsia="zh-CN" w:bidi="ar-SA"/>
        </w:rPr>
        <w:t>经费全年预算数为3.5万元，全部为公务用车运行维护费，全年执行数为3.5万元，“三公”经费控制率为100%。依据评价标准，该指标2满分。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（4）预算调整率：</w:t>
      </w:r>
      <w:r>
        <w:rPr>
          <w:rFonts w:ascii="Times New Roman" w:hAnsi="Times New Roman" w:eastAsia="仿宋_GB2312" w:cstheme="minorBidi"/>
          <w:snapToGrid/>
          <w:spacing w:val="0"/>
          <w:kern w:val="2"/>
          <w:sz w:val="32"/>
          <w:szCs w:val="32"/>
          <w:lang w:val="en-US" w:eastAsia="zh-CN" w:bidi="ar-SA"/>
        </w:rPr>
        <w:t>分值2分，得分1.6分，得分率84.2%。根据区民政局提供的预算批复、决算报表等相关资料，部门单位2025年度年初预算批复金额共计16900.92万元，当年实际执行金额共计17120.78万元，预算调增金额达219.86万元，其中基本支出调增34.32万元，项目支出调增185.54万元，根据计算公式，部门全年预算调整率为1.3%。依据评价标准，该指标扣0.4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（5）资金使用合规性：</w:t>
      </w:r>
      <w:r>
        <w:rPr>
          <w:rFonts w:ascii="Times New Roman" w:hAnsi="Times New Roman" w:eastAsia="仿宋_GB2312" w:cstheme="minorBidi"/>
          <w:snapToGrid/>
          <w:spacing w:val="0"/>
          <w:kern w:val="2"/>
          <w:sz w:val="32"/>
          <w:szCs w:val="32"/>
          <w:lang w:val="en-US" w:eastAsia="zh-CN" w:bidi="ar-SA"/>
        </w:rPr>
        <w:t>分值4分，得分4分，得分率100%。根据区民政局提供的财务管理制度、资金支出审批单及相关会议纪要等资料，结合现场抽查凭证情况，2025年区民政局已按国家财政、财务管理相关规定规范使用资金，资金的使用履行相关的申请审核、审批手续，重大支出经集体决策程序，相关凭证附件齐全，支出程序规范。同时资金实际用途与预算批复相一致，各专项未发现资金截留、挤占、挪用、虚列支出等情况。依据评价标准，该指标得4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b/>
          <w:bCs/>
          <w:snapToGrid/>
          <w:spacing w:val="0"/>
          <w:kern w:val="2"/>
          <w:sz w:val="32"/>
          <w:szCs w:val="32"/>
          <w:lang w:val="en-US" w:eastAsia="zh-CN" w:bidi="ar-SA"/>
        </w:rPr>
        <w:t>（6）存量资金控制情况：</w:t>
      </w:r>
      <w:r>
        <w:rPr>
          <w:rFonts w:ascii="Times New Roman" w:hAnsi="Times New Roman" w:eastAsia="仿宋_GB2312" w:cstheme="minorBidi"/>
          <w:snapToGrid/>
          <w:spacing w:val="0"/>
          <w:kern w:val="2"/>
          <w:sz w:val="32"/>
          <w:szCs w:val="32"/>
          <w:lang w:val="en-US" w:eastAsia="zh-CN" w:bidi="ar-SA"/>
        </w:rPr>
        <w:t>分值2分，得分2分，得分率100%。区民政局2024年财政拨款结转结余190.77万元，非财政拨款累计结转结余均为0万元，2025年底资金存在结余情况，财政拨款结转结余0万元，非财政拨款累计结转结余均为0万元。非财政拨款累计结转结余资金按照财政规定执行，部门无结余结转资金量，存量资金按财政规定年限消化。依据评价标准，该指标得2分</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eastAsia" w:ascii="仿宋_GB2312" w:hAnsi="仿宋_GB2312" w:eastAsia="仿宋_GB2312" w:cs="仿宋_GB2312"/>
          <w:b/>
          <w:bCs/>
          <w:spacing w:val="0"/>
          <w:sz w:val="32"/>
          <w:szCs w:val="32"/>
        </w:rPr>
      </w:pPr>
      <w:r>
        <w:rPr>
          <w:rFonts w:hint="eastAsia" w:ascii="仿宋_GB2312" w:hAnsi="仿宋_GB2312" w:eastAsia="仿宋_GB2312" w:cs="仿宋_GB2312"/>
          <w:b/>
          <w:bCs/>
          <w:spacing w:val="0"/>
          <w:sz w:val="32"/>
          <w:szCs w:val="32"/>
        </w:rPr>
        <w:t>2.内部制度管理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（1）项目管理制度健全性：</w:t>
      </w:r>
      <w:r>
        <w:rPr>
          <w:rFonts w:ascii="Times New Roman" w:hAnsi="Times New Roman" w:eastAsia="仿宋_GB2312" w:cstheme="minorBidi"/>
          <w:snapToGrid/>
          <w:spacing w:val="0"/>
          <w:kern w:val="2"/>
          <w:sz w:val="32"/>
          <w:szCs w:val="32"/>
          <w:lang w:val="en-US" w:eastAsia="zh-CN" w:bidi="ar-SA"/>
        </w:rPr>
        <w:t>分值2分，得分2分，得分率100%。根据区民政局提供的部门单位项目管理各项制度，单位制定了财务管理制度、相关行业项目管理制度或办法，确定项目前期立项程序、实施监管、资金申请和批复程序等要求，项目管理制度部健全。依据评价标准，该指标得2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（2）项目管理制度执行有效性：</w:t>
      </w:r>
      <w:r>
        <w:rPr>
          <w:rFonts w:ascii="Times New Roman" w:hAnsi="Times New Roman" w:eastAsia="仿宋_GB2312" w:cstheme="minorBidi"/>
          <w:snapToGrid/>
          <w:spacing w:val="0"/>
          <w:kern w:val="2"/>
          <w:sz w:val="32"/>
          <w:szCs w:val="32"/>
          <w:lang w:val="en-US" w:eastAsia="zh-CN" w:bidi="ar-SA"/>
        </w:rPr>
        <w:t>分值2分，得分2分，得分率100%。经评价组抽查部门2025年项目相关审批单据、项目立项依据、项目拨付名单等资料，部门各项目管理按照上位法及财务管理制度进行管理，项目执行过程中项目立项、项目前期准备、项目实施、项目拨付等环节资料完整清晰。依据评价标准</w:t>
      </w:r>
      <w:r>
        <w:rPr>
          <w:rFonts w:hint="eastAsia" w:ascii="Times New Roman" w:hAnsi="Times New Roman" w:eastAsia="仿宋_GB2312" w:cstheme="minorBidi"/>
          <w:snapToGrid/>
          <w:spacing w:val="0"/>
          <w:kern w:val="2"/>
          <w:sz w:val="32"/>
          <w:szCs w:val="32"/>
          <w:lang w:val="en-US" w:eastAsia="zh-CN" w:bidi="ar-SA"/>
        </w:rPr>
        <w:t>，</w:t>
      </w:r>
      <w:r>
        <w:rPr>
          <w:rFonts w:ascii="Times New Roman" w:hAnsi="Times New Roman" w:eastAsia="仿宋_GB2312" w:cstheme="minorBidi"/>
          <w:snapToGrid/>
          <w:spacing w:val="0"/>
          <w:kern w:val="2"/>
          <w:sz w:val="32"/>
          <w:szCs w:val="32"/>
          <w:lang w:val="en-US" w:eastAsia="zh-CN" w:bidi="ar-SA"/>
        </w:rPr>
        <w:t>该指标得2分。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（3）财务管理制度健全性：</w:t>
      </w:r>
      <w:r>
        <w:rPr>
          <w:rFonts w:ascii="Times New Roman" w:hAnsi="Times New Roman" w:eastAsia="仿宋_GB2312" w:cstheme="minorBidi"/>
          <w:snapToGrid/>
          <w:spacing w:val="0"/>
          <w:kern w:val="2"/>
          <w:sz w:val="32"/>
          <w:szCs w:val="32"/>
          <w:lang w:val="en-US" w:eastAsia="zh-CN" w:bidi="ar-SA"/>
        </w:rPr>
        <w:t>分值2分，得分2分，得分率100%。根据区民政局提供的财务管理制度文件，区民政局制定了详细的财务管理制度，主要包含预算管理、收入管理、支出管理等事项，对财务审核、监督、不相容岗位、预算管理、收入管理、支出管理、资金申请流程等内容作出明确规定，部门财务管理制度健全。依据评价标准，该指标得2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（4）财务管理制度执行有效性：</w:t>
      </w:r>
      <w:r>
        <w:rPr>
          <w:rFonts w:ascii="Times New Roman" w:hAnsi="Times New Roman" w:eastAsia="仿宋_GB2312" w:cstheme="minorBidi"/>
          <w:snapToGrid/>
          <w:spacing w:val="0"/>
          <w:kern w:val="2"/>
          <w:sz w:val="32"/>
          <w:szCs w:val="32"/>
          <w:lang w:val="en-US" w:eastAsia="zh-CN" w:bidi="ar-SA"/>
        </w:rPr>
        <w:t>分值2分，得分2分，得分率100%。经评价组现场抽查部门全年凭证及附件内容，区民政局支出会计信息记录完整，符合国家财政、财务管理相关规定规范使用资金，资金的使用履行相关的申请、审核、审批手续，重大资金支出具有“三重一大”会议纪要，按规定履行了集体决策程序，各环节财务管理资料齐全，资金执行程序规范。各项资金使用用途与年初预算批复相符，评价期间未发现资金截留、挤占、挪用、虚列支出等情况，部门财务管理制度执行有效。依据评价标准，该指标得2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（5）资产管理制度健全性：</w:t>
      </w:r>
      <w:r>
        <w:rPr>
          <w:rFonts w:ascii="Times New Roman" w:hAnsi="Times New Roman" w:eastAsia="仿宋_GB2312" w:cstheme="minorBidi"/>
          <w:snapToGrid/>
          <w:spacing w:val="0"/>
          <w:kern w:val="2"/>
          <w:sz w:val="32"/>
          <w:szCs w:val="32"/>
          <w:lang w:val="en-US" w:eastAsia="zh-CN" w:bidi="ar-SA"/>
        </w:rPr>
        <w:t>分值2分，得分2分，得分率100%。经审阅部门提供的各项管理制度等相关资料，区民政局2025年制定了固定资产管理制度，资产管理制度健全，包括但不限于专人负责、验收入库、领用登记、资产盘点、清理报废等事项。依据评价标准，该指标得2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（6）固定资产利用率：</w:t>
      </w:r>
      <w:r>
        <w:rPr>
          <w:rFonts w:ascii="Times New Roman" w:hAnsi="Times New Roman" w:eastAsia="仿宋_GB2312" w:cstheme="minorBidi"/>
          <w:snapToGrid/>
          <w:spacing w:val="0"/>
          <w:kern w:val="2"/>
          <w:sz w:val="32"/>
          <w:szCs w:val="32"/>
          <w:lang w:val="en-US" w:eastAsia="zh-CN" w:bidi="ar-SA"/>
        </w:rPr>
        <w:t>分值2分，得分1分</w:t>
      </w:r>
      <w:r>
        <w:rPr>
          <w:rFonts w:hint="eastAsia" w:ascii="Times New Roman" w:hAnsi="Times New Roman" w:eastAsia="仿宋_GB2312" w:cstheme="minorBidi"/>
          <w:snapToGrid/>
          <w:spacing w:val="0"/>
          <w:kern w:val="2"/>
          <w:sz w:val="32"/>
          <w:szCs w:val="32"/>
          <w:lang w:val="en-US" w:eastAsia="zh-CN" w:bidi="ar-SA"/>
        </w:rPr>
        <w:t>，</w:t>
      </w:r>
      <w:r>
        <w:rPr>
          <w:rFonts w:ascii="Times New Roman" w:hAnsi="Times New Roman" w:eastAsia="仿宋_GB2312" w:cstheme="minorBidi"/>
          <w:snapToGrid/>
          <w:spacing w:val="0"/>
          <w:kern w:val="2"/>
          <w:sz w:val="32"/>
          <w:szCs w:val="32"/>
          <w:lang w:val="en-US" w:eastAsia="zh-CN" w:bidi="ar-SA"/>
        </w:rPr>
        <w:t>得分率50%。经审阅部门提供的资产清查报告及资产年报等相关资料，区民政局2025年固定资产期末账面原值共计3033.65万元，实际在用固定资产总额共计3844.48万元，差额为待处置资产价值，依据计算公式，部门固定资产利用率为126.73%。依据评价标准，该指标扣1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（7）政府采购制度执行有效性：</w:t>
      </w:r>
      <w:r>
        <w:rPr>
          <w:rFonts w:ascii="Times New Roman" w:hAnsi="Times New Roman" w:eastAsia="仿宋_GB2312" w:cstheme="minorBidi"/>
          <w:snapToGrid/>
          <w:spacing w:val="0"/>
          <w:kern w:val="2"/>
          <w:sz w:val="32"/>
          <w:szCs w:val="32"/>
          <w:lang w:val="en-US" w:eastAsia="zh-CN" w:bidi="ar-SA"/>
        </w:rPr>
        <w:t>分值2分，得分2分，得分率100%。经审阅区财政局提供的政府采购申请、采购计划、招标公示等相关资料，区民政局已按政府采购管理要求执行，且采购业务具有完整资料，包括采购申请单、政府采购计划审批单、会议纪要、招标公示、中标通知、采购合同、采购验收单、采购备案登记表等，部门政府采购制度执行有效。2025年区民政局全年政府采购执行金额500.74万元，未超出政府采购计划，政府采购执行控制良好。依据评价标准，该指标得2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（8）预算绩效管理制度健全性：</w:t>
      </w:r>
      <w:r>
        <w:rPr>
          <w:rFonts w:ascii="Times New Roman" w:hAnsi="Times New Roman" w:eastAsia="仿宋_GB2312" w:cstheme="minorBidi"/>
          <w:snapToGrid/>
          <w:spacing w:val="0"/>
          <w:kern w:val="2"/>
          <w:sz w:val="32"/>
          <w:szCs w:val="32"/>
          <w:lang w:val="en-US" w:eastAsia="zh-CN" w:bidi="ar-SA"/>
        </w:rPr>
        <w:t>分值2分，得分2分，得分率100%。经审阅区民政局提供的预算绩效管理制度等</w:t>
      </w:r>
      <w:r>
        <w:rPr>
          <w:rFonts w:hint="eastAsia" w:ascii="Times New Roman" w:hAnsi="Times New Roman" w:eastAsia="仿宋_GB2312" w:cstheme="minorBidi"/>
          <w:snapToGrid/>
          <w:spacing w:val="0"/>
          <w:kern w:val="2"/>
          <w:sz w:val="32"/>
          <w:szCs w:val="32"/>
          <w:lang w:val="en-US" w:eastAsia="zh-CN" w:bidi="ar-SA"/>
        </w:rPr>
        <w:t>相关</w:t>
      </w:r>
      <w:r>
        <w:rPr>
          <w:rFonts w:ascii="Times New Roman" w:hAnsi="Times New Roman" w:eastAsia="仿宋_GB2312" w:cstheme="minorBidi"/>
          <w:snapToGrid/>
          <w:spacing w:val="0"/>
          <w:kern w:val="2"/>
          <w:sz w:val="32"/>
          <w:szCs w:val="32"/>
          <w:lang w:val="en-US" w:eastAsia="zh-CN" w:bidi="ar-SA"/>
        </w:rPr>
        <w:t>资料，区民政局</w:t>
      </w:r>
      <w:r>
        <w:rPr>
          <w:rFonts w:hint="eastAsia" w:ascii="Times New Roman" w:hAnsi="Times New Roman" w:eastAsia="仿宋_GB2312" w:cstheme="minorBidi"/>
          <w:snapToGrid/>
          <w:spacing w:val="0"/>
          <w:kern w:val="2"/>
          <w:sz w:val="32"/>
          <w:szCs w:val="32"/>
          <w:lang w:val="en-US" w:eastAsia="zh-CN" w:bidi="ar-SA"/>
        </w:rPr>
        <w:t>于</w:t>
      </w:r>
      <w:r>
        <w:rPr>
          <w:rFonts w:ascii="Times New Roman" w:hAnsi="Times New Roman" w:eastAsia="仿宋_GB2312" w:cstheme="minorBidi"/>
          <w:snapToGrid/>
          <w:spacing w:val="0"/>
          <w:kern w:val="2"/>
          <w:sz w:val="32"/>
          <w:szCs w:val="32"/>
          <w:lang w:val="en-US" w:eastAsia="zh-CN" w:bidi="ar-SA"/>
        </w:rPr>
        <w:t>2025年按照要求制定</w:t>
      </w:r>
      <w:r>
        <w:rPr>
          <w:rFonts w:hint="eastAsia" w:ascii="Times New Roman" w:hAnsi="Times New Roman" w:eastAsia="仿宋_GB2312" w:cstheme="minorBidi"/>
          <w:snapToGrid/>
          <w:spacing w:val="0"/>
          <w:kern w:val="2"/>
          <w:sz w:val="32"/>
          <w:szCs w:val="32"/>
          <w:lang w:val="en-US" w:eastAsia="zh-CN" w:bidi="ar-SA"/>
        </w:rPr>
        <w:t>了涵盖</w:t>
      </w:r>
      <w:r>
        <w:rPr>
          <w:rFonts w:ascii="Times New Roman" w:hAnsi="Times New Roman" w:eastAsia="仿宋_GB2312" w:cstheme="minorBidi"/>
          <w:snapToGrid/>
          <w:spacing w:val="0"/>
          <w:kern w:val="2"/>
          <w:sz w:val="32"/>
          <w:szCs w:val="32"/>
          <w:lang w:val="en-US" w:eastAsia="zh-CN" w:bidi="ar-SA"/>
        </w:rPr>
        <w:t>事前绩效评估、绩效目标管理、绩效监控等</w:t>
      </w:r>
      <w:r>
        <w:rPr>
          <w:rFonts w:hint="eastAsia" w:ascii="Times New Roman" w:hAnsi="Times New Roman" w:eastAsia="仿宋_GB2312" w:cstheme="minorBidi"/>
          <w:snapToGrid/>
          <w:spacing w:val="0"/>
          <w:kern w:val="2"/>
          <w:sz w:val="32"/>
          <w:szCs w:val="32"/>
          <w:lang w:val="en-US" w:eastAsia="zh-CN" w:bidi="ar-SA"/>
        </w:rPr>
        <w:t>环节的</w:t>
      </w:r>
      <w:r>
        <w:rPr>
          <w:rFonts w:ascii="Times New Roman" w:hAnsi="Times New Roman" w:eastAsia="仿宋_GB2312" w:cstheme="minorBidi"/>
          <w:snapToGrid/>
          <w:spacing w:val="0"/>
          <w:kern w:val="2"/>
          <w:sz w:val="32"/>
          <w:szCs w:val="32"/>
          <w:lang w:val="en-US" w:eastAsia="zh-CN" w:bidi="ar-SA"/>
        </w:rPr>
        <w:t>全过程预算绩效管理制度。依据评价标准，该指标得2分。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（9）档案管理制度健全性：</w:t>
      </w:r>
      <w:r>
        <w:rPr>
          <w:rFonts w:ascii="Times New Roman" w:hAnsi="Times New Roman" w:eastAsia="仿宋_GB2312" w:cstheme="minorBidi"/>
          <w:snapToGrid/>
          <w:spacing w:val="0"/>
          <w:kern w:val="2"/>
          <w:sz w:val="32"/>
          <w:szCs w:val="32"/>
          <w:lang w:val="en-US" w:eastAsia="zh-CN" w:bidi="ar-SA"/>
        </w:rPr>
        <w:t>分值2分，得分2分，得分率100%。经审阅区民政局提供的部门档案管理管理制度等资料，区民政局2025年制定了档案管理相关制度或办法。依据评价标准，该指标得2分。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b/>
          <w:bCs/>
          <w:snapToGrid/>
          <w:spacing w:val="0"/>
          <w:kern w:val="2"/>
          <w:sz w:val="32"/>
          <w:szCs w:val="32"/>
          <w:lang w:val="en-US" w:eastAsia="zh-CN" w:bidi="ar-SA"/>
        </w:rPr>
        <w:t>（10）信息公开制度执行有效性：</w:t>
      </w:r>
      <w:r>
        <w:rPr>
          <w:rFonts w:ascii="Times New Roman" w:hAnsi="Times New Roman" w:eastAsia="仿宋_GB2312" w:cstheme="minorBidi"/>
          <w:snapToGrid/>
          <w:spacing w:val="0"/>
          <w:kern w:val="2"/>
          <w:sz w:val="32"/>
          <w:szCs w:val="32"/>
          <w:lang w:val="en-US" w:eastAsia="zh-CN" w:bidi="ar-SA"/>
        </w:rPr>
        <w:t>分值3分，得分3分，得分率100%。经查看哈密市伊州区人民政府网站，区民政局按规定公开了机构职能、预决算信息、政府采购信息、机构概况、绩效目标等内容，并公布了信息公开年报，信息公开内容完整、及时，评价期间未发现公开信息不真实的情况。依据评价标准，该指标得3分</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hint="eastAsia" w:ascii="楷体" w:hAnsi="楷体" w:eastAsia="楷体" w:cs="楷体"/>
          <w:b w:val="0"/>
          <w:bCs w:val="0"/>
          <w:spacing w:val="0"/>
          <w:sz w:val="32"/>
          <w:szCs w:val="32"/>
        </w:rPr>
      </w:pPr>
      <w:bookmarkStart w:id="19" w:name="bookmark17"/>
      <w:bookmarkEnd w:id="19"/>
      <w:r>
        <w:rPr>
          <w:rFonts w:hint="eastAsia" w:ascii="楷体" w:hAnsi="楷体" w:eastAsia="楷体" w:cs="楷体"/>
          <w:b w:val="0"/>
          <w:bCs w:val="0"/>
          <w:spacing w:val="0"/>
          <w:sz w:val="32"/>
          <w:szCs w:val="32"/>
        </w:rPr>
        <w:t>（三）部门绩效</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部门绩效指标从中部门履职情况、部门产出数量、部门产出质量、部门产出时效、部门履职经济效益、部门履职社会效益、满意度情况等多方面对部门绩效情况进行考察，部门绩效类指标权重分值50分，实际得分43.5分。各项指标的得分情况如下表3-3所示</w:t>
      </w:r>
      <w:r>
        <w:rPr>
          <w:rFonts w:ascii="华文仿宋" w:hAnsi="华文仿宋" w:eastAsia="华文仿宋" w:cs="华文仿宋"/>
          <w:spacing w:val="0"/>
          <w:sz w:val="31"/>
          <w:szCs w:val="31"/>
        </w:rPr>
        <w:t>。</w:t>
      </w:r>
    </w:p>
    <w:p>
      <w:pPr>
        <w:spacing w:before="23" w:line="184" w:lineRule="auto"/>
        <w:ind w:left="2359"/>
        <w:rPr>
          <w:rFonts w:hint="eastAsia" w:ascii="黑体" w:hAnsi="黑体" w:eastAsia="黑体" w:cs="黑体"/>
          <w:sz w:val="24"/>
          <w:szCs w:val="24"/>
        </w:rPr>
      </w:pPr>
      <w:r>
        <w:rPr>
          <w:rFonts w:hint="eastAsia" w:ascii="黑体" w:hAnsi="黑体" w:eastAsia="黑体" w:cs="黑体"/>
          <w:b/>
          <w:bCs/>
          <w:spacing w:val="-1"/>
          <w:sz w:val="24"/>
          <w:szCs w:val="24"/>
        </w:rPr>
        <w:t>表3-3部门绩效类指标得分情况表</w:t>
      </w:r>
    </w:p>
    <w:p>
      <w:pPr>
        <w:spacing w:line="98" w:lineRule="auto"/>
        <w:rPr>
          <w:rFonts w:ascii="Arial"/>
          <w:sz w:val="2"/>
        </w:rPr>
      </w:pPr>
    </w:p>
    <w:tbl>
      <w:tblPr>
        <w:tblStyle w:val="7"/>
        <w:tblW w:w="8296" w:type="dxa"/>
        <w:tblInd w:w="1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599"/>
        <w:gridCol w:w="628"/>
        <w:gridCol w:w="1053"/>
        <w:gridCol w:w="1332"/>
        <w:gridCol w:w="777"/>
        <w:gridCol w:w="90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637" w:hRule="atLeast"/>
        </w:trPr>
        <w:tc>
          <w:tcPr>
            <w:tcW w:w="3599" w:type="dxa"/>
            <w:vAlign w:val="top"/>
          </w:tcPr>
          <w:p>
            <w:pPr>
              <w:pStyle w:val="8"/>
              <w:spacing w:before="212" w:line="228" w:lineRule="auto"/>
              <w:ind w:left="1378"/>
            </w:pPr>
            <w:r>
              <w:rPr>
                <w:b/>
                <w:bCs/>
                <w:spacing w:val="6"/>
              </w:rPr>
              <w:t>三级指标</w:t>
            </w:r>
          </w:p>
        </w:tc>
        <w:tc>
          <w:tcPr>
            <w:tcW w:w="628" w:type="dxa"/>
            <w:textDirection w:val="tbRlV"/>
            <w:vAlign w:val="top"/>
          </w:tcPr>
          <w:p>
            <w:pPr>
              <w:pStyle w:val="8"/>
              <w:spacing w:before="204" w:line="216" w:lineRule="auto"/>
              <w:ind w:left="56"/>
            </w:pPr>
            <w:r>
              <w:rPr>
                <w:b/>
                <w:bCs/>
                <w:spacing w:val="5"/>
              </w:rPr>
              <w:t>权重</w:t>
            </w:r>
          </w:p>
        </w:tc>
        <w:tc>
          <w:tcPr>
            <w:tcW w:w="1053" w:type="dxa"/>
            <w:vAlign w:val="top"/>
          </w:tcPr>
          <w:p>
            <w:pPr>
              <w:pStyle w:val="8"/>
              <w:spacing w:before="211" w:line="228" w:lineRule="auto"/>
              <w:ind w:left="211"/>
            </w:pPr>
            <w:r>
              <w:rPr>
                <w:b/>
                <w:bCs/>
                <w:spacing w:val="5"/>
              </w:rPr>
              <w:t>标杆值</w:t>
            </w:r>
          </w:p>
        </w:tc>
        <w:tc>
          <w:tcPr>
            <w:tcW w:w="1332" w:type="dxa"/>
            <w:vAlign w:val="top"/>
          </w:tcPr>
          <w:p>
            <w:pPr>
              <w:pStyle w:val="8"/>
              <w:spacing w:before="211" w:line="228" w:lineRule="auto"/>
              <w:ind w:left="352"/>
            </w:pPr>
            <w:r>
              <w:rPr>
                <w:b/>
                <w:bCs/>
                <w:spacing w:val="5"/>
              </w:rPr>
              <w:t>业绩值</w:t>
            </w:r>
          </w:p>
        </w:tc>
        <w:tc>
          <w:tcPr>
            <w:tcW w:w="777" w:type="dxa"/>
            <w:vAlign w:val="top"/>
          </w:tcPr>
          <w:p>
            <w:pPr>
              <w:pStyle w:val="8"/>
              <w:spacing w:before="211" w:line="228" w:lineRule="auto"/>
              <w:ind w:left="183"/>
            </w:pPr>
            <w:r>
              <w:rPr>
                <w:b/>
                <w:bCs/>
                <w:spacing w:val="3"/>
              </w:rPr>
              <w:t>得分</w:t>
            </w:r>
          </w:p>
        </w:tc>
        <w:tc>
          <w:tcPr>
            <w:tcW w:w="907" w:type="dxa"/>
            <w:vAlign w:val="top"/>
          </w:tcPr>
          <w:p>
            <w:pPr>
              <w:pStyle w:val="8"/>
              <w:spacing w:before="211" w:line="228" w:lineRule="auto"/>
              <w:ind w:left="141"/>
            </w:pPr>
            <w:r>
              <w:rPr>
                <w:b/>
                <w:bCs/>
                <w:spacing w:val="5"/>
              </w:rPr>
              <w:t>得分率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2" w:hRule="atLeast"/>
        </w:trPr>
        <w:tc>
          <w:tcPr>
            <w:tcW w:w="3599" w:type="dxa"/>
            <w:vAlign w:val="top"/>
          </w:tcPr>
          <w:p>
            <w:pPr>
              <w:pStyle w:val="8"/>
              <w:spacing w:before="126" w:line="228" w:lineRule="auto"/>
              <w:ind w:left="1069"/>
            </w:pPr>
            <w:r>
              <w:rPr>
                <w:spacing w:val="8"/>
              </w:rPr>
              <w:t>履职工作开展率</w:t>
            </w:r>
          </w:p>
        </w:tc>
        <w:tc>
          <w:tcPr>
            <w:tcW w:w="628" w:type="dxa"/>
            <w:vAlign w:val="top"/>
          </w:tcPr>
          <w:p>
            <w:pPr>
              <w:spacing w:before="162" w:line="195" w:lineRule="auto"/>
              <w:ind w:left="256"/>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1053" w:type="dxa"/>
            <w:vAlign w:val="top"/>
          </w:tcPr>
          <w:p>
            <w:pPr>
              <w:spacing w:before="162" w:line="195" w:lineRule="auto"/>
              <w:ind w:left="2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c>
          <w:tcPr>
            <w:tcW w:w="1332" w:type="dxa"/>
            <w:vAlign w:val="top"/>
          </w:tcPr>
          <w:p>
            <w:pPr>
              <w:spacing w:before="162" w:line="195" w:lineRule="auto"/>
              <w:ind w:left="44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c>
          <w:tcPr>
            <w:tcW w:w="777" w:type="dxa"/>
            <w:vAlign w:val="top"/>
          </w:tcPr>
          <w:p>
            <w:pPr>
              <w:spacing w:before="162" w:line="195" w:lineRule="auto"/>
              <w:ind w:left="337"/>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907" w:type="dxa"/>
            <w:vAlign w:val="top"/>
          </w:tcPr>
          <w:p>
            <w:pPr>
              <w:spacing w:before="162" w:line="195"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2" w:hRule="atLeast"/>
        </w:trPr>
        <w:tc>
          <w:tcPr>
            <w:tcW w:w="3599" w:type="dxa"/>
            <w:vAlign w:val="top"/>
          </w:tcPr>
          <w:p>
            <w:pPr>
              <w:pStyle w:val="8"/>
              <w:spacing w:before="126" w:line="228" w:lineRule="auto"/>
              <w:ind w:left="1172"/>
            </w:pPr>
            <w:r>
              <w:rPr>
                <w:spacing w:val="8"/>
              </w:rPr>
              <w:t>年度绩效管理</w:t>
            </w:r>
          </w:p>
        </w:tc>
        <w:tc>
          <w:tcPr>
            <w:tcW w:w="628" w:type="dxa"/>
            <w:vAlign w:val="top"/>
          </w:tcPr>
          <w:p>
            <w:pPr>
              <w:spacing w:before="162" w:line="195" w:lineRule="auto"/>
              <w:ind w:left="261"/>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053" w:type="dxa"/>
            <w:vAlign w:val="top"/>
          </w:tcPr>
          <w:p>
            <w:pPr>
              <w:pStyle w:val="8"/>
              <w:spacing w:before="126" w:line="228" w:lineRule="auto"/>
              <w:ind w:left="318"/>
            </w:pPr>
            <w:r>
              <w:rPr>
                <w:spacing w:val="3"/>
              </w:rPr>
              <w:t>完成</w:t>
            </w:r>
          </w:p>
        </w:tc>
        <w:tc>
          <w:tcPr>
            <w:tcW w:w="1332" w:type="dxa"/>
            <w:vAlign w:val="top"/>
          </w:tcPr>
          <w:p>
            <w:pPr>
              <w:pStyle w:val="8"/>
              <w:spacing w:before="126" w:line="228" w:lineRule="auto"/>
              <w:ind w:left="460"/>
            </w:pPr>
            <w:r>
              <w:rPr>
                <w:spacing w:val="3"/>
              </w:rPr>
              <w:t>完成</w:t>
            </w:r>
          </w:p>
        </w:tc>
        <w:tc>
          <w:tcPr>
            <w:tcW w:w="777" w:type="dxa"/>
            <w:vAlign w:val="top"/>
          </w:tcPr>
          <w:p>
            <w:pPr>
              <w:spacing w:before="162" w:line="195" w:lineRule="auto"/>
              <w:ind w:left="341"/>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907" w:type="dxa"/>
            <w:vAlign w:val="top"/>
          </w:tcPr>
          <w:p>
            <w:pPr>
              <w:spacing w:before="162" w:line="195"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2" w:hRule="atLeast"/>
        </w:trPr>
        <w:tc>
          <w:tcPr>
            <w:tcW w:w="3599" w:type="dxa"/>
            <w:vAlign w:val="top"/>
          </w:tcPr>
          <w:p>
            <w:pPr>
              <w:pStyle w:val="8"/>
              <w:spacing w:before="128" w:line="228" w:lineRule="auto"/>
              <w:ind w:left="646"/>
            </w:pPr>
            <w:r>
              <w:rPr>
                <w:spacing w:val="9"/>
              </w:rPr>
              <w:t>城乡低保补贴工作完成率</w:t>
            </w:r>
          </w:p>
        </w:tc>
        <w:tc>
          <w:tcPr>
            <w:tcW w:w="628" w:type="dxa"/>
            <w:vAlign w:val="top"/>
          </w:tcPr>
          <w:p>
            <w:pPr>
              <w:spacing w:before="165" w:line="195" w:lineRule="auto"/>
              <w:ind w:left="261"/>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053" w:type="dxa"/>
            <w:vAlign w:val="top"/>
          </w:tcPr>
          <w:p>
            <w:pPr>
              <w:spacing w:before="165" w:line="195" w:lineRule="auto"/>
              <w:ind w:left="2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c>
          <w:tcPr>
            <w:tcW w:w="1332" w:type="dxa"/>
            <w:vAlign w:val="top"/>
          </w:tcPr>
          <w:p>
            <w:pPr>
              <w:spacing w:before="165" w:line="195" w:lineRule="auto"/>
              <w:ind w:left="44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c>
          <w:tcPr>
            <w:tcW w:w="777" w:type="dxa"/>
            <w:vAlign w:val="top"/>
          </w:tcPr>
          <w:p>
            <w:pPr>
              <w:spacing w:before="165" w:line="195" w:lineRule="auto"/>
              <w:ind w:left="342"/>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907" w:type="dxa"/>
            <w:vAlign w:val="top"/>
          </w:tcPr>
          <w:p>
            <w:pPr>
              <w:spacing w:before="165" w:line="195"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2" w:hRule="atLeast"/>
        </w:trPr>
        <w:tc>
          <w:tcPr>
            <w:tcW w:w="3599" w:type="dxa"/>
            <w:vAlign w:val="top"/>
          </w:tcPr>
          <w:p>
            <w:pPr>
              <w:pStyle w:val="8"/>
              <w:spacing w:before="129" w:line="228" w:lineRule="auto"/>
              <w:ind w:left="540"/>
            </w:pPr>
            <w:r>
              <w:rPr>
                <w:spacing w:val="9"/>
              </w:rPr>
              <w:t>残疾人两项补贴工作完成率</w:t>
            </w:r>
          </w:p>
        </w:tc>
        <w:tc>
          <w:tcPr>
            <w:tcW w:w="628" w:type="dxa"/>
            <w:vAlign w:val="top"/>
          </w:tcPr>
          <w:p>
            <w:pPr>
              <w:spacing w:before="165" w:line="195" w:lineRule="auto"/>
              <w:ind w:left="261"/>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053" w:type="dxa"/>
            <w:vAlign w:val="top"/>
          </w:tcPr>
          <w:p>
            <w:pPr>
              <w:spacing w:before="165" w:line="195" w:lineRule="auto"/>
              <w:ind w:left="2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c>
          <w:tcPr>
            <w:tcW w:w="1332" w:type="dxa"/>
            <w:vAlign w:val="top"/>
          </w:tcPr>
          <w:p>
            <w:pPr>
              <w:spacing w:before="165" w:line="195" w:lineRule="auto"/>
              <w:ind w:left="48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w:t>
            </w:r>
          </w:p>
        </w:tc>
        <w:tc>
          <w:tcPr>
            <w:tcW w:w="777" w:type="dxa"/>
            <w:vAlign w:val="top"/>
          </w:tcPr>
          <w:p>
            <w:pPr>
              <w:spacing w:before="165" w:line="195" w:lineRule="auto"/>
              <w:ind w:left="278"/>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1.5</w:t>
            </w:r>
          </w:p>
        </w:tc>
        <w:tc>
          <w:tcPr>
            <w:tcW w:w="907" w:type="dxa"/>
            <w:vAlign w:val="top"/>
          </w:tcPr>
          <w:p>
            <w:pPr>
              <w:spacing w:before="165"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2" w:hRule="atLeast"/>
        </w:trPr>
        <w:tc>
          <w:tcPr>
            <w:tcW w:w="3599" w:type="dxa"/>
            <w:vAlign w:val="top"/>
          </w:tcPr>
          <w:p>
            <w:pPr>
              <w:pStyle w:val="8"/>
              <w:spacing w:before="129" w:line="228" w:lineRule="auto"/>
              <w:ind w:left="755"/>
            </w:pPr>
            <w:r>
              <w:rPr>
                <w:spacing w:val="8"/>
              </w:rPr>
              <w:t>老年人补贴工作完成率</w:t>
            </w:r>
          </w:p>
        </w:tc>
        <w:tc>
          <w:tcPr>
            <w:tcW w:w="628" w:type="dxa"/>
            <w:vAlign w:val="top"/>
          </w:tcPr>
          <w:p>
            <w:pPr>
              <w:spacing w:before="168" w:line="192" w:lineRule="auto"/>
              <w:ind w:left="262"/>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053" w:type="dxa"/>
            <w:vAlign w:val="top"/>
          </w:tcPr>
          <w:p>
            <w:pPr>
              <w:spacing w:before="165" w:line="195" w:lineRule="auto"/>
              <w:ind w:left="2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c>
          <w:tcPr>
            <w:tcW w:w="1332" w:type="dxa"/>
            <w:vAlign w:val="top"/>
          </w:tcPr>
          <w:p>
            <w:pPr>
              <w:spacing w:before="165" w:line="195" w:lineRule="auto"/>
              <w:ind w:left="44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c>
          <w:tcPr>
            <w:tcW w:w="777" w:type="dxa"/>
            <w:vAlign w:val="top"/>
          </w:tcPr>
          <w:p>
            <w:pPr>
              <w:spacing w:before="168" w:line="192" w:lineRule="auto"/>
              <w:ind w:left="343"/>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907" w:type="dxa"/>
            <w:vAlign w:val="top"/>
          </w:tcPr>
          <w:p>
            <w:pPr>
              <w:spacing w:before="165" w:line="195"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2" w:hRule="atLeast"/>
        </w:trPr>
        <w:tc>
          <w:tcPr>
            <w:tcW w:w="3599" w:type="dxa"/>
            <w:vAlign w:val="top"/>
          </w:tcPr>
          <w:p>
            <w:pPr>
              <w:pStyle w:val="8"/>
              <w:spacing w:before="131" w:line="228" w:lineRule="auto"/>
              <w:ind w:left="651"/>
            </w:pPr>
            <w:r>
              <w:rPr>
                <w:spacing w:val="8"/>
              </w:rPr>
              <w:t>失地搬迁补贴工作完成率</w:t>
            </w:r>
          </w:p>
        </w:tc>
        <w:tc>
          <w:tcPr>
            <w:tcW w:w="628" w:type="dxa"/>
            <w:vAlign w:val="top"/>
          </w:tcPr>
          <w:p>
            <w:pPr>
              <w:spacing w:before="168" w:line="195" w:lineRule="auto"/>
              <w:ind w:left="261"/>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053" w:type="dxa"/>
            <w:vAlign w:val="top"/>
          </w:tcPr>
          <w:p>
            <w:pPr>
              <w:spacing w:before="168" w:line="195" w:lineRule="auto"/>
              <w:ind w:left="2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c>
          <w:tcPr>
            <w:tcW w:w="1332" w:type="dxa"/>
            <w:vAlign w:val="top"/>
          </w:tcPr>
          <w:p>
            <w:pPr>
              <w:spacing w:before="168" w:line="195" w:lineRule="auto"/>
              <w:ind w:left="480"/>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w:t>
            </w:r>
          </w:p>
        </w:tc>
        <w:tc>
          <w:tcPr>
            <w:tcW w:w="777" w:type="dxa"/>
            <w:vAlign w:val="top"/>
          </w:tcPr>
          <w:p>
            <w:pPr>
              <w:spacing w:before="168" w:line="195" w:lineRule="auto"/>
              <w:ind w:left="341"/>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907" w:type="dxa"/>
            <w:vAlign w:val="top"/>
          </w:tcPr>
          <w:p>
            <w:pPr>
              <w:spacing w:before="168"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2" w:hRule="atLeast"/>
        </w:trPr>
        <w:tc>
          <w:tcPr>
            <w:tcW w:w="3599" w:type="dxa"/>
            <w:vAlign w:val="top"/>
          </w:tcPr>
          <w:p>
            <w:pPr>
              <w:pStyle w:val="8"/>
              <w:spacing w:before="132" w:line="228" w:lineRule="auto"/>
              <w:ind w:left="857"/>
            </w:pPr>
            <w:r>
              <w:rPr>
                <w:spacing w:val="8"/>
              </w:rPr>
              <w:t>各类补贴发放覆盖率</w:t>
            </w:r>
          </w:p>
        </w:tc>
        <w:tc>
          <w:tcPr>
            <w:tcW w:w="628" w:type="dxa"/>
            <w:vAlign w:val="top"/>
          </w:tcPr>
          <w:p>
            <w:pPr>
              <w:spacing w:before="168" w:line="195" w:lineRule="auto"/>
              <w:ind w:left="261"/>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1053" w:type="dxa"/>
            <w:vAlign w:val="top"/>
          </w:tcPr>
          <w:p>
            <w:pPr>
              <w:spacing w:before="168" w:line="195" w:lineRule="auto"/>
              <w:ind w:left="2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c>
          <w:tcPr>
            <w:tcW w:w="1332" w:type="dxa"/>
            <w:vAlign w:val="top"/>
          </w:tcPr>
          <w:p>
            <w:pPr>
              <w:spacing w:before="168" w:line="195" w:lineRule="auto"/>
              <w:ind w:left="44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c>
          <w:tcPr>
            <w:tcW w:w="777" w:type="dxa"/>
            <w:vAlign w:val="top"/>
          </w:tcPr>
          <w:p>
            <w:pPr>
              <w:spacing w:before="168" w:line="195" w:lineRule="auto"/>
              <w:ind w:left="342"/>
              <w:rPr>
                <w:rFonts w:ascii="Times New Roman" w:hAnsi="Times New Roman" w:eastAsia="Times New Roman" w:cs="Times New Roman"/>
                <w:sz w:val="20"/>
                <w:szCs w:val="20"/>
              </w:rPr>
            </w:pPr>
            <w:r>
              <w:rPr>
                <w:rFonts w:ascii="Times New Roman" w:hAnsi="Times New Roman" w:eastAsia="Times New Roman" w:cs="Times New Roman"/>
                <w:sz w:val="20"/>
                <w:szCs w:val="20"/>
              </w:rPr>
              <w:t>6</w:t>
            </w:r>
          </w:p>
        </w:tc>
        <w:tc>
          <w:tcPr>
            <w:tcW w:w="907" w:type="dxa"/>
            <w:vAlign w:val="top"/>
          </w:tcPr>
          <w:p>
            <w:pPr>
              <w:spacing w:before="168" w:line="195"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2" w:hRule="atLeast"/>
        </w:trPr>
        <w:tc>
          <w:tcPr>
            <w:tcW w:w="3599" w:type="dxa"/>
            <w:vAlign w:val="top"/>
          </w:tcPr>
          <w:p>
            <w:pPr>
              <w:pStyle w:val="8"/>
              <w:spacing w:before="132" w:line="228" w:lineRule="auto"/>
              <w:ind w:left="648"/>
            </w:pPr>
            <w:r>
              <w:rPr>
                <w:spacing w:val="8"/>
              </w:rPr>
              <w:t>各项工作任务完成及时率</w:t>
            </w:r>
          </w:p>
        </w:tc>
        <w:tc>
          <w:tcPr>
            <w:tcW w:w="628" w:type="dxa"/>
            <w:vAlign w:val="top"/>
          </w:tcPr>
          <w:p>
            <w:pPr>
              <w:spacing w:before="171" w:line="192" w:lineRule="auto"/>
              <w:ind w:left="260"/>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1053" w:type="dxa"/>
            <w:vAlign w:val="top"/>
          </w:tcPr>
          <w:p>
            <w:pPr>
              <w:spacing w:before="168" w:line="195" w:lineRule="auto"/>
              <w:ind w:left="299"/>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c>
          <w:tcPr>
            <w:tcW w:w="1332" w:type="dxa"/>
            <w:vAlign w:val="top"/>
          </w:tcPr>
          <w:p>
            <w:pPr>
              <w:spacing w:before="168" w:line="195" w:lineRule="auto"/>
              <w:ind w:left="441"/>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c>
          <w:tcPr>
            <w:tcW w:w="777" w:type="dxa"/>
            <w:vAlign w:val="top"/>
          </w:tcPr>
          <w:p>
            <w:pPr>
              <w:spacing w:before="171" w:line="192" w:lineRule="auto"/>
              <w:ind w:left="340"/>
              <w:rPr>
                <w:rFonts w:ascii="Times New Roman" w:hAnsi="Times New Roman" w:eastAsia="Times New Roman" w:cs="Times New Roman"/>
                <w:sz w:val="20"/>
                <w:szCs w:val="20"/>
              </w:rPr>
            </w:pPr>
            <w:r>
              <w:rPr>
                <w:rFonts w:ascii="Times New Roman" w:hAnsi="Times New Roman" w:eastAsia="Times New Roman" w:cs="Times New Roman"/>
                <w:sz w:val="20"/>
                <w:szCs w:val="20"/>
              </w:rPr>
              <w:t>7</w:t>
            </w:r>
          </w:p>
        </w:tc>
        <w:tc>
          <w:tcPr>
            <w:tcW w:w="907" w:type="dxa"/>
            <w:vAlign w:val="top"/>
          </w:tcPr>
          <w:p>
            <w:pPr>
              <w:spacing w:before="168" w:line="195"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2" w:hRule="atLeast"/>
        </w:trPr>
        <w:tc>
          <w:tcPr>
            <w:tcW w:w="3599" w:type="dxa"/>
            <w:vAlign w:val="top"/>
          </w:tcPr>
          <w:p>
            <w:pPr>
              <w:pStyle w:val="8"/>
              <w:spacing w:before="134" w:line="228" w:lineRule="auto"/>
              <w:ind w:left="752"/>
            </w:pPr>
            <w:r>
              <w:rPr>
                <w:spacing w:val="8"/>
              </w:rPr>
              <w:t>提升殡葬领域改革工作</w:t>
            </w:r>
          </w:p>
        </w:tc>
        <w:tc>
          <w:tcPr>
            <w:tcW w:w="628" w:type="dxa"/>
            <w:vAlign w:val="top"/>
          </w:tcPr>
          <w:p>
            <w:pPr>
              <w:spacing w:before="171" w:line="195" w:lineRule="auto"/>
              <w:ind w:left="255"/>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4</w:t>
            </w:r>
          </w:p>
        </w:tc>
        <w:tc>
          <w:tcPr>
            <w:tcW w:w="1053" w:type="dxa"/>
            <w:vAlign w:val="top"/>
          </w:tcPr>
          <w:p>
            <w:pPr>
              <w:pStyle w:val="8"/>
              <w:spacing w:before="134" w:line="228" w:lineRule="auto"/>
              <w:ind w:left="318"/>
            </w:pPr>
            <w:r>
              <w:rPr>
                <w:spacing w:val="3"/>
              </w:rPr>
              <w:t>完成</w:t>
            </w:r>
          </w:p>
        </w:tc>
        <w:tc>
          <w:tcPr>
            <w:tcW w:w="1332" w:type="dxa"/>
            <w:vAlign w:val="top"/>
          </w:tcPr>
          <w:p>
            <w:pPr>
              <w:pStyle w:val="8"/>
              <w:spacing w:before="134" w:line="228" w:lineRule="auto"/>
              <w:ind w:left="252"/>
            </w:pPr>
            <w:r>
              <w:rPr>
                <w:spacing w:val="6"/>
              </w:rPr>
              <w:t>部分完成</w:t>
            </w:r>
          </w:p>
        </w:tc>
        <w:tc>
          <w:tcPr>
            <w:tcW w:w="777" w:type="dxa"/>
            <w:vAlign w:val="top"/>
          </w:tcPr>
          <w:p>
            <w:pPr>
              <w:spacing w:before="171" w:line="195" w:lineRule="auto"/>
              <w:ind w:left="337"/>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907" w:type="dxa"/>
            <w:vAlign w:val="top"/>
          </w:tcPr>
          <w:p>
            <w:pPr>
              <w:spacing w:before="171" w:line="195" w:lineRule="auto"/>
              <w:ind w:left="26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2" w:hRule="atLeast"/>
        </w:trPr>
        <w:tc>
          <w:tcPr>
            <w:tcW w:w="3599" w:type="dxa"/>
            <w:vAlign w:val="top"/>
          </w:tcPr>
          <w:p>
            <w:pPr>
              <w:pStyle w:val="8"/>
              <w:spacing w:before="135" w:line="227" w:lineRule="auto"/>
              <w:ind w:left="543"/>
            </w:pPr>
            <w:r>
              <w:rPr>
                <w:spacing w:val="8"/>
              </w:rPr>
              <w:t>扎实做好社会事务管理工作</w:t>
            </w:r>
          </w:p>
        </w:tc>
        <w:tc>
          <w:tcPr>
            <w:tcW w:w="628" w:type="dxa"/>
            <w:vAlign w:val="top"/>
          </w:tcPr>
          <w:p>
            <w:pPr>
              <w:spacing w:before="171" w:line="195" w:lineRule="auto"/>
              <w:ind w:left="261"/>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1053" w:type="dxa"/>
            <w:vAlign w:val="top"/>
          </w:tcPr>
          <w:p>
            <w:pPr>
              <w:pStyle w:val="8"/>
              <w:spacing w:before="135" w:line="228" w:lineRule="auto"/>
              <w:ind w:left="318"/>
            </w:pPr>
            <w:r>
              <w:rPr>
                <w:spacing w:val="3"/>
              </w:rPr>
              <w:t>完成</w:t>
            </w:r>
          </w:p>
        </w:tc>
        <w:tc>
          <w:tcPr>
            <w:tcW w:w="1332" w:type="dxa"/>
            <w:vAlign w:val="top"/>
          </w:tcPr>
          <w:p>
            <w:pPr>
              <w:pStyle w:val="8"/>
              <w:spacing w:before="135" w:line="228" w:lineRule="auto"/>
              <w:ind w:left="460"/>
            </w:pPr>
            <w:r>
              <w:rPr>
                <w:spacing w:val="3"/>
              </w:rPr>
              <w:t>完成</w:t>
            </w:r>
          </w:p>
        </w:tc>
        <w:tc>
          <w:tcPr>
            <w:tcW w:w="777" w:type="dxa"/>
            <w:vAlign w:val="top"/>
          </w:tcPr>
          <w:p>
            <w:pPr>
              <w:spacing w:before="171" w:line="195" w:lineRule="auto"/>
              <w:ind w:left="341"/>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907" w:type="dxa"/>
            <w:vAlign w:val="top"/>
          </w:tcPr>
          <w:p>
            <w:pPr>
              <w:spacing w:before="171" w:line="195"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620" w:hRule="atLeast"/>
        </w:trPr>
        <w:tc>
          <w:tcPr>
            <w:tcW w:w="3599" w:type="dxa"/>
            <w:vAlign w:val="top"/>
          </w:tcPr>
          <w:p>
            <w:pPr>
              <w:pStyle w:val="8"/>
              <w:spacing w:before="209" w:line="228" w:lineRule="auto"/>
              <w:ind w:left="331"/>
            </w:pPr>
            <w:r>
              <w:rPr>
                <w:spacing w:val="9"/>
              </w:rPr>
              <w:t>补助对象对部门履职工作满意度</w:t>
            </w:r>
          </w:p>
        </w:tc>
        <w:tc>
          <w:tcPr>
            <w:tcW w:w="628" w:type="dxa"/>
            <w:vAlign w:val="top"/>
          </w:tcPr>
          <w:p>
            <w:pPr>
              <w:spacing w:before="248" w:line="192" w:lineRule="auto"/>
              <w:ind w:left="262"/>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1053" w:type="dxa"/>
            <w:vAlign w:val="top"/>
          </w:tcPr>
          <w:p>
            <w:pPr>
              <w:pStyle w:val="8"/>
              <w:spacing w:before="210" w:line="241" w:lineRule="auto"/>
              <w:ind w:left="250"/>
              <w:rPr>
                <w:rFonts w:ascii="Times New Roman" w:hAnsi="Times New Roman" w:eastAsia="Times New Roman" w:cs="Times New Roman"/>
              </w:rPr>
            </w:pPr>
            <w:r>
              <w:t>≥</w:t>
            </w:r>
            <w:r>
              <w:rPr>
                <w:rFonts w:ascii="Times New Roman" w:hAnsi="Times New Roman" w:eastAsia="Times New Roman" w:cs="Times New Roman"/>
              </w:rPr>
              <w:t>90%</w:t>
            </w:r>
          </w:p>
        </w:tc>
        <w:tc>
          <w:tcPr>
            <w:tcW w:w="1332" w:type="dxa"/>
            <w:vAlign w:val="top"/>
          </w:tcPr>
          <w:p>
            <w:pPr>
              <w:spacing w:before="245" w:line="195" w:lineRule="auto"/>
              <w:ind w:left="399"/>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94.5%</w:t>
            </w:r>
          </w:p>
        </w:tc>
        <w:tc>
          <w:tcPr>
            <w:tcW w:w="777" w:type="dxa"/>
            <w:vAlign w:val="top"/>
          </w:tcPr>
          <w:p>
            <w:pPr>
              <w:spacing w:before="248" w:line="192" w:lineRule="auto"/>
              <w:ind w:left="343"/>
              <w:rPr>
                <w:rFonts w:ascii="Times New Roman" w:hAnsi="Times New Roman" w:eastAsia="Times New Roman" w:cs="Times New Roman"/>
                <w:sz w:val="20"/>
                <w:szCs w:val="20"/>
              </w:rPr>
            </w:pPr>
            <w:r>
              <w:rPr>
                <w:rFonts w:ascii="Times New Roman" w:hAnsi="Times New Roman" w:eastAsia="Times New Roman" w:cs="Times New Roman"/>
                <w:sz w:val="20"/>
                <w:szCs w:val="20"/>
              </w:rPr>
              <w:t>5</w:t>
            </w:r>
          </w:p>
        </w:tc>
        <w:tc>
          <w:tcPr>
            <w:tcW w:w="907" w:type="dxa"/>
            <w:vAlign w:val="top"/>
          </w:tcPr>
          <w:p>
            <w:pPr>
              <w:spacing w:before="245" w:line="195" w:lineRule="auto"/>
              <w:ind w:left="226"/>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100%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81" w:hRule="atLeast"/>
        </w:trPr>
        <w:tc>
          <w:tcPr>
            <w:tcW w:w="3599" w:type="dxa"/>
            <w:vAlign w:val="top"/>
          </w:tcPr>
          <w:p>
            <w:pPr>
              <w:pStyle w:val="8"/>
              <w:spacing w:before="139" w:line="229" w:lineRule="auto"/>
              <w:ind w:left="1594"/>
            </w:pPr>
            <w:r>
              <w:rPr>
                <w:b/>
                <w:bCs/>
                <w:spacing w:val="1"/>
              </w:rPr>
              <w:t>总计</w:t>
            </w:r>
          </w:p>
        </w:tc>
        <w:tc>
          <w:tcPr>
            <w:tcW w:w="628" w:type="dxa"/>
            <w:vAlign w:val="top"/>
          </w:tcPr>
          <w:p>
            <w:pPr>
              <w:spacing w:before="174" w:line="195" w:lineRule="auto"/>
              <w:ind w:left="206"/>
              <w:rPr>
                <w:rFonts w:ascii="Times New Roman" w:hAnsi="Times New Roman" w:eastAsia="Times New Roman" w:cs="Times New Roman"/>
                <w:sz w:val="20"/>
                <w:szCs w:val="20"/>
              </w:rPr>
            </w:pPr>
            <w:r>
              <w:rPr>
                <w:rFonts w:ascii="Times New Roman" w:hAnsi="Times New Roman" w:eastAsia="Times New Roman" w:cs="Times New Roman"/>
                <w:b/>
                <w:bCs/>
                <w:spacing w:val="1"/>
                <w:sz w:val="20"/>
                <w:szCs w:val="20"/>
              </w:rPr>
              <w:t>50</w:t>
            </w:r>
          </w:p>
        </w:tc>
        <w:tc>
          <w:tcPr>
            <w:tcW w:w="1053" w:type="dxa"/>
            <w:vAlign w:val="top"/>
          </w:tcPr>
          <w:p>
            <w:pPr>
              <w:spacing w:before="259" w:line="101" w:lineRule="exact"/>
              <w:ind w:left="488"/>
              <w:rPr>
                <w:rFonts w:ascii="Times New Roman" w:hAnsi="Times New Roman" w:eastAsia="Times New Roman" w:cs="Times New Roman"/>
                <w:sz w:val="20"/>
                <w:szCs w:val="20"/>
              </w:rPr>
            </w:pPr>
            <w:r>
              <w:rPr>
                <w:rFonts w:ascii="Times New Roman" w:hAnsi="Times New Roman" w:eastAsia="Times New Roman" w:cs="Times New Roman"/>
                <w:b/>
                <w:bCs/>
                <w:position w:val="-2"/>
                <w:sz w:val="20"/>
                <w:szCs w:val="20"/>
              </w:rPr>
              <w:t>-</w:t>
            </w:r>
          </w:p>
        </w:tc>
        <w:tc>
          <w:tcPr>
            <w:tcW w:w="1332" w:type="dxa"/>
            <w:vAlign w:val="top"/>
          </w:tcPr>
          <w:p>
            <w:pPr>
              <w:spacing w:before="259" w:line="101" w:lineRule="exact"/>
              <w:ind w:left="630"/>
              <w:rPr>
                <w:rFonts w:ascii="Times New Roman" w:hAnsi="Times New Roman" w:eastAsia="Times New Roman" w:cs="Times New Roman"/>
                <w:sz w:val="20"/>
                <w:szCs w:val="20"/>
              </w:rPr>
            </w:pPr>
            <w:r>
              <w:rPr>
                <w:rFonts w:ascii="Times New Roman" w:hAnsi="Times New Roman" w:eastAsia="Times New Roman" w:cs="Times New Roman"/>
                <w:b/>
                <w:bCs/>
                <w:position w:val="-2"/>
                <w:sz w:val="20"/>
                <w:szCs w:val="20"/>
              </w:rPr>
              <w:t>-</w:t>
            </w:r>
          </w:p>
        </w:tc>
        <w:tc>
          <w:tcPr>
            <w:tcW w:w="777" w:type="dxa"/>
            <w:vAlign w:val="top"/>
          </w:tcPr>
          <w:p>
            <w:pPr>
              <w:spacing w:before="174" w:line="195" w:lineRule="auto"/>
              <w:ind w:left="208"/>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43.5</w:t>
            </w:r>
          </w:p>
        </w:tc>
        <w:tc>
          <w:tcPr>
            <w:tcW w:w="907" w:type="dxa"/>
            <w:vAlign w:val="top"/>
          </w:tcPr>
          <w:p>
            <w:pPr>
              <w:spacing w:before="175" w:line="195" w:lineRule="auto"/>
              <w:ind w:left="245"/>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87%</w:t>
            </w:r>
          </w:p>
        </w:tc>
      </w:tr>
    </w:tbl>
    <w:p>
      <w:pPr>
        <w:pStyle w:val="2"/>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黑体" w:hAnsi="黑体" w:eastAsia="黑体" w:cs="黑体"/>
          <w:b w:val="0"/>
          <w:bCs w:val="0"/>
          <w:spacing w:val="0"/>
          <w:sz w:val="32"/>
          <w:szCs w:val="32"/>
        </w:rPr>
      </w:pPr>
      <w:r>
        <w:rPr>
          <w:rFonts w:hint="eastAsia" w:ascii="黑体" w:hAnsi="黑体" w:eastAsia="黑体" w:cs="黑体"/>
          <w:b w:val="0"/>
          <w:bCs w:val="0"/>
          <w:spacing w:val="0"/>
          <w:sz w:val="32"/>
          <w:szCs w:val="32"/>
        </w:rPr>
        <w:t>部门绩效类指标具体情况分析如下：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rPr>
          <w:rFonts w:hint="eastAsia" w:ascii="仿宋_GB2312" w:hAnsi="仿宋_GB2312" w:eastAsia="仿宋_GB2312" w:cs="仿宋_GB2312"/>
          <w:b/>
          <w:bCs/>
          <w:spacing w:val="0"/>
          <w:sz w:val="32"/>
          <w:szCs w:val="32"/>
        </w:rPr>
      </w:pPr>
      <w:r>
        <w:rPr>
          <w:rFonts w:hint="eastAsia" w:ascii="仿宋_GB2312" w:hAnsi="仿宋_GB2312" w:eastAsia="仿宋_GB2312" w:cs="仿宋_GB2312"/>
          <w:b/>
          <w:bCs/>
          <w:spacing w:val="0"/>
          <w:sz w:val="32"/>
          <w:szCs w:val="32"/>
        </w:rPr>
        <w:t>1.部门履职情况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（1）履职工作开展率：</w:t>
      </w:r>
      <w:r>
        <w:rPr>
          <w:rFonts w:ascii="Times New Roman" w:hAnsi="Times New Roman" w:eastAsia="仿宋_GB2312" w:cstheme="minorBidi"/>
          <w:snapToGrid/>
          <w:spacing w:val="0"/>
          <w:kern w:val="2"/>
          <w:sz w:val="32"/>
          <w:szCs w:val="32"/>
          <w:lang w:val="en-US" w:eastAsia="zh-CN" w:bidi="ar-SA"/>
        </w:rPr>
        <w:t>分值2分，得分2分，得分率100%。根据区民政局提供的三定方案及各项工作开展资料，区民政局2025年主要工作包括开展低保金发放、残疾人两项补贴发放、老年人补贴发放、失地人员、城市话转移安置搬迁补助发放等工作。通过评价组现场调研及查阅各项补助文件资料，城乡低保工作方面，区民政局开展了群众救助补助项目，包含中央资金项目和自治区资金项目；残疾人两项补助方面，区民政局开展了残疾人两项补贴项目、彩票公益金支持残疾人补贴项目；老年人补贴方面，区民政局开展了老年人福利补贴项目、居家养老服务设施等项目；失地搬迁补助方面，区民政局开展了失地搬迁农牧民生活补助项目。综上所述，区民政局履职工作开展率为100%，依据评价标准，该指标得2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（2）年度绩效管理：</w:t>
      </w:r>
      <w:r>
        <w:rPr>
          <w:rFonts w:ascii="Times New Roman" w:hAnsi="Times New Roman" w:eastAsia="仿宋_GB2312" w:cstheme="minorBidi"/>
          <w:snapToGrid/>
          <w:spacing w:val="0"/>
          <w:kern w:val="2"/>
          <w:sz w:val="32"/>
          <w:szCs w:val="32"/>
          <w:lang w:val="en-US" w:eastAsia="zh-CN" w:bidi="ar-SA"/>
        </w:rPr>
        <w:t>分值3分，得分3分，得分率100%。根据区民政局提供的部门及项目绩效目标表、监控表、自评表及整体评价报告，区民政局2025年已及时完成绩效目标、绩效监控、绩效自评等工作，并将财政资金全部纳入绩效管理范围，相关绩效表及报告已在财政预算绩效信息系统中填报完成并按时提交。依据评价标准，该指标得3分</w:t>
      </w:r>
      <w:r>
        <w:rPr>
          <w:rFonts w:hint="eastAsia" w:ascii="Times New Roman" w:hAnsi="Times New Roman" w:eastAsia="仿宋_GB2312" w:cstheme="minorBidi"/>
          <w:snapToGrid/>
          <w:spacing w:val="0"/>
          <w:kern w:val="2"/>
          <w:sz w:val="32"/>
          <w:szCs w:val="32"/>
          <w:lang w:val="en-US" w:eastAsia="zh-CN" w:bidi="ar-SA"/>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楷体" w:hAnsi="楷体" w:eastAsia="楷体" w:cs="楷体"/>
          <w:b w:val="0"/>
          <w:bCs w:val="0"/>
          <w:spacing w:val="0"/>
          <w:sz w:val="32"/>
          <w:szCs w:val="32"/>
        </w:rPr>
      </w:pPr>
      <w:r>
        <w:rPr>
          <w:rFonts w:hint="eastAsia" w:ascii="楷体" w:hAnsi="楷体" w:eastAsia="楷体" w:cs="楷体"/>
          <w:b w:val="0"/>
          <w:bCs w:val="0"/>
          <w:spacing w:val="0"/>
          <w:sz w:val="32"/>
          <w:szCs w:val="32"/>
        </w:rPr>
        <w:t>2.部门产出数量</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（1）城乡低保补贴工作完成率：</w:t>
      </w:r>
      <w:r>
        <w:rPr>
          <w:rFonts w:ascii="Times New Roman" w:hAnsi="Times New Roman" w:eastAsia="仿宋_GB2312" w:cstheme="minorBidi"/>
          <w:snapToGrid/>
          <w:spacing w:val="0"/>
          <w:kern w:val="2"/>
          <w:sz w:val="32"/>
          <w:szCs w:val="32"/>
          <w:lang w:val="en-US" w:eastAsia="zh-CN" w:bidi="ar-SA"/>
        </w:rPr>
        <w:t>分值6分，得分6分，得分率100%。根据区民政局提供年度工作总结、工作资料、相关文件等分析，部门单位全年应完成城市低保预期达到770元/人/月的补助发放标准；农村低保预期达到618元/人/月的补助发放标准；城乡人员预期达到1100元/人/月的补助发放标准；散居孤儿预期达到1300元/人/月的补助发放任务。经核实，区民政局截</w:t>
      </w:r>
      <w:r>
        <w:rPr>
          <w:rFonts w:hint="eastAsia" w:ascii="Times New Roman" w:hAnsi="Times New Roman" w:eastAsia="仿宋_GB2312" w:cstheme="minorBidi"/>
          <w:snapToGrid/>
          <w:spacing w:val="0"/>
          <w:kern w:val="2"/>
          <w:sz w:val="32"/>
          <w:szCs w:val="32"/>
          <w:lang w:val="en-US" w:eastAsia="zh-CN" w:bidi="ar-SA"/>
        </w:rPr>
        <w:t>至</w:t>
      </w:r>
      <w:r>
        <w:rPr>
          <w:rFonts w:ascii="Times New Roman" w:hAnsi="Times New Roman" w:eastAsia="仿宋_GB2312" w:cstheme="minorBidi"/>
          <w:snapToGrid/>
          <w:spacing w:val="0"/>
          <w:kern w:val="2"/>
          <w:sz w:val="32"/>
          <w:szCs w:val="32"/>
          <w:lang w:val="en-US" w:eastAsia="zh-CN" w:bidi="ar-SA"/>
        </w:rPr>
        <w:t>2025年底，完成城乡低保发放标准为770元/人/月，已达成预期目标；城乡人员补助发放标准为1100元/人/月，已达成预期目标；散居孤儿补助发放标准为1300元/人/月，达成预期目标；综上所述，三项补助工作均</w:t>
      </w:r>
      <w:r>
        <w:rPr>
          <w:rFonts w:hint="eastAsia" w:ascii="Times New Roman" w:hAnsi="Times New Roman" w:eastAsia="仿宋_GB2312" w:cstheme="minorBidi"/>
          <w:snapToGrid/>
          <w:spacing w:val="0"/>
          <w:kern w:val="2"/>
          <w:sz w:val="32"/>
          <w:szCs w:val="32"/>
          <w:lang w:val="en-US" w:eastAsia="zh-CN" w:bidi="ar-SA"/>
        </w:rPr>
        <w:t>已</w:t>
      </w:r>
      <w:r>
        <w:rPr>
          <w:rFonts w:ascii="Times New Roman" w:hAnsi="Times New Roman" w:eastAsia="仿宋_GB2312" w:cstheme="minorBidi"/>
          <w:snapToGrid/>
          <w:spacing w:val="0"/>
          <w:kern w:val="2"/>
          <w:sz w:val="32"/>
          <w:szCs w:val="32"/>
          <w:lang w:val="en-US" w:eastAsia="zh-CN" w:bidi="ar-SA"/>
        </w:rPr>
        <w:t>达成预期目标，依据评价标准，该指标得6分。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（2）残疾人两项补贴工作完成率：</w:t>
      </w:r>
      <w:r>
        <w:rPr>
          <w:rFonts w:ascii="Times New Roman" w:hAnsi="Times New Roman" w:eastAsia="仿宋_GB2312" w:cstheme="minorBidi"/>
          <w:snapToGrid/>
          <w:spacing w:val="0"/>
          <w:kern w:val="2"/>
          <w:sz w:val="32"/>
          <w:szCs w:val="32"/>
          <w:lang w:val="en-US" w:eastAsia="zh-CN" w:bidi="ar-SA"/>
        </w:rPr>
        <w:t>分值3分，得分1.5分，得分率50%。根据区民政局提供年度工作总结、工作资料、相关文件等分析，区民政局应完成残疾人预期达到120元/人/月的补助发放标准；重度残疾人护理预期达到120元/人/月的补助发放标准。经核实，截</w:t>
      </w:r>
      <w:r>
        <w:rPr>
          <w:rFonts w:hint="eastAsia" w:ascii="Times New Roman" w:hAnsi="Times New Roman" w:eastAsia="仿宋_GB2312" w:cstheme="minorBidi"/>
          <w:snapToGrid/>
          <w:spacing w:val="0"/>
          <w:kern w:val="2"/>
          <w:sz w:val="32"/>
          <w:szCs w:val="32"/>
          <w:lang w:val="en-US" w:eastAsia="zh-CN" w:bidi="ar-SA"/>
        </w:rPr>
        <w:t>至</w:t>
      </w:r>
      <w:r>
        <w:rPr>
          <w:rFonts w:ascii="Times New Roman" w:hAnsi="Times New Roman" w:eastAsia="仿宋_GB2312" w:cstheme="minorBidi"/>
          <w:snapToGrid/>
          <w:spacing w:val="0"/>
          <w:kern w:val="2"/>
          <w:sz w:val="32"/>
          <w:szCs w:val="32"/>
          <w:lang w:val="en-US" w:eastAsia="zh-CN" w:bidi="ar-SA"/>
        </w:rPr>
        <w:t>2025年底，区民政局完成残疾人生活补助发放标准为120元/人/月，达成预期目标；重度残疾人生活补助发放标准为120元/人/月，达成预期指标，但根据部门单位提供的残疾人生活补助发放人数清单可知，该项补贴人数未达年度预期目标。综上所述，残疾人生活补助工作未达成年度目标，依据评价标准，该指标扣1.5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（3）老年人补贴工作完成率：</w:t>
      </w:r>
      <w:r>
        <w:rPr>
          <w:rFonts w:ascii="Times New Roman" w:hAnsi="Times New Roman" w:eastAsia="仿宋_GB2312" w:cstheme="minorBidi"/>
          <w:snapToGrid/>
          <w:spacing w:val="0"/>
          <w:kern w:val="2"/>
          <w:sz w:val="32"/>
          <w:szCs w:val="32"/>
          <w:lang w:val="en-US" w:eastAsia="zh-CN" w:bidi="ar-SA"/>
        </w:rPr>
        <w:t>分值5分，得分5分，得分率100%。根据区民政局提供年度工作总结、工作资料、相关文件等分析，区民政局全年应完成75-79周岁老年人预期达到100元/人/月的补助发放标准；80-89周岁老年人预期达到225元/人/月的补助发放标准；90-99周岁老年人预期达到330元/人/月的补助发放标准；100岁以上老年人预期达到580元/人/月的补助发放标准；80岁以上老年人预期达到132元/人的补助发放标准。经核实，截</w:t>
      </w:r>
      <w:r>
        <w:rPr>
          <w:rFonts w:hint="eastAsia" w:ascii="Times New Roman" w:hAnsi="Times New Roman" w:eastAsia="仿宋_GB2312" w:cstheme="minorBidi"/>
          <w:snapToGrid/>
          <w:spacing w:val="0"/>
          <w:kern w:val="2"/>
          <w:sz w:val="32"/>
          <w:szCs w:val="32"/>
          <w:lang w:val="en-US" w:eastAsia="zh-CN" w:bidi="ar-SA"/>
        </w:rPr>
        <w:t>至</w:t>
      </w:r>
      <w:r>
        <w:rPr>
          <w:rFonts w:ascii="Times New Roman" w:hAnsi="Times New Roman" w:eastAsia="仿宋_GB2312" w:cstheme="minorBidi"/>
          <w:snapToGrid/>
          <w:spacing w:val="0"/>
          <w:kern w:val="2"/>
          <w:sz w:val="32"/>
          <w:szCs w:val="32"/>
          <w:lang w:val="en-US" w:eastAsia="zh-CN" w:bidi="ar-SA"/>
        </w:rPr>
        <w:t>2025年底，区民政局已完成75-79周岁老年人生活补助发放标准为100元/人/月，达成预期目标；区民政局已完成80-89周岁老年人生活补助发放标准为225元/人/月，达成预期目标；区民政局已完成90-99周岁老年人生活补助发放标准为330元/人/月，达成预期目标；区民政局已完成100岁以上老年人生活补助发放标准为580元/人/月，达成预期目标；区民政局已完成80岁以上老年人体检补贴发放标准为132元/人/月，达成预期目标；综上所述，五项补助工作均</w:t>
      </w:r>
      <w:r>
        <w:rPr>
          <w:rFonts w:hint="eastAsia" w:ascii="Times New Roman" w:hAnsi="Times New Roman" w:eastAsia="仿宋_GB2312" w:cstheme="minorBidi"/>
          <w:snapToGrid/>
          <w:spacing w:val="0"/>
          <w:kern w:val="2"/>
          <w:sz w:val="32"/>
          <w:szCs w:val="32"/>
          <w:lang w:val="en-US" w:eastAsia="zh-CN" w:bidi="ar-SA"/>
        </w:rPr>
        <w:t>已</w:t>
      </w:r>
      <w:r>
        <w:rPr>
          <w:rFonts w:ascii="Times New Roman" w:hAnsi="Times New Roman" w:eastAsia="仿宋_GB2312" w:cstheme="minorBidi"/>
          <w:snapToGrid/>
          <w:spacing w:val="0"/>
          <w:kern w:val="2"/>
          <w:sz w:val="32"/>
          <w:szCs w:val="32"/>
          <w:lang w:val="en-US" w:eastAsia="zh-CN" w:bidi="ar-SA"/>
        </w:rPr>
        <w:t>达成预期目标，全部达成预期目标依据评价标准，该指标得5分。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（4）失地搬迁补贴工作完成率：</w:t>
      </w:r>
      <w:r>
        <w:rPr>
          <w:rFonts w:ascii="Times New Roman" w:hAnsi="Times New Roman" w:eastAsia="仿宋_GB2312" w:cstheme="minorBidi"/>
          <w:snapToGrid/>
          <w:spacing w:val="0"/>
          <w:kern w:val="2"/>
          <w:sz w:val="32"/>
          <w:szCs w:val="32"/>
          <w:lang w:val="en-US" w:eastAsia="zh-CN" w:bidi="ar-SA"/>
        </w:rPr>
        <w:t>分值6分，得分3分，得分率50%。根据区民政局提供年度工作计划、工作资料、</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sectPr>
          <w:footerReference r:id="rId7" w:type="default"/>
          <w:pgSz w:w="11906" w:h="16839"/>
          <w:pgMar w:top="2098" w:right="1587" w:bottom="1984" w:left="1587" w:header="0" w:footer="1289" w:gutter="0"/>
          <w:pgNumType w:fmt="decimal"/>
          <w:cols w:space="0" w:num="1"/>
          <w:rtlGutter w:val="0"/>
          <w:docGrid w:linePitch="0" w:charSpace="0"/>
        </w:sect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相关文件等分析，区民政局全年应完成失地农牧民生活补助预期达到321元/人/月的补助标准；区民政局应完成搬迁农民人数预期达到300元/人/月的补助标准；区民政局应完成搬迁人员男超过50岁，女超过45岁人员预期达到500元/人/月的补助发放标准。经核实，截</w:t>
      </w:r>
      <w:r>
        <w:rPr>
          <w:rFonts w:hint="eastAsia" w:ascii="Times New Roman" w:hAnsi="Times New Roman" w:eastAsia="仿宋_GB2312" w:cstheme="minorBidi"/>
          <w:snapToGrid/>
          <w:spacing w:val="0"/>
          <w:kern w:val="2"/>
          <w:sz w:val="32"/>
          <w:szCs w:val="32"/>
          <w:lang w:val="en-US" w:eastAsia="zh-CN" w:bidi="ar-SA"/>
        </w:rPr>
        <w:t>至</w:t>
      </w:r>
      <w:r>
        <w:rPr>
          <w:rFonts w:ascii="Times New Roman" w:hAnsi="Times New Roman" w:eastAsia="仿宋_GB2312" w:cstheme="minorBidi"/>
          <w:snapToGrid/>
          <w:spacing w:val="0"/>
          <w:kern w:val="2"/>
          <w:sz w:val="32"/>
          <w:szCs w:val="32"/>
          <w:lang w:val="en-US" w:eastAsia="zh-CN" w:bidi="ar-SA"/>
        </w:rPr>
        <w:t>2025年底，区民政局已完成失地农牧民生活补助发放标准为321元/人/月，达成预期目标；区民政局已完成搬迁农民人数补助发放标准为330元/人/月，达成预期目标；区民政局已完成搬迁人员男超过50岁，女超过45岁人员补助发放标准为500元/人/月，达成预期目标；但根据区民政局提供的项目指标印证资料可知，三项补助发放人数，均未达到年初预期目标，导致指标人数存在未完成情况；综上所述，三项补助工作均未达到年度目标，指标均未完成，依据评价标准，该指标扣3分</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楷体" w:hAnsi="楷体" w:eastAsia="楷体" w:cs="楷体"/>
          <w:b w:val="0"/>
          <w:bCs w:val="0"/>
          <w:spacing w:val="0"/>
          <w:sz w:val="32"/>
          <w:szCs w:val="32"/>
          <w:highlight w:val="none"/>
        </w:rPr>
      </w:pPr>
      <w:r>
        <w:rPr>
          <w:rFonts w:hint="eastAsia" w:ascii="楷体" w:hAnsi="楷体" w:eastAsia="楷体" w:cs="楷体"/>
          <w:b w:val="0"/>
          <w:bCs w:val="0"/>
          <w:spacing w:val="0"/>
          <w:sz w:val="32"/>
          <w:szCs w:val="32"/>
          <w:highlight w:val="none"/>
        </w:rPr>
        <w:t>3.部门产出质量</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楷体" w:hAnsi="楷体" w:eastAsia="楷体" w:cs="楷体"/>
          <w:b/>
          <w:bCs/>
          <w:spacing w:val="0"/>
          <w:sz w:val="31"/>
          <w:szCs w:val="31"/>
        </w:rPr>
      </w:pPr>
      <w:r>
        <w:rPr>
          <w:rFonts w:ascii="Times New Roman" w:hAnsi="Times New Roman" w:eastAsia="仿宋_GB2312" w:cstheme="minorBidi"/>
          <w:b/>
          <w:bCs/>
          <w:snapToGrid/>
          <w:spacing w:val="0"/>
          <w:kern w:val="2"/>
          <w:sz w:val="32"/>
          <w:szCs w:val="32"/>
          <w:lang w:val="en-US" w:eastAsia="zh-CN" w:bidi="ar-SA"/>
        </w:rPr>
        <w:t>（1）各类补贴发放覆盖率：</w:t>
      </w:r>
      <w:r>
        <w:rPr>
          <w:rFonts w:ascii="Times New Roman" w:hAnsi="Times New Roman" w:eastAsia="仿宋_GB2312" w:cstheme="minorBidi"/>
          <w:snapToGrid/>
          <w:spacing w:val="0"/>
          <w:kern w:val="2"/>
          <w:sz w:val="32"/>
          <w:szCs w:val="32"/>
          <w:lang w:val="en-US" w:eastAsia="zh-CN" w:bidi="ar-SA"/>
        </w:rPr>
        <w:t>分值6分，得分6分，得分率100%。经核实，区民政局2025年度申请各类补贴的乡镇街道工24个，其中包含5个街道办、7个镇、12个乡。区民政局作为主管部门，负责牵头组织，根据随机抽查的原则进行城乡低保补助发放、残疾人两项补助发放、老年人补助发放、失地搬迁补助发放等抽查工作，同时在财政部门一卡通系统里，抽查各类补贴发放情况。根据抽查记录显示共计抽查乡镇街道24个，抽查覆盖率100%。依据评价标准，该指标得6分</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楷体" w:hAnsi="楷体" w:eastAsia="楷体" w:cs="楷体"/>
          <w:b w:val="0"/>
          <w:bCs w:val="0"/>
          <w:spacing w:val="0"/>
          <w:sz w:val="32"/>
          <w:szCs w:val="32"/>
        </w:rPr>
      </w:pPr>
      <w:r>
        <w:rPr>
          <w:rFonts w:hint="eastAsia" w:ascii="楷体" w:hAnsi="楷体" w:eastAsia="楷体" w:cs="楷体"/>
          <w:b w:val="0"/>
          <w:bCs w:val="0"/>
          <w:spacing w:val="0"/>
          <w:sz w:val="32"/>
          <w:szCs w:val="32"/>
        </w:rPr>
        <w:t>4.部门产出时效</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b/>
          <w:bCs/>
          <w:snapToGrid/>
          <w:spacing w:val="0"/>
          <w:kern w:val="2"/>
          <w:sz w:val="32"/>
          <w:szCs w:val="32"/>
          <w:lang w:val="en-US" w:eastAsia="zh-CN" w:bidi="ar-SA"/>
        </w:rPr>
        <w:t>（1）各项工作任务完成及时率：</w:t>
      </w:r>
      <w:r>
        <w:rPr>
          <w:rFonts w:ascii="Times New Roman" w:hAnsi="Times New Roman" w:eastAsia="仿宋_GB2312" w:cstheme="minorBidi"/>
          <w:snapToGrid/>
          <w:spacing w:val="0"/>
          <w:kern w:val="2"/>
          <w:sz w:val="32"/>
          <w:szCs w:val="32"/>
          <w:lang w:val="en-US" w:eastAsia="zh-CN" w:bidi="ar-SA"/>
        </w:rPr>
        <w:t>分值7分，得分7分，得分率100%。根据区民政局提供的工作计划、工作总结、工作记录等相关文件，经核查，区民政局各项工作任务在年度内积极开展并与年底前全部完成，工作任务完成及时率100%，依据评价标准，该指标得7分</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楷体" w:hAnsi="楷体" w:eastAsia="楷体" w:cs="楷体"/>
          <w:b w:val="0"/>
          <w:bCs w:val="0"/>
          <w:spacing w:val="0"/>
          <w:sz w:val="32"/>
          <w:szCs w:val="32"/>
        </w:rPr>
      </w:pPr>
      <w:r>
        <w:rPr>
          <w:rFonts w:hint="eastAsia" w:ascii="楷体" w:hAnsi="楷体" w:eastAsia="楷体" w:cs="楷体"/>
          <w:b w:val="0"/>
          <w:bCs w:val="0"/>
          <w:spacing w:val="0"/>
          <w:sz w:val="32"/>
          <w:szCs w:val="32"/>
        </w:rPr>
        <w:t>5.部门履职社会效益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（1）提升殡葬领域改革工作：</w:t>
      </w:r>
      <w:r>
        <w:rPr>
          <w:rFonts w:ascii="Times New Roman" w:hAnsi="Times New Roman" w:eastAsia="仿宋_GB2312" w:cstheme="minorBidi"/>
          <w:snapToGrid/>
          <w:spacing w:val="0"/>
          <w:kern w:val="2"/>
          <w:sz w:val="32"/>
          <w:szCs w:val="32"/>
          <w:lang w:val="en-US" w:eastAsia="zh-CN" w:bidi="ar-SA"/>
        </w:rPr>
        <w:t>分值4分，得分2分，得分率50%。根据区民政局提供的工作计划和项目资料，区民政局2025年，通过开展“伊州区殡葬领域墓地基础设施规范化建设项目”，针对殡葬墓地周围，做绿化修缮工作，通过项目资料可知，修建G30南侧墓地修建围栏5480米，并做殡仪馆绿化服务1次，通过项目完成，有效提升城市风貌，推动殡葬领域健康有序发展。但部门单位未提供有关殡葬改革相关工作文件、会议纪要或落实措施，同时针对整治殡葬领域腐败乱象专项行动方面的工作未提供相关整改措施和落实内容，无法印证2025年殡葬文化建设工作是否得到有效改革，故该部分内容无法印证是否达到预期目标。依据评价标准，该指标扣2分。</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b/>
          <w:bCs/>
          <w:snapToGrid/>
          <w:spacing w:val="0"/>
          <w:kern w:val="2"/>
          <w:sz w:val="32"/>
          <w:szCs w:val="32"/>
          <w:lang w:val="en-US" w:eastAsia="zh-CN" w:bidi="ar-SA"/>
        </w:rPr>
        <w:t>（2）扎实做好社会事务管理工作：</w:t>
      </w:r>
      <w:r>
        <w:rPr>
          <w:rFonts w:ascii="Times New Roman" w:hAnsi="Times New Roman" w:eastAsia="仿宋_GB2312" w:cstheme="minorBidi"/>
          <w:snapToGrid/>
          <w:spacing w:val="0"/>
          <w:kern w:val="2"/>
          <w:sz w:val="32"/>
          <w:szCs w:val="32"/>
          <w:lang w:val="en-US" w:eastAsia="zh-CN" w:bidi="ar-SA"/>
        </w:rPr>
        <w:t>分值3分，得分3分，得分率100%。根据区民政局提供的工作总结、项目资料及访现场访谈可知，区民政局2025年严格要求政务服务大厅做好婚姻咨询、登记等服务工作，2025年哈密市全年婚姻登记3039对，离婚登记1014对，有效推进婚姻服务工作。部门单位2025年，区民政局通过开展“政府购买靖康融合行动服务“项目，通过项目资料可知，区民政局在市区里设立了精神障碍社区康复服务示范点2个，开展上门服务或宣传引导、入户走访辖区居家患者数量300人，有效保障了精神障碍社区康复服务融合，促进精神障碍患者更好融入社会。综上所述，区民政局在做好社会事务管理工作方面，取得了部分成效。依据评价标准，该指标得3分</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hint="eastAsia" w:ascii="楷体" w:hAnsi="楷体" w:eastAsia="楷体" w:cs="楷体"/>
          <w:b w:val="0"/>
          <w:bCs w:val="0"/>
          <w:spacing w:val="0"/>
          <w:sz w:val="32"/>
          <w:szCs w:val="32"/>
        </w:rPr>
      </w:pPr>
      <w:r>
        <w:rPr>
          <w:rFonts w:hint="eastAsia" w:ascii="楷体" w:hAnsi="楷体" w:eastAsia="楷体" w:cs="楷体"/>
          <w:b w:val="0"/>
          <w:bCs w:val="0"/>
          <w:spacing w:val="0"/>
          <w:sz w:val="32"/>
          <w:szCs w:val="32"/>
        </w:rPr>
        <w:t>6.满意度情况</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b/>
          <w:bCs/>
          <w:snapToGrid/>
          <w:spacing w:val="0"/>
          <w:kern w:val="2"/>
          <w:sz w:val="32"/>
          <w:szCs w:val="32"/>
          <w:lang w:val="en-US" w:eastAsia="zh-CN" w:bidi="ar-SA"/>
        </w:rPr>
        <w:t>（1）补助对象对部门履职工作满意度：</w:t>
      </w:r>
      <w:r>
        <w:rPr>
          <w:rFonts w:ascii="Times New Roman" w:hAnsi="Times New Roman" w:eastAsia="仿宋_GB2312" w:cstheme="minorBidi"/>
          <w:snapToGrid/>
          <w:spacing w:val="0"/>
          <w:kern w:val="2"/>
          <w:sz w:val="32"/>
          <w:szCs w:val="32"/>
          <w:lang w:val="en-US" w:eastAsia="zh-CN" w:bidi="ar-SA"/>
        </w:rPr>
        <w:t>分值5分，得分5分，得分率100%。根据区民政局主要履职工作及2025年工作内容，评价组随机对100人进行满意度调查，共计发放100份问卷，实际收回有效问卷共100份。针对城市低保补助、残疾人两项、老年人补贴、失地搬迁补贴4方面做出满意度调查，补助对象整体满意度为100%。依据评价标准，该</w:t>
      </w:r>
      <w:bookmarkStart w:id="20" w:name="bookmark18"/>
      <w:bookmarkEnd w:id="20"/>
      <w:r>
        <w:rPr>
          <w:rFonts w:ascii="Times New Roman" w:hAnsi="Times New Roman" w:eastAsia="仿宋_GB2312" w:cstheme="minorBidi"/>
          <w:snapToGrid/>
          <w:spacing w:val="0"/>
          <w:kern w:val="2"/>
          <w:sz w:val="32"/>
          <w:szCs w:val="32"/>
          <w:lang w:val="en-US" w:eastAsia="zh-CN" w:bidi="ar-SA"/>
        </w:rPr>
        <w:t>指标得5分</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ascii="黑体" w:hAnsi="黑体" w:eastAsia="黑体" w:cs="黑体"/>
          <w:spacing w:val="0"/>
          <w:sz w:val="32"/>
          <w:szCs w:val="32"/>
        </w:rPr>
      </w:pPr>
      <w:bookmarkStart w:id="21" w:name="bookmark28"/>
      <w:bookmarkEnd w:id="21"/>
      <w:r>
        <w:rPr>
          <w:rFonts w:ascii="黑体" w:hAnsi="黑体" w:eastAsia="黑体" w:cs="黑体"/>
          <w:spacing w:val="0"/>
          <w:sz w:val="32"/>
          <w:szCs w:val="32"/>
        </w:rPr>
        <w:t>四、评价结论</w:t>
      </w:r>
      <w:bookmarkStart w:id="22" w:name="bookmark20"/>
      <w:bookmarkEnd w:id="22"/>
      <w:bookmarkStart w:id="23" w:name="bookmark19"/>
      <w:bookmarkEnd w:id="23"/>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outlineLvl w:val="0"/>
        <w:rPr>
          <w:rFonts w:hint="eastAsia" w:ascii="楷体" w:hAnsi="楷体" w:eastAsia="楷体" w:cs="楷体"/>
          <w:spacing w:val="0"/>
          <w:sz w:val="32"/>
          <w:szCs w:val="32"/>
        </w:rPr>
      </w:pPr>
      <w:r>
        <w:rPr>
          <w:rFonts w:hint="eastAsia" w:ascii="楷体" w:hAnsi="楷体" w:eastAsia="楷体" w:cs="楷体"/>
          <w:b/>
          <w:bCs/>
          <w:spacing w:val="0"/>
          <w:sz w:val="32"/>
          <w:szCs w:val="32"/>
        </w:rPr>
        <w:t>（一）总体评价结论</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hint="eastAsia"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通过调研、数据分析、访谈等方式，根据绩效评价方案确定的指标体系及评分标准，对区民政局部门绩效进行客观评价，得出综合评价结论如下：区民政局整体支出绩效评价共设置三级绩效指标33个，满分指标25个，满分指标占比率75.76%。部门决策三级指标共设置6个，满分指标3个，满分指标占比率50%；部门管理三级指标共设置16个，满分指标14个，满分指标占比率87.5%；部门绩效三级指标共设置11个，满分指标8个，满分指标占比率72.73%</w:t>
      </w:r>
      <w:r>
        <w:rPr>
          <w:rFonts w:hint="eastAsia" w:ascii="Times New Roman" w:hAnsi="Times New Roman" w:eastAsia="仿宋_GB2312" w:cstheme="minorBidi"/>
          <w:snapToGrid/>
          <w:spacing w:val="0"/>
          <w:kern w:val="2"/>
          <w:sz w:val="32"/>
          <w:szCs w:val="32"/>
          <w:lang w:val="en-US" w:eastAsia="zh-CN" w:bidi="ar-SA"/>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微软雅黑" w:hAnsi="微软雅黑" w:eastAsia="微软雅黑" w:cs="微软雅黑"/>
          <w:spacing w:val="0"/>
          <w:sz w:val="31"/>
          <w:szCs w:val="31"/>
        </w:rPr>
      </w:pPr>
      <w:r>
        <w:rPr>
          <w:rFonts w:ascii="Times New Roman" w:hAnsi="Times New Roman" w:eastAsia="仿宋_GB2312" w:cstheme="minorBidi"/>
          <w:snapToGrid/>
          <w:spacing w:val="0"/>
          <w:kern w:val="2"/>
          <w:sz w:val="32"/>
          <w:szCs w:val="32"/>
          <w:lang w:val="en-US" w:eastAsia="zh-CN" w:bidi="ar-SA"/>
        </w:rPr>
        <w:t>区民政局2025年部门履职效果综合评</w:t>
      </w:r>
      <w:bookmarkStart w:id="29" w:name="_GoBack"/>
      <w:bookmarkEnd w:id="29"/>
      <w:r>
        <w:rPr>
          <w:rFonts w:ascii="Times New Roman" w:hAnsi="Times New Roman" w:eastAsia="仿宋_GB2312" w:cstheme="minorBidi"/>
          <w:snapToGrid/>
          <w:spacing w:val="0"/>
          <w:kern w:val="2"/>
          <w:sz w:val="32"/>
          <w:szCs w:val="32"/>
          <w:lang w:val="en-US" w:eastAsia="zh-CN" w:bidi="ar-SA"/>
        </w:rPr>
        <w:t>价良好，大部分指标实现了预期目标，但是在中长期规划制定、绩效目标制定、部门预算资金管理、部门履职社会效益、残疾人两项补贴和失地搬迁补贴等工作方面还存在不足</w:t>
      </w:r>
      <w:r>
        <w:rPr>
          <w:rFonts w:hint="eastAsia" w:ascii="Times New Roman" w:hAnsi="Times New Roman" w:eastAsia="仿宋_GB2312" w:cstheme="minorBidi"/>
          <w:snapToGrid/>
          <w:spacing w:val="0"/>
          <w:kern w:val="2"/>
          <w:sz w:val="32"/>
          <w:szCs w:val="32"/>
          <w:lang w:val="en-US" w:eastAsia="zh-CN" w:bidi="ar-SA"/>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outlineLvl w:val="0"/>
        <w:rPr>
          <w:rFonts w:hint="eastAsia" w:ascii="楷体" w:hAnsi="楷体" w:eastAsia="楷体" w:cs="楷体"/>
          <w:spacing w:val="0"/>
          <w:sz w:val="32"/>
          <w:szCs w:val="32"/>
        </w:rPr>
      </w:pPr>
      <w:bookmarkStart w:id="24" w:name="bookmark29"/>
      <w:bookmarkEnd w:id="24"/>
      <w:r>
        <w:rPr>
          <w:rFonts w:hint="eastAsia" w:ascii="楷体" w:hAnsi="楷体" w:eastAsia="楷体" w:cs="楷体"/>
          <w:b/>
          <w:bCs/>
          <w:spacing w:val="0"/>
          <w:sz w:val="32"/>
          <w:szCs w:val="32"/>
        </w:rPr>
        <w:t>（二）评分结果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z w:val="31"/>
          <w:szCs w:val="31"/>
        </w:rPr>
      </w:pPr>
      <w:r>
        <w:rPr>
          <w:rFonts w:ascii="Times New Roman" w:hAnsi="Times New Roman" w:eastAsia="仿宋_GB2312" w:cstheme="minorBidi"/>
          <w:snapToGrid/>
          <w:spacing w:val="0"/>
          <w:kern w:val="2"/>
          <w:sz w:val="32"/>
          <w:szCs w:val="32"/>
          <w:lang w:val="en-US" w:eastAsia="zh-CN" w:bidi="ar-SA"/>
        </w:rPr>
        <w:t>根据部门整体评价指标体系及评分标准，通过数据采集、问卷调查及访谈等方法，对2025年区民政局整体支出绩效进行客观评价，最终评分结果：总得分为89.1分，绩效评级为“良”。各部分得分情况详见表4-1。指标评分具体情况详见附件1</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jc w:val="center"/>
        <w:textAlignment w:val="baseline"/>
        <w:rPr>
          <w:rFonts w:hint="eastAsia" w:ascii="黑体" w:hAnsi="黑体" w:eastAsia="黑体" w:cs="黑体"/>
          <w:b/>
          <w:bCs/>
          <w:spacing w:val="-1"/>
          <w:sz w:val="24"/>
          <w:szCs w:val="24"/>
        </w:rPr>
      </w:pPr>
      <w:r>
        <w:rPr>
          <w:rFonts w:hint="eastAsia" w:ascii="黑体" w:hAnsi="黑体" w:eastAsia="黑体" w:cs="黑体"/>
          <w:b w:val="0"/>
          <w:bCs w:val="0"/>
          <w:i w:val="0"/>
          <w:iCs w:val="0"/>
          <w:spacing w:val="-1"/>
          <w:sz w:val="32"/>
          <w:szCs w:val="32"/>
        </w:rPr>
        <w:t>表4-1部门绩效评价得分情况表</w:t>
      </w:r>
    </w:p>
    <w:p>
      <w:pPr>
        <w:spacing w:before="31" w:line="184" w:lineRule="auto"/>
        <w:ind w:left="2479"/>
        <w:rPr>
          <w:rFonts w:hint="eastAsia" w:ascii="黑体" w:hAnsi="黑体" w:eastAsia="黑体" w:cs="黑体"/>
          <w:b/>
          <w:bCs/>
          <w:spacing w:val="-1"/>
          <w:sz w:val="24"/>
          <w:szCs w:val="24"/>
        </w:rPr>
      </w:pPr>
    </w:p>
    <w:tbl>
      <w:tblPr>
        <w:tblStyle w:val="7"/>
        <w:tblW w:w="8296" w:type="dxa"/>
        <w:tblInd w:w="19"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505"/>
        <w:gridCol w:w="1136"/>
        <w:gridCol w:w="1136"/>
        <w:gridCol w:w="151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66" w:hRule="atLeast"/>
        </w:trPr>
        <w:tc>
          <w:tcPr>
            <w:tcW w:w="4505" w:type="dxa"/>
            <w:vAlign w:val="top"/>
          </w:tcPr>
          <w:p>
            <w:pPr>
              <w:pStyle w:val="8"/>
              <w:spacing w:before="128" w:line="228" w:lineRule="auto"/>
              <w:ind w:left="1835"/>
            </w:pPr>
            <w:r>
              <w:rPr>
                <w:b/>
                <w:bCs/>
                <w:spacing w:val="5"/>
              </w:rPr>
              <w:t>一级指标</w:t>
            </w:r>
          </w:p>
        </w:tc>
        <w:tc>
          <w:tcPr>
            <w:tcW w:w="1136" w:type="dxa"/>
            <w:vAlign w:val="top"/>
          </w:tcPr>
          <w:p>
            <w:pPr>
              <w:pStyle w:val="8"/>
              <w:spacing w:before="127" w:line="228" w:lineRule="auto"/>
              <w:ind w:left="359"/>
            </w:pPr>
            <w:r>
              <w:rPr>
                <w:b/>
                <w:bCs/>
                <w:spacing w:val="4"/>
              </w:rPr>
              <w:t>权重</w:t>
            </w:r>
          </w:p>
        </w:tc>
        <w:tc>
          <w:tcPr>
            <w:tcW w:w="1136" w:type="dxa"/>
            <w:vAlign w:val="top"/>
          </w:tcPr>
          <w:p>
            <w:pPr>
              <w:pStyle w:val="8"/>
              <w:spacing w:before="127" w:line="228" w:lineRule="auto"/>
              <w:ind w:left="362"/>
            </w:pPr>
            <w:r>
              <w:rPr>
                <w:b/>
                <w:bCs/>
                <w:spacing w:val="3"/>
              </w:rPr>
              <w:t>得分</w:t>
            </w:r>
          </w:p>
        </w:tc>
        <w:tc>
          <w:tcPr>
            <w:tcW w:w="1519" w:type="dxa"/>
            <w:vAlign w:val="top"/>
          </w:tcPr>
          <w:p>
            <w:pPr>
              <w:pStyle w:val="8"/>
              <w:spacing w:before="127" w:line="228" w:lineRule="auto"/>
              <w:ind w:left="445"/>
            </w:pPr>
            <w:r>
              <w:rPr>
                <w:b/>
                <w:bCs/>
                <w:spacing w:val="5"/>
              </w:rPr>
              <w:t>得分率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0" w:hRule="atLeast"/>
        </w:trPr>
        <w:tc>
          <w:tcPr>
            <w:tcW w:w="4505" w:type="dxa"/>
            <w:vAlign w:val="top"/>
          </w:tcPr>
          <w:p>
            <w:pPr>
              <w:pStyle w:val="8"/>
              <w:spacing w:before="126" w:line="228" w:lineRule="auto"/>
              <w:ind w:left="1836"/>
            </w:pPr>
            <w:r>
              <w:rPr>
                <w:spacing w:val="6"/>
              </w:rPr>
              <w:t>部门决策</w:t>
            </w:r>
          </w:p>
        </w:tc>
        <w:tc>
          <w:tcPr>
            <w:tcW w:w="1136" w:type="dxa"/>
            <w:vAlign w:val="top"/>
          </w:tcPr>
          <w:p>
            <w:pPr>
              <w:spacing w:before="162" w:line="195" w:lineRule="auto"/>
              <w:ind w:left="482"/>
              <w:rPr>
                <w:rFonts w:ascii="Times New Roman" w:hAnsi="Times New Roman" w:eastAsia="Times New Roman" w:cs="Times New Roman"/>
                <w:sz w:val="20"/>
                <w:szCs w:val="20"/>
              </w:rPr>
            </w:pPr>
            <w:r>
              <w:rPr>
                <w:rFonts w:ascii="Times New Roman" w:hAnsi="Times New Roman" w:eastAsia="Times New Roman" w:cs="Times New Roman"/>
                <w:spacing w:val="-8"/>
                <w:sz w:val="20"/>
                <w:szCs w:val="20"/>
              </w:rPr>
              <w:t>15</w:t>
            </w:r>
          </w:p>
        </w:tc>
        <w:tc>
          <w:tcPr>
            <w:tcW w:w="1136" w:type="dxa"/>
            <w:vAlign w:val="top"/>
          </w:tcPr>
          <w:p>
            <w:pPr>
              <w:spacing w:before="162" w:line="195" w:lineRule="auto"/>
              <w:ind w:left="409"/>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11.5</w:t>
            </w:r>
          </w:p>
        </w:tc>
        <w:tc>
          <w:tcPr>
            <w:tcW w:w="1519" w:type="dxa"/>
            <w:vAlign w:val="top"/>
          </w:tcPr>
          <w:p>
            <w:pPr>
              <w:spacing w:before="162" w:line="195" w:lineRule="auto"/>
              <w:ind w:left="437"/>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76.67%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0" w:hRule="atLeast"/>
        </w:trPr>
        <w:tc>
          <w:tcPr>
            <w:tcW w:w="4505" w:type="dxa"/>
            <w:vAlign w:val="top"/>
          </w:tcPr>
          <w:p>
            <w:pPr>
              <w:pStyle w:val="8"/>
              <w:spacing w:before="128" w:line="228" w:lineRule="auto"/>
              <w:ind w:left="1836"/>
            </w:pPr>
            <w:r>
              <w:rPr>
                <w:spacing w:val="6"/>
              </w:rPr>
              <w:t>部门管理</w:t>
            </w:r>
          </w:p>
        </w:tc>
        <w:tc>
          <w:tcPr>
            <w:tcW w:w="1136" w:type="dxa"/>
            <w:vAlign w:val="top"/>
          </w:tcPr>
          <w:p>
            <w:pPr>
              <w:spacing w:before="165" w:line="195" w:lineRule="auto"/>
              <w:ind w:left="466"/>
              <w:rPr>
                <w:rFonts w:ascii="Times New Roman" w:hAnsi="Times New Roman" w:eastAsia="Times New Roman" w:cs="Times New Roman"/>
                <w:sz w:val="20"/>
                <w:szCs w:val="20"/>
              </w:rPr>
            </w:pPr>
            <w:r>
              <w:rPr>
                <w:rFonts w:ascii="Times New Roman" w:hAnsi="Times New Roman" w:eastAsia="Times New Roman" w:cs="Times New Roman"/>
                <w:sz w:val="20"/>
                <w:szCs w:val="20"/>
              </w:rPr>
              <w:t>35</w:t>
            </w:r>
          </w:p>
        </w:tc>
        <w:tc>
          <w:tcPr>
            <w:tcW w:w="1136" w:type="dxa"/>
            <w:vAlign w:val="top"/>
          </w:tcPr>
          <w:p>
            <w:pPr>
              <w:spacing w:before="165" w:line="195" w:lineRule="auto"/>
              <w:ind w:left="388"/>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34.1</w:t>
            </w:r>
          </w:p>
        </w:tc>
        <w:tc>
          <w:tcPr>
            <w:tcW w:w="1519" w:type="dxa"/>
            <w:vAlign w:val="top"/>
          </w:tcPr>
          <w:p>
            <w:pPr>
              <w:spacing w:before="165" w:line="195" w:lineRule="auto"/>
              <w:ind w:left="438"/>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97.43%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0" w:hRule="atLeast"/>
        </w:trPr>
        <w:tc>
          <w:tcPr>
            <w:tcW w:w="4505" w:type="dxa"/>
            <w:vAlign w:val="top"/>
          </w:tcPr>
          <w:p>
            <w:pPr>
              <w:pStyle w:val="8"/>
              <w:spacing w:before="133" w:line="228" w:lineRule="auto"/>
              <w:ind w:left="1836"/>
            </w:pPr>
            <w:r>
              <w:rPr>
                <w:spacing w:val="6"/>
              </w:rPr>
              <w:t>部门绩效</w:t>
            </w:r>
          </w:p>
        </w:tc>
        <w:tc>
          <w:tcPr>
            <w:tcW w:w="1136" w:type="dxa"/>
            <w:vAlign w:val="top"/>
          </w:tcPr>
          <w:p>
            <w:pPr>
              <w:spacing w:before="169" w:line="195" w:lineRule="auto"/>
              <w:ind w:left="467"/>
              <w:rPr>
                <w:rFonts w:ascii="Times New Roman" w:hAnsi="Times New Roman" w:eastAsia="Times New Roman" w:cs="Times New Roman"/>
                <w:sz w:val="20"/>
                <w:szCs w:val="20"/>
              </w:rPr>
            </w:pPr>
            <w:r>
              <w:rPr>
                <w:rFonts w:ascii="Times New Roman" w:hAnsi="Times New Roman" w:eastAsia="Times New Roman" w:cs="Times New Roman"/>
                <w:sz w:val="20"/>
                <w:szCs w:val="20"/>
              </w:rPr>
              <w:t>50</w:t>
            </w:r>
          </w:p>
        </w:tc>
        <w:tc>
          <w:tcPr>
            <w:tcW w:w="1136" w:type="dxa"/>
            <w:vAlign w:val="top"/>
          </w:tcPr>
          <w:p>
            <w:pPr>
              <w:spacing w:before="169" w:line="195" w:lineRule="auto"/>
              <w:ind w:left="383"/>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43.5</w:t>
            </w:r>
          </w:p>
        </w:tc>
        <w:tc>
          <w:tcPr>
            <w:tcW w:w="1519" w:type="dxa"/>
            <w:vAlign w:val="top"/>
          </w:tcPr>
          <w:p>
            <w:pPr>
              <w:spacing w:before="169" w:line="195" w:lineRule="auto"/>
              <w:ind w:left="572"/>
              <w:rPr>
                <w:rFonts w:ascii="Times New Roman" w:hAnsi="Times New Roman" w:eastAsia="Times New Roman" w:cs="Times New Roman"/>
                <w:sz w:val="20"/>
                <w:szCs w:val="20"/>
              </w:rPr>
            </w:pPr>
            <w:r>
              <w:rPr>
                <w:rFonts w:ascii="Times New Roman" w:hAnsi="Times New Roman" w:eastAsia="Times New Roman" w:cs="Times New Roman"/>
                <w:spacing w:val="1"/>
                <w:sz w:val="20"/>
                <w:szCs w:val="20"/>
              </w:rPr>
              <w:t>87%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Ex>
        <w:trPr>
          <w:trHeight w:val="479" w:hRule="atLeast"/>
        </w:trPr>
        <w:tc>
          <w:tcPr>
            <w:tcW w:w="4505" w:type="dxa"/>
            <w:vAlign w:val="top"/>
          </w:tcPr>
          <w:p>
            <w:pPr>
              <w:pStyle w:val="8"/>
              <w:spacing w:before="136" w:line="228" w:lineRule="auto"/>
              <w:ind w:left="2048"/>
            </w:pPr>
            <w:r>
              <w:rPr>
                <w:b/>
                <w:bCs/>
                <w:spacing w:val="1"/>
              </w:rPr>
              <w:t>总分</w:t>
            </w:r>
          </w:p>
        </w:tc>
        <w:tc>
          <w:tcPr>
            <w:tcW w:w="1136" w:type="dxa"/>
            <w:vAlign w:val="top"/>
          </w:tcPr>
          <w:p>
            <w:pPr>
              <w:spacing w:before="171" w:line="195" w:lineRule="auto"/>
              <w:ind w:left="418"/>
              <w:rPr>
                <w:rFonts w:ascii="Times New Roman" w:hAnsi="Times New Roman" w:eastAsia="Times New Roman" w:cs="Times New Roman"/>
                <w:sz w:val="20"/>
                <w:szCs w:val="20"/>
              </w:rPr>
            </w:pPr>
            <w:r>
              <w:rPr>
                <w:rFonts w:ascii="Times New Roman" w:hAnsi="Times New Roman" w:eastAsia="Times New Roman" w:cs="Times New Roman"/>
                <w:b/>
                <w:bCs/>
                <w:sz w:val="20"/>
                <w:szCs w:val="20"/>
              </w:rPr>
              <w:t>100</w:t>
            </w:r>
          </w:p>
        </w:tc>
        <w:tc>
          <w:tcPr>
            <w:tcW w:w="1136" w:type="dxa"/>
            <w:vAlign w:val="top"/>
          </w:tcPr>
          <w:p>
            <w:pPr>
              <w:spacing w:before="171" w:line="195" w:lineRule="auto"/>
              <w:ind w:left="387"/>
              <w:rPr>
                <w:rFonts w:ascii="Times New Roman" w:hAnsi="Times New Roman" w:eastAsia="Times New Roman" w:cs="Times New Roman"/>
                <w:sz w:val="20"/>
                <w:szCs w:val="20"/>
              </w:rPr>
            </w:pPr>
            <w:r>
              <w:rPr>
                <w:rFonts w:ascii="Times New Roman" w:hAnsi="Times New Roman" w:eastAsia="Times New Roman" w:cs="Times New Roman"/>
                <w:b/>
                <w:bCs/>
                <w:spacing w:val="2"/>
                <w:sz w:val="20"/>
                <w:szCs w:val="20"/>
              </w:rPr>
              <w:t>89.1</w:t>
            </w:r>
          </w:p>
        </w:tc>
        <w:tc>
          <w:tcPr>
            <w:tcW w:w="1519" w:type="dxa"/>
            <w:vAlign w:val="top"/>
          </w:tcPr>
          <w:p>
            <w:pPr>
              <w:spacing w:before="172" w:line="195" w:lineRule="auto"/>
              <w:ind w:left="470"/>
              <w:rPr>
                <w:rFonts w:ascii="Times New Roman" w:hAnsi="Times New Roman" w:eastAsia="Times New Roman" w:cs="Times New Roman"/>
                <w:sz w:val="20"/>
                <w:szCs w:val="20"/>
              </w:rPr>
            </w:pPr>
            <w:r>
              <w:rPr>
                <w:rFonts w:ascii="Times New Roman" w:hAnsi="Times New Roman" w:eastAsia="Times New Roman" w:cs="Times New Roman"/>
                <w:b/>
                <w:bCs/>
                <w:spacing w:val="3"/>
                <w:sz w:val="20"/>
                <w:szCs w:val="20"/>
              </w:rPr>
              <w:t>89.1%</w:t>
            </w: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ascii="黑体" w:hAnsi="黑体" w:eastAsia="黑体" w:cs="黑体"/>
          <w:spacing w:val="0"/>
          <w:sz w:val="32"/>
          <w:szCs w:val="32"/>
        </w:rPr>
      </w:pPr>
      <w:bookmarkStart w:id="25" w:name="bookmark21"/>
      <w:bookmarkEnd w:id="25"/>
      <w:r>
        <w:rPr>
          <w:rFonts w:ascii="黑体" w:hAnsi="黑体" w:eastAsia="黑体" w:cs="黑体"/>
          <w:spacing w:val="0"/>
          <w:sz w:val="32"/>
          <w:szCs w:val="32"/>
        </w:rPr>
        <w:t>五、问题建议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textAlignment w:val="baseline"/>
        <w:outlineLvl w:val="0"/>
        <w:rPr>
          <w:rFonts w:ascii="宋体" w:hAnsi="宋体" w:eastAsia="宋体" w:cs="宋体"/>
          <w:spacing w:val="0"/>
          <w:sz w:val="32"/>
          <w:szCs w:val="32"/>
        </w:rPr>
      </w:pPr>
      <w:bookmarkStart w:id="26" w:name="bookmark22"/>
      <w:bookmarkEnd w:id="26"/>
      <w:bookmarkStart w:id="27" w:name="bookmark23"/>
      <w:bookmarkEnd w:id="27"/>
      <w:r>
        <w:rPr>
          <w:rFonts w:hint="eastAsia" w:ascii="楷体" w:hAnsi="楷体" w:eastAsia="楷体" w:cs="楷体"/>
          <w:b/>
          <w:bCs/>
          <w:spacing w:val="0"/>
          <w:sz w:val="32"/>
          <w:szCs w:val="32"/>
        </w:rPr>
        <w:t>（一）存在问题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b/>
          <w:bCs/>
          <w:snapToGrid/>
          <w:spacing w:val="0"/>
          <w:kern w:val="2"/>
          <w:sz w:val="32"/>
          <w:szCs w:val="32"/>
          <w:lang w:val="en-US" w:eastAsia="zh-CN" w:bidi="ar-SA"/>
        </w:rPr>
      </w:pPr>
      <w:r>
        <w:rPr>
          <w:rFonts w:hint="eastAsia" w:ascii="Times New Roman" w:hAnsi="Times New Roman" w:eastAsia="仿宋_GB2312" w:cstheme="minorBidi"/>
          <w:b/>
          <w:bCs/>
          <w:snapToGrid/>
          <w:spacing w:val="0"/>
          <w:kern w:val="2"/>
          <w:sz w:val="32"/>
          <w:szCs w:val="32"/>
          <w:lang w:val="en-US" w:eastAsia="zh-CN" w:bidi="ar-SA"/>
        </w:rPr>
        <w:t>1.部门未编制中长期规划</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区民政局在2025年度未完成部门中长期规划编制工作，截至评价期间，部门提供相关佐证资料不完整</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b/>
          <w:bCs/>
          <w:snapToGrid/>
          <w:spacing w:val="0"/>
          <w:kern w:val="2"/>
          <w:sz w:val="32"/>
          <w:szCs w:val="32"/>
          <w:lang w:val="en-US" w:eastAsia="zh-CN" w:bidi="ar-SA"/>
        </w:rPr>
      </w:pPr>
      <w:r>
        <w:rPr>
          <w:rFonts w:hint="eastAsia" w:ascii="Times New Roman" w:hAnsi="Times New Roman" w:eastAsia="仿宋_GB2312" w:cstheme="minorBidi"/>
          <w:b/>
          <w:bCs/>
          <w:snapToGrid/>
          <w:spacing w:val="0"/>
          <w:kern w:val="2"/>
          <w:sz w:val="32"/>
          <w:szCs w:val="32"/>
          <w:lang w:val="en-US" w:eastAsia="zh-CN" w:bidi="ar-SA"/>
        </w:rPr>
        <w:t>2.部门绩效管理不规范</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一是部门预算绩效管理责任在各业务部门，绩效目标的申报、监控、自评均由各业务部门负责，调研时需查看项目设立依据、测算依据、测算标准等资料，均由各业务部门单独提供；二是部门绩效目标设置不规范，在设置部门整体绩效目标时，部分绩效指标细化不规范</w:t>
      </w:r>
      <w:r>
        <w:rPr>
          <w:rFonts w:hint="eastAsia" w:ascii="Times New Roman" w:hAnsi="Times New Roman" w:eastAsia="仿宋_GB2312" w:cstheme="minorBidi"/>
          <w:snapToGrid/>
          <w:spacing w:val="0"/>
          <w:kern w:val="2"/>
          <w:sz w:val="32"/>
          <w:szCs w:val="32"/>
          <w:lang w:val="en-US" w:eastAsia="zh-CN" w:bidi="ar-SA"/>
        </w:rPr>
        <w:t>，</w:t>
      </w:r>
      <w:r>
        <w:rPr>
          <w:rFonts w:ascii="Times New Roman" w:hAnsi="Times New Roman" w:eastAsia="仿宋_GB2312" w:cstheme="minorBidi"/>
          <w:snapToGrid/>
          <w:spacing w:val="0"/>
          <w:kern w:val="2"/>
          <w:sz w:val="32"/>
          <w:szCs w:val="32"/>
          <w:lang w:val="en-US" w:eastAsia="zh-CN" w:bidi="ar-SA"/>
        </w:rPr>
        <w:t>整体目标的年度工作内容描述过于简单，未描述部门单位核心工作内容</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b/>
          <w:bCs/>
          <w:snapToGrid/>
          <w:spacing w:val="0"/>
          <w:kern w:val="2"/>
          <w:sz w:val="32"/>
          <w:szCs w:val="32"/>
          <w:lang w:val="en-US" w:eastAsia="zh-CN" w:bidi="ar-SA"/>
        </w:rPr>
      </w:pPr>
      <w:r>
        <w:rPr>
          <w:rFonts w:hint="eastAsia" w:ascii="Times New Roman" w:hAnsi="Times New Roman" w:eastAsia="仿宋_GB2312" w:cstheme="minorBidi"/>
          <w:b/>
          <w:bCs/>
          <w:snapToGrid/>
          <w:spacing w:val="0"/>
          <w:kern w:val="2"/>
          <w:sz w:val="32"/>
          <w:szCs w:val="32"/>
          <w:lang w:val="en-US" w:eastAsia="zh-CN" w:bidi="ar-SA"/>
        </w:rPr>
        <w:t>3.部门年度工作计划完成度不高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一是区民政局2025年开展了残疾人两项补贴工作方面，根据补贴标准对符合要求的残疾人、重度残疾人进行每月补助，截至目前，根据区民政局提供的补贴人数清单印证，民政局未达成年初补贴人数预期目标；二是失地搬迁补贴工作方面，根据补贴标准对符合要求的失地农牧民、搬迁人员男超过50岁，女超过45岁人员、搬迁农民进行每月补助，截至目前，根据区民政局提供的补贴人数清单印证，区民政局三项补贴人数均未达成年初预期目标</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hint="eastAsia" w:ascii="Times New Roman" w:hAnsi="Times New Roman" w:eastAsia="仿宋_GB2312" w:cstheme="minorBidi"/>
          <w:b/>
          <w:bCs/>
          <w:snapToGrid/>
          <w:spacing w:val="0"/>
          <w:kern w:val="2"/>
          <w:sz w:val="32"/>
          <w:szCs w:val="32"/>
          <w:lang w:val="en-US" w:eastAsia="zh-CN" w:bidi="ar-SA"/>
        </w:rPr>
      </w:pPr>
      <w:r>
        <w:rPr>
          <w:rFonts w:hint="eastAsia" w:ascii="Times New Roman" w:hAnsi="Times New Roman" w:eastAsia="仿宋_GB2312" w:cstheme="minorBidi"/>
          <w:b/>
          <w:bCs/>
          <w:snapToGrid/>
          <w:spacing w:val="0"/>
          <w:kern w:val="2"/>
          <w:sz w:val="32"/>
          <w:szCs w:val="32"/>
          <w:lang w:val="en-US" w:eastAsia="zh-CN" w:bidi="ar-SA"/>
        </w:rPr>
        <w:t>4.部门履职工作效益不显著</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根据区民政局提供的2025年重点工作计划和项目资料可知，区民政局在2025年开展提升殡葬基础设施建设、整治殡葬领域腐败乱象专项行动等方面的工作，通过区民政去申报的“伊州区殡葬领域墓地基础设施规范化建设项目”，针对殡葬墓地周围，做好绿化修缮工作，通过项目资料可知，修建G30南侧墓地修建围栏5480米，并做殡仪馆绿化服务1次，通过项目完成，有效提升城市风貌，推动殡葬领域健康有序发展。但部门单位未提供有关殡葬改革相关工作文件、会议纪要或落实措施，同时针对整治殡葬领域腐败乱象专项行动方面的工作未提供相关整改措施和落实内容，无法印证2025年殡葬文化建设工作是否得到有效改革</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1"/>
        <w:rPr>
          <w:rFonts w:hint="eastAsia" w:ascii="楷体" w:hAnsi="楷体" w:eastAsia="楷体" w:cs="楷体"/>
          <w:b w:val="0"/>
          <w:bCs w:val="0"/>
          <w:spacing w:val="0"/>
          <w:sz w:val="32"/>
          <w:szCs w:val="32"/>
        </w:rPr>
      </w:pPr>
      <w:bookmarkStart w:id="28" w:name="bookmark24"/>
      <w:bookmarkEnd w:id="28"/>
      <w:r>
        <w:rPr>
          <w:rFonts w:hint="eastAsia" w:ascii="楷体" w:hAnsi="楷体" w:eastAsia="楷体" w:cs="楷体"/>
          <w:b w:val="0"/>
          <w:bCs w:val="0"/>
          <w:spacing w:val="0"/>
          <w:sz w:val="32"/>
          <w:szCs w:val="32"/>
        </w:rPr>
        <w:t>（二）改进建议</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b/>
          <w:bCs/>
          <w:snapToGrid/>
          <w:spacing w:val="-2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1</w:t>
      </w:r>
      <w:r>
        <w:rPr>
          <w:rFonts w:ascii="Times New Roman" w:hAnsi="Times New Roman" w:eastAsia="仿宋_GB2312" w:cstheme="minorBidi"/>
          <w:b/>
          <w:bCs/>
          <w:snapToGrid/>
          <w:spacing w:val="-20"/>
          <w:kern w:val="2"/>
          <w:sz w:val="32"/>
          <w:szCs w:val="32"/>
          <w:lang w:val="en-US" w:eastAsia="zh-CN" w:bidi="ar-SA"/>
        </w:rPr>
        <w:t>.落实中长期规划编制要求，按时完成中长期规划编制工作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建议区民政局高度重视部门中长期规划编制工作，及时完善区民政行业发展顶层设计，把握时间进度，加强各部门之间沟通，按照规划编制工作方案的要求及时完成部门中长期规划的审定、印发工作。</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b/>
          <w:bCs/>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2.强化预算编制管理力度，提升预算测算准确性</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一是建议区民政</w:t>
      </w:r>
      <w:r>
        <w:rPr>
          <w:rFonts w:hint="eastAsia" w:ascii="Times New Roman" w:hAnsi="Times New Roman" w:eastAsia="仿宋_GB2312" w:cstheme="minorBidi"/>
          <w:snapToGrid/>
          <w:spacing w:val="0"/>
          <w:kern w:val="2"/>
          <w:sz w:val="32"/>
          <w:szCs w:val="32"/>
          <w:lang w:val="en-US" w:eastAsia="zh-CN" w:bidi="ar-SA"/>
        </w:rPr>
        <w:t>局</w:t>
      </w:r>
      <w:r>
        <w:rPr>
          <w:rFonts w:ascii="Times New Roman" w:hAnsi="Times New Roman" w:eastAsia="仿宋_GB2312" w:cstheme="minorBidi"/>
          <w:snapToGrid/>
          <w:spacing w:val="0"/>
          <w:kern w:val="2"/>
          <w:sz w:val="32"/>
          <w:szCs w:val="32"/>
          <w:lang w:val="en-US" w:eastAsia="zh-CN" w:bidi="ar-SA"/>
        </w:rPr>
        <w:t>完善预算编制制度和流程，明确重大事项需进行集体会议决策的重要性，细化各环节的责任和时间节点，严格按照流程执行；二是建议部门加强前期调研和历史数据分析，预算编制时充分了解业务需求、资源状况以及过往的预算执行情况，通过各项数据分析为预算编制提供有力依据；三是建议加强预算审核和监督，设立专门的审核岗位，对预算编制内容、测算内容等事项进行严格审核，确保预算编制的合理性、准确性、规范性。</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b/>
          <w:bCs/>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3.建立履职工作实施监管措施，保障各项工作按计划完成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一是建议年初制定工作计划前开展全面评估，分析资金资源、人力保障等各项因素是否完备，科学、合理的设置年初计划目标，减少实施后的偏离度。同时针对各项工作内容制定详细的实施方案</w:t>
      </w:r>
      <w:r>
        <w:rPr>
          <w:rFonts w:hint="eastAsia" w:ascii="Times New Roman" w:hAnsi="Times New Roman" w:eastAsia="仿宋_GB2312" w:cstheme="minorBidi"/>
          <w:snapToGrid/>
          <w:spacing w:val="0"/>
          <w:kern w:val="2"/>
          <w:sz w:val="32"/>
          <w:szCs w:val="32"/>
          <w:lang w:val="en-US" w:eastAsia="zh-CN" w:bidi="ar-SA"/>
        </w:rPr>
        <w:t>，</w:t>
      </w:r>
      <w:r>
        <w:rPr>
          <w:rFonts w:ascii="Times New Roman" w:hAnsi="Times New Roman" w:eastAsia="仿宋_GB2312" w:cstheme="minorBidi"/>
          <w:snapToGrid/>
          <w:spacing w:val="0"/>
          <w:kern w:val="2"/>
          <w:sz w:val="32"/>
          <w:szCs w:val="32"/>
          <w:lang w:val="en-US" w:eastAsia="zh-CN" w:bidi="ar-SA"/>
        </w:rPr>
        <w:t>合理调配人力、物力和财力等资源，确保核心履职工作能够得到足够的支持，并明确各项工作完成的时间节点和责任人，以便更好地跟踪和执行；二是建议建立监督机制，强化履职工作实施中的监管力度，定期对各项工作进展情况进行检查，发现偏离年初目标或实施方案时及时反馈相关负责人，并针对偏离原因制定相应的举措，确保各项履职工作按计划完成。</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3" w:firstLineChars="200"/>
        <w:jc w:val="both"/>
        <w:textAlignment w:val="baseline"/>
        <w:rPr>
          <w:rFonts w:ascii="Times New Roman" w:hAnsi="Times New Roman" w:eastAsia="仿宋_GB2312" w:cstheme="minorBidi"/>
          <w:b/>
          <w:bCs/>
          <w:snapToGrid/>
          <w:spacing w:val="0"/>
          <w:kern w:val="2"/>
          <w:sz w:val="32"/>
          <w:szCs w:val="32"/>
          <w:lang w:val="en-US" w:eastAsia="zh-CN" w:bidi="ar-SA"/>
        </w:rPr>
      </w:pPr>
      <w:r>
        <w:rPr>
          <w:rFonts w:ascii="Times New Roman" w:hAnsi="Times New Roman" w:eastAsia="仿宋_GB2312" w:cstheme="minorBidi"/>
          <w:b/>
          <w:bCs/>
          <w:snapToGrid/>
          <w:spacing w:val="0"/>
          <w:kern w:val="2"/>
          <w:sz w:val="32"/>
          <w:szCs w:val="32"/>
          <w:lang w:val="en-US" w:eastAsia="zh-CN" w:bidi="ar-SA"/>
        </w:rPr>
        <w:t>4.加大履职成果管控力度，确保履职工作提质增效</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建议区民政局健全殡葬领域腐败乱象专项整治运行机制，系统梳理专项行动各项工作流程，厘清各环节权责边界，剔除繁琐重复工作节点，推动整治工作高效运转。建立常态化廉政风险排查长效机制，定期开展殡葬领域突出问题摸底排查，做到风险早发现、隐患早处置。完善问题整改闭环管理机制，对排查出的腐败苗头、违规乱象分类建立问题清单，精准制定整改方案，动态跟踪整改进度，适时开展整改成效“回头看”，坚决防止问题整改流于形式，持续夯实殡葬领域廉政防线</w:t>
      </w:r>
      <w:r>
        <w:rPr>
          <w:rFonts w:ascii="华文仿宋" w:hAnsi="华文仿宋" w:eastAsia="华文仿宋" w:cs="华文仿宋"/>
          <w:spacing w:val="0"/>
          <w:sz w:val="31"/>
          <w:szCs w:val="31"/>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textAlignment w:val="baseline"/>
        <w:outlineLvl w:val="0"/>
        <w:rPr>
          <w:rFonts w:ascii="黑体" w:hAnsi="黑体" w:eastAsia="黑体" w:cs="黑体"/>
          <w:spacing w:val="0"/>
          <w:sz w:val="32"/>
          <w:szCs w:val="32"/>
        </w:rPr>
      </w:pPr>
      <w:r>
        <w:rPr>
          <w:rFonts w:ascii="黑体" w:hAnsi="黑体" w:eastAsia="黑体" w:cs="黑体"/>
          <w:spacing w:val="0"/>
          <w:sz w:val="32"/>
          <w:szCs w:val="32"/>
        </w:rPr>
        <w:t>六、其他需要说明的问题</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针对此次绩效评价发现的问题，评价组在对收集的数据、区民政局提供的资料及网上查阅的相关资料进行分析的基础上，结合对部门相关负责人的访谈及受益群众满意度调查、现场调研等，对本部门整体支出进行客观评价</w:t>
      </w:r>
      <w:r>
        <w:rPr>
          <w:rFonts w:ascii="华文仿宋" w:hAnsi="华文仿宋" w:eastAsia="华文仿宋" w:cs="华文仿宋"/>
          <w:spacing w:val="0"/>
          <w:sz w:val="31"/>
          <w:szCs w:val="31"/>
        </w:rPr>
        <w:t>。</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20" w:firstLineChars="200"/>
        <w:textAlignment w:val="baseline"/>
        <w:rPr>
          <w:spacing w:val="0"/>
        </w:rPr>
      </w:pP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20" w:firstLineChars="200"/>
        <w:textAlignment w:val="baseline"/>
        <w:rPr>
          <w:spacing w:val="0"/>
        </w:rPr>
      </w:pP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420" w:firstLineChars="200"/>
        <w:textAlignment w:val="baseline"/>
        <w:rPr>
          <w:spacing w:val="0"/>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附件一：部门整体绩效评价指标体系评分表</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Times New Roman" w:hAnsi="Times New Roman" w:eastAsia="仿宋_GB2312" w:cstheme="minorBidi"/>
          <w:snapToGrid/>
          <w:spacing w:val="0"/>
          <w:kern w:val="2"/>
          <w:sz w:val="32"/>
          <w:szCs w:val="32"/>
          <w:lang w:val="en-US" w:eastAsia="zh-CN" w:bidi="ar-SA"/>
        </w:rPr>
      </w:pPr>
      <w:r>
        <w:rPr>
          <w:rFonts w:ascii="Times New Roman" w:hAnsi="Times New Roman" w:eastAsia="仿宋_GB2312" w:cstheme="minorBidi"/>
          <w:snapToGrid/>
          <w:spacing w:val="0"/>
          <w:kern w:val="2"/>
          <w:sz w:val="32"/>
          <w:szCs w:val="32"/>
          <w:lang w:val="en-US" w:eastAsia="zh-CN" w:bidi="ar-SA"/>
        </w:rPr>
        <w:t>附件二：满意度问卷及调查结果分析报告</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40" w:firstLineChars="200"/>
        <w:jc w:val="both"/>
        <w:textAlignment w:val="baseline"/>
        <w:rPr>
          <w:rFonts w:ascii="华文仿宋" w:hAnsi="华文仿宋" w:eastAsia="华文仿宋" w:cs="华文仿宋"/>
          <w:spacing w:val="0"/>
          <w:sz w:val="31"/>
          <w:szCs w:val="31"/>
        </w:rPr>
      </w:pPr>
      <w:r>
        <w:rPr>
          <w:rFonts w:ascii="Times New Roman" w:hAnsi="Times New Roman" w:eastAsia="仿宋_GB2312" w:cstheme="minorBidi"/>
          <w:snapToGrid/>
          <w:spacing w:val="0"/>
          <w:kern w:val="2"/>
          <w:sz w:val="32"/>
          <w:szCs w:val="32"/>
          <w:lang w:val="en-US" w:eastAsia="zh-CN" w:bidi="ar-SA"/>
        </w:rPr>
        <w:t>附件三：基础数据表</w:t>
      </w:r>
    </w:p>
    <w:p>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textAlignment w:val="baseline"/>
        <w:rPr>
          <w:rFonts w:ascii="华文仿宋" w:hAnsi="华文仿宋" w:eastAsia="华文仿宋" w:cs="华文仿宋"/>
          <w:spacing w:val="0"/>
          <w:sz w:val="31"/>
          <w:szCs w:val="31"/>
        </w:rPr>
        <w:sectPr>
          <w:footerReference r:id="rId8" w:type="default"/>
          <w:pgSz w:w="11906" w:h="16839"/>
          <w:pgMar w:top="2098" w:right="1587" w:bottom="1984" w:left="1587" w:header="0" w:footer="1289" w:gutter="0"/>
          <w:pgNumType w:fmt="decimal"/>
          <w:cols w:space="0" w:num="1"/>
          <w:rtlGutter w:val="0"/>
          <w:docGrid w:linePitch="0" w:charSpace="0"/>
        </w:sectPr>
      </w:pPr>
    </w:p>
    <w:p>
      <w:pPr>
        <w:spacing w:before="102" w:line="201" w:lineRule="auto"/>
        <w:ind w:left="140" w:firstLine="231" w:firstLineChars="100"/>
        <w:rPr>
          <w:rFonts w:hint="eastAsia" w:ascii="仿宋" w:hAnsi="仿宋" w:eastAsia="仿宋" w:cs="仿宋"/>
          <w:sz w:val="24"/>
          <w:szCs w:val="24"/>
        </w:rPr>
      </w:pPr>
      <w:r>
        <w:rPr>
          <w:rFonts w:hint="eastAsia" w:ascii="仿宋" w:hAnsi="仿宋" w:eastAsia="仿宋" w:cs="仿宋"/>
          <w:b/>
          <w:bCs/>
          <w:spacing w:val="-5"/>
          <w:sz w:val="24"/>
          <w:szCs w:val="24"/>
        </w:rPr>
        <w:t>附件一：部门整体绩效评价指标体系评分表</w:t>
      </w:r>
    </w:p>
    <w:p>
      <w:pPr>
        <w:spacing w:line="109" w:lineRule="exact"/>
      </w:pPr>
    </w:p>
    <w:tbl>
      <w:tblPr>
        <w:tblStyle w:val="7"/>
        <w:tblW w:w="155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999"/>
        <w:gridCol w:w="1167"/>
        <w:gridCol w:w="665"/>
        <w:gridCol w:w="3011"/>
        <w:gridCol w:w="918"/>
        <w:gridCol w:w="2171"/>
        <w:gridCol w:w="4007"/>
        <w:gridCol w:w="684"/>
        <w:gridCol w:w="8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6" w:hRule="atLeast"/>
        </w:trPr>
        <w:tc>
          <w:tcPr>
            <w:tcW w:w="1091" w:type="dxa"/>
            <w:vAlign w:val="top"/>
          </w:tcPr>
          <w:p>
            <w:pPr>
              <w:spacing w:before="110" w:line="199" w:lineRule="auto"/>
              <w:ind w:left="201"/>
              <w:rPr>
                <w:rFonts w:ascii="华文仿宋" w:hAnsi="华文仿宋" w:eastAsia="华文仿宋" w:cs="华文仿宋"/>
                <w:sz w:val="18"/>
                <w:szCs w:val="18"/>
              </w:rPr>
            </w:pPr>
            <w:r>
              <w:rPr>
                <w:rFonts w:ascii="华文仿宋" w:hAnsi="华文仿宋" w:eastAsia="华文仿宋" w:cs="华文仿宋"/>
                <w:b/>
                <w:bCs/>
                <w:spacing w:val="-7"/>
                <w:sz w:val="18"/>
                <w:szCs w:val="18"/>
              </w:rPr>
              <w:t>一级指标</w:t>
            </w:r>
          </w:p>
        </w:tc>
        <w:tc>
          <w:tcPr>
            <w:tcW w:w="999" w:type="dxa"/>
            <w:vAlign w:val="top"/>
          </w:tcPr>
          <w:p>
            <w:pPr>
              <w:spacing w:before="110" w:line="199" w:lineRule="auto"/>
              <w:ind w:left="152"/>
              <w:rPr>
                <w:rFonts w:ascii="华文仿宋" w:hAnsi="华文仿宋" w:eastAsia="华文仿宋" w:cs="华文仿宋"/>
                <w:sz w:val="18"/>
                <w:szCs w:val="18"/>
              </w:rPr>
            </w:pPr>
            <w:r>
              <w:rPr>
                <w:rFonts w:ascii="华文仿宋" w:hAnsi="华文仿宋" w:eastAsia="华文仿宋" w:cs="华文仿宋"/>
                <w:b/>
                <w:bCs/>
                <w:spacing w:val="-7"/>
                <w:sz w:val="18"/>
                <w:szCs w:val="18"/>
              </w:rPr>
              <w:t>二级指标</w:t>
            </w:r>
          </w:p>
        </w:tc>
        <w:tc>
          <w:tcPr>
            <w:tcW w:w="1167" w:type="dxa"/>
            <w:vAlign w:val="top"/>
          </w:tcPr>
          <w:p>
            <w:pPr>
              <w:spacing w:before="110" w:line="199" w:lineRule="auto"/>
              <w:ind w:left="241"/>
              <w:rPr>
                <w:rFonts w:ascii="华文仿宋" w:hAnsi="华文仿宋" w:eastAsia="华文仿宋" w:cs="华文仿宋"/>
                <w:sz w:val="18"/>
                <w:szCs w:val="18"/>
              </w:rPr>
            </w:pPr>
            <w:r>
              <w:rPr>
                <w:rFonts w:ascii="华文仿宋" w:hAnsi="华文仿宋" w:eastAsia="华文仿宋" w:cs="华文仿宋"/>
                <w:b/>
                <w:bCs/>
                <w:spacing w:val="-8"/>
                <w:sz w:val="18"/>
                <w:szCs w:val="18"/>
              </w:rPr>
              <w:t>三级指标</w:t>
            </w:r>
          </w:p>
        </w:tc>
        <w:tc>
          <w:tcPr>
            <w:tcW w:w="665" w:type="dxa"/>
            <w:vAlign w:val="top"/>
          </w:tcPr>
          <w:p>
            <w:pPr>
              <w:spacing w:before="111" w:line="198" w:lineRule="auto"/>
              <w:ind w:left="159"/>
              <w:rPr>
                <w:rFonts w:ascii="华文仿宋" w:hAnsi="华文仿宋" w:eastAsia="华文仿宋" w:cs="华文仿宋"/>
                <w:sz w:val="18"/>
                <w:szCs w:val="18"/>
              </w:rPr>
            </w:pPr>
            <w:r>
              <w:rPr>
                <w:rFonts w:ascii="华文仿宋" w:hAnsi="华文仿宋" w:eastAsia="华文仿宋" w:cs="华文仿宋"/>
                <w:b/>
                <w:bCs/>
                <w:spacing w:val="-7"/>
                <w:sz w:val="18"/>
                <w:szCs w:val="18"/>
              </w:rPr>
              <w:t>权重</w:t>
            </w:r>
          </w:p>
        </w:tc>
        <w:tc>
          <w:tcPr>
            <w:tcW w:w="3011" w:type="dxa"/>
            <w:vAlign w:val="top"/>
          </w:tcPr>
          <w:p>
            <w:pPr>
              <w:spacing w:before="110" w:line="199" w:lineRule="auto"/>
              <w:ind w:left="705"/>
              <w:rPr>
                <w:rFonts w:ascii="华文仿宋" w:hAnsi="华文仿宋" w:eastAsia="华文仿宋" w:cs="华文仿宋"/>
                <w:sz w:val="18"/>
                <w:szCs w:val="18"/>
              </w:rPr>
            </w:pPr>
            <w:r>
              <w:rPr>
                <w:rFonts w:ascii="华文仿宋" w:hAnsi="华文仿宋" w:eastAsia="华文仿宋" w:cs="华文仿宋"/>
                <w:b/>
                <w:bCs/>
                <w:spacing w:val="-4"/>
                <w:sz w:val="18"/>
                <w:szCs w:val="18"/>
              </w:rPr>
              <w:t>指标解释及评价要点</w:t>
            </w:r>
          </w:p>
        </w:tc>
        <w:tc>
          <w:tcPr>
            <w:tcW w:w="918" w:type="dxa"/>
            <w:vAlign w:val="top"/>
          </w:tcPr>
          <w:p>
            <w:pPr>
              <w:spacing w:before="110" w:line="199" w:lineRule="auto"/>
              <w:ind w:left="197"/>
              <w:rPr>
                <w:rFonts w:ascii="华文仿宋" w:hAnsi="华文仿宋" w:eastAsia="华文仿宋" w:cs="华文仿宋"/>
                <w:sz w:val="18"/>
                <w:szCs w:val="18"/>
              </w:rPr>
            </w:pPr>
            <w:r>
              <w:rPr>
                <w:rFonts w:ascii="华文仿宋" w:hAnsi="华文仿宋" w:eastAsia="华文仿宋" w:cs="华文仿宋"/>
                <w:b/>
                <w:bCs/>
                <w:spacing w:val="-6"/>
                <w:sz w:val="18"/>
                <w:szCs w:val="18"/>
              </w:rPr>
              <w:t>标杆值</w:t>
            </w:r>
          </w:p>
        </w:tc>
        <w:tc>
          <w:tcPr>
            <w:tcW w:w="2171" w:type="dxa"/>
            <w:vAlign w:val="top"/>
          </w:tcPr>
          <w:p>
            <w:pPr>
              <w:spacing w:before="110" w:line="199" w:lineRule="auto"/>
              <w:ind w:left="730"/>
              <w:rPr>
                <w:rFonts w:ascii="华文仿宋" w:hAnsi="华文仿宋" w:eastAsia="华文仿宋" w:cs="华文仿宋"/>
                <w:sz w:val="18"/>
                <w:szCs w:val="18"/>
              </w:rPr>
            </w:pPr>
            <w:r>
              <w:rPr>
                <w:rFonts w:ascii="华文仿宋" w:hAnsi="华文仿宋" w:eastAsia="华文仿宋" w:cs="华文仿宋"/>
                <w:b/>
                <w:bCs/>
                <w:spacing w:val="-4"/>
                <w:sz w:val="18"/>
                <w:szCs w:val="18"/>
              </w:rPr>
              <w:t>评价标准</w:t>
            </w:r>
          </w:p>
        </w:tc>
        <w:tc>
          <w:tcPr>
            <w:tcW w:w="4007" w:type="dxa"/>
            <w:vAlign w:val="top"/>
          </w:tcPr>
          <w:p>
            <w:pPr>
              <w:spacing w:before="111" w:line="198" w:lineRule="auto"/>
              <w:ind w:left="1648"/>
              <w:rPr>
                <w:rFonts w:ascii="华文仿宋" w:hAnsi="华文仿宋" w:eastAsia="华文仿宋" w:cs="华文仿宋"/>
                <w:sz w:val="18"/>
                <w:szCs w:val="18"/>
              </w:rPr>
            </w:pPr>
            <w:r>
              <w:rPr>
                <w:rFonts w:ascii="华文仿宋" w:hAnsi="华文仿宋" w:eastAsia="华文仿宋" w:cs="华文仿宋"/>
                <w:b/>
                <w:bCs/>
                <w:spacing w:val="-4"/>
                <w:sz w:val="18"/>
                <w:szCs w:val="18"/>
              </w:rPr>
              <w:t>评分过程</w:t>
            </w:r>
          </w:p>
        </w:tc>
        <w:tc>
          <w:tcPr>
            <w:tcW w:w="684" w:type="dxa"/>
            <w:vAlign w:val="top"/>
          </w:tcPr>
          <w:p>
            <w:pPr>
              <w:spacing w:before="112" w:line="197" w:lineRule="auto"/>
              <w:ind w:left="172"/>
              <w:rPr>
                <w:rFonts w:ascii="华文仿宋" w:hAnsi="华文仿宋" w:eastAsia="华文仿宋" w:cs="华文仿宋"/>
                <w:sz w:val="18"/>
                <w:szCs w:val="18"/>
              </w:rPr>
            </w:pPr>
            <w:r>
              <w:rPr>
                <w:rFonts w:ascii="华文仿宋" w:hAnsi="华文仿宋" w:eastAsia="华文仿宋" w:cs="华文仿宋"/>
                <w:b/>
                <w:bCs/>
                <w:spacing w:val="-8"/>
                <w:sz w:val="18"/>
                <w:szCs w:val="18"/>
              </w:rPr>
              <w:t>得分</w:t>
            </w:r>
          </w:p>
        </w:tc>
        <w:tc>
          <w:tcPr>
            <w:tcW w:w="832" w:type="dxa"/>
            <w:vAlign w:val="top"/>
          </w:tcPr>
          <w:p>
            <w:pPr>
              <w:spacing w:before="109" w:line="200" w:lineRule="auto"/>
              <w:ind w:left="152"/>
              <w:rPr>
                <w:rFonts w:ascii="华文仿宋" w:hAnsi="华文仿宋" w:eastAsia="华文仿宋" w:cs="华文仿宋"/>
                <w:sz w:val="18"/>
                <w:szCs w:val="18"/>
              </w:rPr>
            </w:pPr>
            <w:r>
              <w:rPr>
                <w:rFonts w:ascii="华文仿宋" w:hAnsi="华文仿宋" w:eastAsia="华文仿宋" w:cs="华文仿宋"/>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23" w:hRule="atLeast"/>
        </w:trPr>
        <w:tc>
          <w:tcPr>
            <w:tcW w:w="1091" w:type="dxa"/>
            <w:vMerge w:val="restart"/>
            <w:tcBorders>
              <w:bottom w:val="nil"/>
            </w:tcBorders>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65" w:line="290" w:lineRule="auto"/>
              <w:ind w:left="306" w:right="182" w:hanging="109"/>
              <w:rPr>
                <w:rFonts w:ascii="华文仿宋" w:hAnsi="华文仿宋" w:eastAsia="华文仿宋" w:cs="华文仿宋"/>
                <w:sz w:val="18"/>
                <w:szCs w:val="18"/>
              </w:rPr>
            </w:pPr>
            <w:r>
              <w:rPr>
                <w:rFonts w:ascii="华文仿宋" w:hAnsi="华文仿宋" w:eastAsia="华文仿宋" w:cs="华文仿宋"/>
                <w:spacing w:val="-4"/>
                <w:sz w:val="18"/>
                <w:szCs w:val="18"/>
              </w:rPr>
              <w:t>部门决策</w:t>
            </w:r>
            <w:r>
              <w:rPr>
                <w:rFonts w:ascii="华文仿宋" w:hAnsi="华文仿宋" w:eastAsia="华文仿宋" w:cs="华文仿宋"/>
                <w:spacing w:val="-7"/>
                <w:sz w:val="18"/>
                <w:szCs w:val="18"/>
              </w:rPr>
              <w:t>（15）</w:t>
            </w:r>
          </w:p>
        </w:tc>
        <w:tc>
          <w:tcPr>
            <w:tcW w:w="999" w:type="dxa"/>
            <w:vMerge w:val="restart"/>
            <w:tcBorders>
              <w:bottom w:val="nil"/>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6" w:line="198" w:lineRule="auto"/>
              <w:ind w:left="147"/>
              <w:rPr>
                <w:rFonts w:ascii="华文仿宋" w:hAnsi="华文仿宋" w:eastAsia="华文仿宋" w:cs="华文仿宋"/>
                <w:sz w:val="18"/>
                <w:szCs w:val="18"/>
              </w:rPr>
            </w:pPr>
            <w:r>
              <w:rPr>
                <w:rFonts w:ascii="华文仿宋" w:hAnsi="华文仿宋" w:eastAsia="华文仿宋" w:cs="华文仿宋"/>
                <w:spacing w:val="-4"/>
                <w:sz w:val="18"/>
                <w:szCs w:val="18"/>
              </w:rPr>
              <w:t>部门规划</w:t>
            </w:r>
          </w:p>
          <w:p>
            <w:pPr>
              <w:spacing w:before="92" w:line="201" w:lineRule="auto"/>
              <w:ind w:left="321"/>
              <w:rPr>
                <w:rFonts w:ascii="华文仿宋" w:hAnsi="华文仿宋" w:eastAsia="华文仿宋" w:cs="华文仿宋"/>
                <w:sz w:val="18"/>
                <w:szCs w:val="18"/>
              </w:rPr>
            </w:pPr>
            <w:r>
              <w:rPr>
                <w:rFonts w:ascii="华文仿宋" w:hAnsi="华文仿宋" w:eastAsia="华文仿宋" w:cs="华文仿宋"/>
                <w:spacing w:val="-4"/>
                <w:sz w:val="18"/>
                <w:szCs w:val="18"/>
              </w:rPr>
              <w:t>计划</w:t>
            </w:r>
          </w:p>
          <w:p>
            <w:pPr>
              <w:spacing w:before="57" w:line="283" w:lineRule="exact"/>
              <w:ind w:left="300"/>
              <w:rPr>
                <w:rFonts w:ascii="华文仿宋" w:hAnsi="华文仿宋" w:eastAsia="华文仿宋" w:cs="华文仿宋"/>
                <w:sz w:val="18"/>
                <w:szCs w:val="18"/>
              </w:rPr>
            </w:pPr>
            <w:r>
              <w:rPr>
                <w:rFonts w:ascii="华文仿宋" w:hAnsi="华文仿宋" w:eastAsia="华文仿宋" w:cs="华文仿宋"/>
                <w:spacing w:val="-9"/>
                <w:position w:val="3"/>
                <w:sz w:val="18"/>
                <w:szCs w:val="18"/>
              </w:rPr>
              <w:t>（5）</w:t>
            </w:r>
          </w:p>
        </w:tc>
        <w:tc>
          <w:tcPr>
            <w:tcW w:w="1167" w:type="dxa"/>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before="65" w:line="294" w:lineRule="auto"/>
              <w:ind w:left="138" w:right="133" w:firstLine="25"/>
              <w:rPr>
                <w:rFonts w:ascii="华文仿宋" w:hAnsi="华文仿宋" w:eastAsia="华文仿宋" w:cs="华文仿宋"/>
                <w:sz w:val="18"/>
                <w:szCs w:val="18"/>
              </w:rPr>
            </w:pPr>
            <w:r>
              <w:rPr>
                <w:rFonts w:ascii="华文仿宋" w:hAnsi="华文仿宋" w:eastAsia="华文仿宋" w:cs="华文仿宋"/>
                <w:spacing w:val="-8"/>
                <w:sz w:val="18"/>
                <w:szCs w:val="18"/>
              </w:rPr>
              <w:t>中长期规划</w:t>
            </w:r>
            <w:r>
              <w:rPr>
                <w:rFonts w:ascii="华文仿宋" w:hAnsi="华文仿宋" w:eastAsia="华文仿宋" w:cs="华文仿宋"/>
                <w:spacing w:val="-2"/>
                <w:sz w:val="18"/>
                <w:szCs w:val="18"/>
              </w:rPr>
              <w:t>科学合理性</w:t>
            </w:r>
          </w:p>
        </w:tc>
        <w:tc>
          <w:tcPr>
            <w:tcW w:w="665" w:type="dxa"/>
            <w:vAlign w:val="top"/>
          </w:tcPr>
          <w:p>
            <w:pPr>
              <w:spacing w:line="284" w:lineRule="auto"/>
              <w:rPr>
                <w:rFonts w:ascii="Arial"/>
                <w:sz w:val="21"/>
              </w:rPr>
            </w:pPr>
          </w:p>
          <w:p>
            <w:pPr>
              <w:spacing w:line="284" w:lineRule="auto"/>
              <w:rPr>
                <w:rFonts w:ascii="Arial"/>
                <w:sz w:val="21"/>
              </w:rPr>
            </w:pPr>
          </w:p>
          <w:p>
            <w:pPr>
              <w:spacing w:line="285" w:lineRule="auto"/>
              <w:rPr>
                <w:rFonts w:ascii="Arial"/>
                <w:sz w:val="21"/>
              </w:rPr>
            </w:pPr>
          </w:p>
          <w:p>
            <w:pPr>
              <w:spacing w:line="285" w:lineRule="auto"/>
              <w:rPr>
                <w:rFonts w:ascii="Arial"/>
                <w:sz w:val="21"/>
              </w:rPr>
            </w:pPr>
          </w:p>
          <w:p>
            <w:pPr>
              <w:spacing w:line="285" w:lineRule="auto"/>
              <w:rPr>
                <w:rFonts w:ascii="Arial"/>
                <w:sz w:val="21"/>
              </w:rPr>
            </w:pPr>
          </w:p>
          <w:p>
            <w:pPr>
              <w:spacing w:before="65" w:line="177" w:lineRule="auto"/>
              <w:ind w:left="290"/>
              <w:rPr>
                <w:rFonts w:ascii="华文仿宋" w:hAnsi="华文仿宋" w:eastAsia="华文仿宋" w:cs="华文仿宋"/>
                <w:sz w:val="18"/>
                <w:szCs w:val="18"/>
              </w:rPr>
            </w:pPr>
            <w:r>
              <w:rPr>
                <w:rFonts w:ascii="华文仿宋" w:hAnsi="华文仿宋" w:eastAsia="华文仿宋" w:cs="华文仿宋"/>
                <w:sz w:val="18"/>
                <w:szCs w:val="18"/>
              </w:rPr>
              <w:t>2</w:t>
            </w:r>
          </w:p>
        </w:tc>
        <w:tc>
          <w:tcPr>
            <w:tcW w:w="3011" w:type="dxa"/>
            <w:vAlign w:val="top"/>
          </w:tcPr>
          <w:p>
            <w:pPr>
              <w:spacing w:before="68" w:line="286" w:lineRule="auto"/>
              <w:ind w:left="113" w:right="202" w:firstLine="1"/>
              <w:rPr>
                <w:rFonts w:ascii="华文仿宋" w:hAnsi="华文仿宋" w:eastAsia="华文仿宋" w:cs="华文仿宋"/>
                <w:sz w:val="18"/>
                <w:szCs w:val="18"/>
              </w:rPr>
            </w:pPr>
            <w:r>
              <w:rPr>
                <w:rFonts w:ascii="华文仿宋" w:hAnsi="华文仿宋" w:eastAsia="华文仿宋" w:cs="华文仿宋"/>
                <w:spacing w:val="-3"/>
                <w:sz w:val="18"/>
                <w:szCs w:val="18"/>
              </w:rPr>
              <w:t>反映部门中长期规划的科学性，以</w:t>
            </w:r>
            <w:r>
              <w:rPr>
                <w:rFonts w:ascii="华文仿宋" w:hAnsi="华文仿宋" w:eastAsia="华文仿宋" w:cs="华文仿宋"/>
                <w:spacing w:val="-1"/>
                <w:sz w:val="18"/>
                <w:szCs w:val="18"/>
              </w:rPr>
              <w:t>及与自治区及上级部门中长期规划</w:t>
            </w:r>
            <w:r>
              <w:rPr>
                <w:rFonts w:ascii="华文仿宋" w:hAnsi="华文仿宋" w:eastAsia="华文仿宋" w:cs="华文仿宋"/>
                <w:spacing w:val="-3"/>
                <w:sz w:val="18"/>
                <w:szCs w:val="18"/>
              </w:rPr>
              <w:t>的匹配性。1.是否制定中长期规</w:t>
            </w:r>
          </w:p>
          <w:p>
            <w:pPr>
              <w:spacing w:before="5" w:line="275" w:lineRule="auto"/>
              <w:ind w:left="111" w:right="202" w:firstLine="12"/>
              <w:rPr>
                <w:rFonts w:ascii="华文仿宋" w:hAnsi="华文仿宋" w:eastAsia="华文仿宋" w:cs="华文仿宋"/>
                <w:sz w:val="18"/>
                <w:szCs w:val="18"/>
              </w:rPr>
            </w:pPr>
            <w:r>
              <w:rPr>
                <w:rFonts w:ascii="华文仿宋" w:hAnsi="华文仿宋" w:eastAsia="华文仿宋" w:cs="华文仿宋"/>
                <w:spacing w:val="-2"/>
                <w:sz w:val="18"/>
                <w:szCs w:val="18"/>
              </w:rPr>
              <w:t>划；2.是否依据自治区及上级部门</w:t>
            </w:r>
            <w:r>
              <w:rPr>
                <w:rFonts w:ascii="华文仿宋" w:hAnsi="华文仿宋" w:eastAsia="华文仿宋" w:cs="华文仿宋"/>
                <w:spacing w:val="-3"/>
                <w:sz w:val="18"/>
                <w:szCs w:val="18"/>
              </w:rPr>
              <w:t>的总体规划，将任务落实到部门中长期规划；3.中长期规划是否对总</w:t>
            </w:r>
            <w:r>
              <w:rPr>
                <w:rFonts w:ascii="华文仿宋" w:hAnsi="华文仿宋" w:eastAsia="华文仿宋" w:cs="华文仿宋"/>
                <w:spacing w:val="-2"/>
                <w:sz w:val="18"/>
                <w:szCs w:val="18"/>
              </w:rPr>
              <w:t>体目标、规划实施内容及时间安排</w:t>
            </w:r>
            <w:r>
              <w:rPr>
                <w:rFonts w:ascii="华文仿宋" w:hAnsi="华文仿宋" w:eastAsia="华文仿宋" w:cs="华文仿宋"/>
                <w:spacing w:val="-3"/>
                <w:sz w:val="18"/>
                <w:szCs w:val="18"/>
              </w:rPr>
              <w:t>有明确规定；4.中长期规划是否对</w:t>
            </w:r>
            <w:r>
              <w:rPr>
                <w:rFonts w:ascii="华文仿宋" w:hAnsi="华文仿宋" w:eastAsia="华文仿宋" w:cs="华文仿宋"/>
                <w:spacing w:val="-1"/>
                <w:sz w:val="18"/>
                <w:szCs w:val="18"/>
              </w:rPr>
              <w:t>部门各项职能的履行均进行了完整</w:t>
            </w:r>
            <w:r>
              <w:rPr>
                <w:rFonts w:ascii="华文仿宋" w:hAnsi="华文仿宋" w:eastAsia="华文仿宋" w:cs="华文仿宋"/>
                <w:spacing w:val="-3"/>
                <w:sz w:val="18"/>
                <w:szCs w:val="18"/>
              </w:rPr>
              <w:t>规划。</w:t>
            </w:r>
          </w:p>
        </w:tc>
        <w:tc>
          <w:tcPr>
            <w:tcW w:w="918" w:type="dxa"/>
            <w:vAlign w:val="top"/>
          </w:tcPr>
          <w:p>
            <w:pPr>
              <w:spacing w:line="279"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before="65" w:line="199" w:lineRule="auto"/>
              <w:ind w:left="287"/>
              <w:rPr>
                <w:rFonts w:ascii="华文仿宋" w:hAnsi="华文仿宋" w:eastAsia="华文仿宋" w:cs="华文仿宋"/>
                <w:sz w:val="18"/>
                <w:szCs w:val="18"/>
              </w:rPr>
            </w:pPr>
            <w:r>
              <w:rPr>
                <w:rFonts w:ascii="华文仿宋" w:hAnsi="华文仿宋" w:eastAsia="华文仿宋" w:cs="华文仿宋"/>
                <w:spacing w:val="-5"/>
                <w:sz w:val="18"/>
                <w:szCs w:val="18"/>
              </w:rPr>
              <w:t>合理</w:t>
            </w:r>
          </w:p>
        </w:tc>
        <w:tc>
          <w:tcPr>
            <w:tcW w:w="2171" w:type="dxa"/>
            <w:vAlign w:val="top"/>
          </w:tcPr>
          <w:p>
            <w:pPr>
              <w:spacing w:line="311" w:lineRule="auto"/>
              <w:rPr>
                <w:rFonts w:ascii="Arial"/>
                <w:sz w:val="21"/>
              </w:rPr>
            </w:pPr>
          </w:p>
          <w:p>
            <w:pPr>
              <w:spacing w:line="311" w:lineRule="auto"/>
              <w:rPr>
                <w:rFonts w:ascii="Arial"/>
                <w:sz w:val="21"/>
              </w:rPr>
            </w:pPr>
          </w:p>
          <w:p>
            <w:pPr>
              <w:spacing w:line="311" w:lineRule="auto"/>
              <w:rPr>
                <w:rFonts w:ascii="Arial"/>
                <w:sz w:val="21"/>
              </w:rPr>
            </w:pPr>
          </w:p>
          <w:p>
            <w:pPr>
              <w:spacing w:before="66" w:line="288" w:lineRule="auto"/>
              <w:ind w:left="115" w:right="259" w:firstLine="26"/>
              <w:rPr>
                <w:rFonts w:ascii="华文仿宋" w:hAnsi="华文仿宋" w:eastAsia="华文仿宋" w:cs="华文仿宋"/>
                <w:sz w:val="18"/>
                <w:szCs w:val="18"/>
              </w:rPr>
            </w:pPr>
            <w:r>
              <w:rPr>
                <w:rFonts w:ascii="华文仿宋" w:hAnsi="华文仿宋" w:eastAsia="华文仿宋" w:cs="华文仿宋"/>
                <w:spacing w:val="-4"/>
                <w:sz w:val="18"/>
                <w:szCs w:val="18"/>
              </w:rPr>
              <w:t>中长期规划符合全部评价要点得2分，每一项</w:t>
            </w:r>
            <w:r>
              <w:rPr>
                <w:rFonts w:ascii="华文仿宋" w:hAnsi="华文仿宋" w:eastAsia="华文仿宋" w:cs="华文仿宋"/>
                <w:spacing w:val="-3"/>
                <w:sz w:val="18"/>
                <w:szCs w:val="18"/>
              </w:rPr>
              <w:t>不符合扣1分,扣完为</w:t>
            </w:r>
            <w:r>
              <w:rPr>
                <w:rFonts w:ascii="华文仿宋" w:hAnsi="华文仿宋" w:eastAsia="华文仿宋" w:cs="华文仿宋"/>
                <w:spacing w:val="-5"/>
                <w:sz w:val="18"/>
                <w:szCs w:val="18"/>
              </w:rPr>
              <w:t>止。</w:t>
            </w:r>
          </w:p>
        </w:tc>
        <w:tc>
          <w:tcPr>
            <w:tcW w:w="4007" w:type="dxa"/>
            <w:vAlign w:val="top"/>
          </w:tcPr>
          <w:p>
            <w:pPr>
              <w:spacing w:line="466" w:lineRule="auto"/>
              <w:rPr>
                <w:rFonts w:ascii="Arial"/>
                <w:sz w:val="21"/>
              </w:rPr>
            </w:pPr>
          </w:p>
          <w:p>
            <w:pPr>
              <w:spacing w:before="66" w:line="201" w:lineRule="auto"/>
              <w:ind w:left="116"/>
              <w:rPr>
                <w:rFonts w:ascii="华文仿宋" w:hAnsi="华文仿宋" w:eastAsia="华文仿宋" w:cs="华文仿宋"/>
                <w:sz w:val="18"/>
                <w:szCs w:val="18"/>
              </w:rPr>
            </w:pPr>
            <w:r>
              <w:rPr>
                <w:rFonts w:ascii="华文仿宋" w:hAnsi="华文仿宋" w:eastAsia="华文仿宋" w:cs="华文仿宋"/>
                <w:spacing w:val="-3"/>
                <w:sz w:val="18"/>
                <w:szCs w:val="18"/>
              </w:rPr>
              <w:t>根据区民政局提供的项目资料，并结合现场调</w:t>
            </w:r>
          </w:p>
          <w:p>
            <w:pPr>
              <w:spacing w:before="89" w:line="204" w:lineRule="auto"/>
              <w:ind w:left="116"/>
              <w:rPr>
                <w:rFonts w:ascii="华文仿宋" w:hAnsi="华文仿宋" w:eastAsia="华文仿宋" w:cs="华文仿宋"/>
                <w:sz w:val="18"/>
                <w:szCs w:val="18"/>
              </w:rPr>
            </w:pPr>
            <w:r>
              <w:rPr>
                <w:rFonts w:ascii="华文仿宋" w:hAnsi="华文仿宋" w:eastAsia="华文仿宋" w:cs="华文仿宋"/>
                <w:spacing w:val="-4"/>
                <w:sz w:val="18"/>
                <w:szCs w:val="18"/>
              </w:rPr>
              <w:t>研，区民政局在2025年度编制了部门“十四</w:t>
            </w:r>
          </w:p>
          <w:p>
            <w:pPr>
              <w:spacing w:before="90" w:line="288" w:lineRule="auto"/>
              <w:ind w:left="114" w:right="114" w:firstLine="8"/>
              <w:rPr>
                <w:rFonts w:ascii="华文仿宋" w:hAnsi="华文仿宋" w:eastAsia="华文仿宋" w:cs="华文仿宋"/>
                <w:sz w:val="18"/>
                <w:szCs w:val="18"/>
              </w:rPr>
            </w:pPr>
            <w:r>
              <w:rPr>
                <w:rFonts w:ascii="华文仿宋" w:hAnsi="华文仿宋" w:eastAsia="华文仿宋" w:cs="华文仿宋"/>
                <w:spacing w:val="-5"/>
                <w:sz w:val="18"/>
                <w:szCs w:val="18"/>
              </w:rPr>
              <w:t>五”中长期发展规划，截至评价期间，但部门单</w:t>
            </w:r>
            <w:r>
              <w:rPr>
                <w:rFonts w:ascii="华文仿宋" w:hAnsi="华文仿宋" w:eastAsia="华文仿宋" w:cs="华文仿宋"/>
                <w:spacing w:val="-2"/>
                <w:sz w:val="18"/>
                <w:szCs w:val="18"/>
              </w:rPr>
              <w:t>位提供的中长期发展规划材料不完整，区民政局总体目标中，对中长期规划的实施内容及时间安</w:t>
            </w:r>
            <w:r>
              <w:rPr>
                <w:rFonts w:ascii="华文仿宋" w:hAnsi="华文仿宋" w:eastAsia="华文仿宋" w:cs="华文仿宋"/>
                <w:spacing w:val="-5"/>
                <w:sz w:val="18"/>
                <w:szCs w:val="18"/>
              </w:rPr>
              <w:t>排上，未做具体描述，依据评价标准，该指</w:t>
            </w:r>
            <w:r>
              <w:rPr>
                <w:rFonts w:ascii="华文仿宋" w:hAnsi="华文仿宋" w:eastAsia="华文仿宋" w:cs="华文仿宋"/>
                <w:spacing w:val="-6"/>
                <w:sz w:val="18"/>
                <w:szCs w:val="18"/>
              </w:rPr>
              <w:t>标扣1分。</w:t>
            </w:r>
          </w:p>
        </w:tc>
        <w:tc>
          <w:tcPr>
            <w:tcW w:w="684" w:type="dxa"/>
            <w:vAlign w:val="top"/>
          </w:tcPr>
          <w:p>
            <w:pPr>
              <w:spacing w:line="284" w:lineRule="auto"/>
              <w:rPr>
                <w:rFonts w:ascii="Arial"/>
                <w:sz w:val="21"/>
              </w:rPr>
            </w:pPr>
          </w:p>
          <w:p>
            <w:pPr>
              <w:spacing w:line="284" w:lineRule="auto"/>
              <w:rPr>
                <w:rFonts w:ascii="Arial"/>
                <w:sz w:val="21"/>
              </w:rPr>
            </w:pPr>
          </w:p>
          <w:p>
            <w:pPr>
              <w:spacing w:line="285" w:lineRule="auto"/>
              <w:rPr>
                <w:rFonts w:ascii="Arial"/>
                <w:sz w:val="21"/>
              </w:rPr>
            </w:pPr>
          </w:p>
          <w:p>
            <w:pPr>
              <w:spacing w:line="285" w:lineRule="auto"/>
              <w:rPr>
                <w:rFonts w:ascii="Arial"/>
                <w:sz w:val="21"/>
              </w:rPr>
            </w:pPr>
          </w:p>
          <w:p>
            <w:pPr>
              <w:spacing w:line="285" w:lineRule="auto"/>
              <w:rPr>
                <w:rFonts w:ascii="Arial"/>
                <w:sz w:val="21"/>
              </w:rPr>
            </w:pPr>
          </w:p>
          <w:p>
            <w:pPr>
              <w:spacing w:before="65" w:line="177" w:lineRule="auto"/>
              <w:ind w:left="313"/>
              <w:rPr>
                <w:rFonts w:ascii="华文仿宋" w:hAnsi="华文仿宋" w:eastAsia="华文仿宋" w:cs="华文仿宋"/>
                <w:sz w:val="18"/>
                <w:szCs w:val="18"/>
              </w:rPr>
            </w:pPr>
            <w:r>
              <w:rPr>
                <w:rFonts w:ascii="华文仿宋" w:hAnsi="华文仿宋" w:eastAsia="华文仿宋" w:cs="华文仿宋"/>
                <w:sz w:val="18"/>
                <w:szCs w:val="18"/>
              </w:rPr>
              <w:t>1</w:t>
            </w:r>
          </w:p>
        </w:tc>
        <w:tc>
          <w:tcPr>
            <w:tcW w:w="832" w:type="dxa"/>
            <w:vAlign w:val="top"/>
          </w:tcPr>
          <w:p>
            <w:pPr>
              <w:spacing w:line="284" w:lineRule="auto"/>
              <w:rPr>
                <w:rFonts w:ascii="Arial"/>
                <w:sz w:val="21"/>
              </w:rPr>
            </w:pPr>
          </w:p>
          <w:p>
            <w:pPr>
              <w:spacing w:line="284" w:lineRule="auto"/>
              <w:rPr>
                <w:rFonts w:ascii="Arial"/>
                <w:sz w:val="21"/>
              </w:rPr>
            </w:pPr>
          </w:p>
          <w:p>
            <w:pPr>
              <w:spacing w:line="284" w:lineRule="auto"/>
              <w:rPr>
                <w:rFonts w:ascii="Arial"/>
                <w:sz w:val="21"/>
              </w:rPr>
            </w:pPr>
          </w:p>
          <w:p>
            <w:pPr>
              <w:spacing w:line="285" w:lineRule="auto"/>
              <w:rPr>
                <w:rFonts w:ascii="Arial"/>
                <w:sz w:val="21"/>
              </w:rPr>
            </w:pPr>
          </w:p>
          <w:p>
            <w:pPr>
              <w:spacing w:line="285" w:lineRule="auto"/>
              <w:rPr>
                <w:rFonts w:ascii="Arial"/>
                <w:sz w:val="21"/>
              </w:rPr>
            </w:pPr>
          </w:p>
          <w:p>
            <w:pPr>
              <w:spacing w:before="65" w:line="178" w:lineRule="auto"/>
              <w:ind w:left="265"/>
              <w:rPr>
                <w:rFonts w:ascii="华文仿宋" w:hAnsi="华文仿宋" w:eastAsia="华文仿宋" w:cs="华文仿宋"/>
                <w:sz w:val="18"/>
                <w:szCs w:val="18"/>
              </w:rPr>
            </w:pPr>
            <w:r>
              <w:rPr>
                <w:rFonts w:ascii="华文仿宋" w:hAnsi="华文仿宋" w:eastAsia="华文仿宋" w:cs="华文仿宋"/>
                <w:spacing w:val="-4"/>
                <w:sz w:val="18"/>
                <w:szCs w:val="18"/>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25" w:hRule="atLeast"/>
        </w:trPr>
        <w:tc>
          <w:tcPr>
            <w:tcW w:w="1091" w:type="dxa"/>
            <w:vMerge w:val="continue"/>
            <w:tcBorders>
              <w:top w:val="nil"/>
            </w:tcBorders>
            <w:vAlign w:val="top"/>
          </w:tcPr>
          <w:p>
            <w:pPr>
              <w:rPr>
                <w:rFonts w:ascii="Arial"/>
                <w:sz w:val="21"/>
              </w:rPr>
            </w:pPr>
          </w:p>
        </w:tc>
        <w:tc>
          <w:tcPr>
            <w:tcW w:w="999" w:type="dxa"/>
            <w:vMerge w:val="continue"/>
            <w:tcBorders>
              <w:top w:val="nil"/>
            </w:tcBorders>
            <w:vAlign w:val="top"/>
          </w:tcPr>
          <w:p>
            <w:pPr>
              <w:rPr>
                <w:rFonts w:ascii="Arial"/>
                <w:sz w:val="21"/>
              </w:rPr>
            </w:pPr>
          </w:p>
        </w:tc>
        <w:tc>
          <w:tcPr>
            <w:tcW w:w="1167" w:type="dxa"/>
            <w:vAlign w:val="top"/>
          </w:tcPr>
          <w:p>
            <w:pPr>
              <w:spacing w:line="272" w:lineRule="auto"/>
              <w:rPr>
                <w:rFonts w:ascii="Arial"/>
                <w:sz w:val="21"/>
              </w:rPr>
            </w:pPr>
          </w:p>
          <w:p>
            <w:pPr>
              <w:spacing w:line="272" w:lineRule="auto"/>
              <w:rPr>
                <w:rFonts w:ascii="Arial"/>
                <w:sz w:val="21"/>
              </w:rPr>
            </w:pPr>
          </w:p>
          <w:p>
            <w:pPr>
              <w:spacing w:line="273" w:lineRule="auto"/>
              <w:rPr>
                <w:rFonts w:ascii="Arial"/>
                <w:sz w:val="21"/>
              </w:rPr>
            </w:pPr>
          </w:p>
          <w:p>
            <w:pPr>
              <w:spacing w:line="273" w:lineRule="auto"/>
              <w:rPr>
                <w:rFonts w:ascii="Arial"/>
                <w:sz w:val="21"/>
              </w:rPr>
            </w:pPr>
          </w:p>
          <w:p>
            <w:pPr>
              <w:spacing w:before="65" w:line="202" w:lineRule="auto"/>
              <w:ind w:left="139"/>
              <w:rPr>
                <w:rFonts w:ascii="华文仿宋" w:hAnsi="华文仿宋" w:eastAsia="华文仿宋" w:cs="华文仿宋"/>
                <w:sz w:val="18"/>
                <w:szCs w:val="18"/>
              </w:rPr>
            </w:pPr>
            <w:r>
              <w:rPr>
                <w:rFonts w:ascii="华文仿宋" w:hAnsi="华文仿宋" w:eastAsia="华文仿宋" w:cs="华文仿宋"/>
                <w:spacing w:val="-3"/>
                <w:sz w:val="18"/>
                <w:szCs w:val="18"/>
              </w:rPr>
              <w:t>年度工作计</w:t>
            </w:r>
          </w:p>
          <w:p>
            <w:pPr>
              <w:spacing w:before="94" w:line="199" w:lineRule="auto"/>
              <w:ind w:left="149"/>
              <w:rPr>
                <w:rFonts w:ascii="华文仿宋" w:hAnsi="华文仿宋" w:eastAsia="华文仿宋" w:cs="华文仿宋"/>
                <w:sz w:val="18"/>
                <w:szCs w:val="18"/>
              </w:rPr>
            </w:pPr>
            <w:r>
              <w:rPr>
                <w:rFonts w:ascii="华文仿宋" w:hAnsi="华文仿宋" w:eastAsia="华文仿宋" w:cs="华文仿宋"/>
                <w:spacing w:val="-5"/>
                <w:sz w:val="18"/>
                <w:szCs w:val="18"/>
              </w:rPr>
              <w:t>划科学完整</w:t>
            </w:r>
          </w:p>
          <w:p>
            <w:pPr>
              <w:spacing w:before="93" w:line="200" w:lineRule="auto"/>
              <w:ind w:left="506"/>
              <w:rPr>
                <w:rFonts w:ascii="华文仿宋" w:hAnsi="华文仿宋" w:eastAsia="华文仿宋" w:cs="华文仿宋"/>
                <w:sz w:val="18"/>
                <w:szCs w:val="18"/>
              </w:rPr>
            </w:pPr>
            <w:r>
              <w:rPr>
                <w:rFonts w:ascii="华文仿宋" w:hAnsi="华文仿宋" w:eastAsia="华文仿宋" w:cs="华文仿宋"/>
                <w:sz w:val="18"/>
                <w:szCs w:val="18"/>
              </w:rPr>
              <w:t>性</w:t>
            </w:r>
          </w:p>
        </w:tc>
        <w:tc>
          <w:tcPr>
            <w:tcW w:w="665" w:type="dxa"/>
            <w:vAlign w:val="top"/>
          </w:tcPr>
          <w:p>
            <w:pPr>
              <w:spacing w:line="285" w:lineRule="auto"/>
              <w:rPr>
                <w:rFonts w:ascii="Arial"/>
                <w:sz w:val="21"/>
              </w:rPr>
            </w:pPr>
          </w:p>
          <w:p>
            <w:pPr>
              <w:spacing w:line="285" w:lineRule="auto"/>
              <w:rPr>
                <w:rFonts w:ascii="Arial"/>
                <w:sz w:val="21"/>
              </w:rPr>
            </w:pPr>
          </w:p>
          <w:p>
            <w:pPr>
              <w:spacing w:line="285" w:lineRule="auto"/>
              <w:rPr>
                <w:rFonts w:ascii="Arial"/>
                <w:sz w:val="21"/>
              </w:rPr>
            </w:pPr>
          </w:p>
          <w:p>
            <w:pPr>
              <w:spacing w:line="286" w:lineRule="auto"/>
              <w:rPr>
                <w:rFonts w:ascii="Arial"/>
                <w:sz w:val="21"/>
              </w:rPr>
            </w:pPr>
          </w:p>
          <w:p>
            <w:pPr>
              <w:spacing w:line="286" w:lineRule="auto"/>
              <w:rPr>
                <w:rFonts w:ascii="Arial"/>
                <w:sz w:val="21"/>
              </w:rPr>
            </w:pPr>
          </w:p>
          <w:p>
            <w:pPr>
              <w:spacing w:before="65" w:line="177" w:lineRule="auto"/>
              <w:ind w:left="295"/>
              <w:rPr>
                <w:rFonts w:ascii="华文仿宋" w:hAnsi="华文仿宋" w:eastAsia="华文仿宋" w:cs="华文仿宋"/>
                <w:sz w:val="18"/>
                <w:szCs w:val="18"/>
              </w:rPr>
            </w:pPr>
            <w:r>
              <w:rPr>
                <w:rFonts w:ascii="华文仿宋" w:hAnsi="华文仿宋" w:eastAsia="华文仿宋" w:cs="华文仿宋"/>
                <w:sz w:val="18"/>
                <w:szCs w:val="18"/>
              </w:rPr>
              <w:t>3</w:t>
            </w:r>
          </w:p>
        </w:tc>
        <w:tc>
          <w:tcPr>
            <w:tcW w:w="3011" w:type="dxa"/>
            <w:vAlign w:val="top"/>
          </w:tcPr>
          <w:p>
            <w:pPr>
              <w:spacing w:before="69" w:line="286" w:lineRule="auto"/>
              <w:ind w:left="116" w:right="202" w:hanging="2"/>
              <w:rPr>
                <w:rFonts w:ascii="华文仿宋" w:hAnsi="华文仿宋" w:eastAsia="华文仿宋" w:cs="华文仿宋"/>
                <w:sz w:val="18"/>
                <w:szCs w:val="18"/>
              </w:rPr>
            </w:pPr>
            <w:r>
              <w:rPr>
                <w:rFonts w:ascii="华文仿宋" w:hAnsi="华文仿宋" w:eastAsia="华文仿宋" w:cs="华文仿宋"/>
                <w:spacing w:val="-2"/>
                <w:sz w:val="18"/>
                <w:szCs w:val="18"/>
              </w:rPr>
              <w:t>反映部门年度工作计划的科学性、</w:t>
            </w:r>
            <w:r>
              <w:rPr>
                <w:rFonts w:ascii="华文仿宋" w:hAnsi="华文仿宋" w:eastAsia="华文仿宋" w:cs="华文仿宋"/>
                <w:spacing w:val="-3"/>
                <w:sz w:val="18"/>
                <w:szCs w:val="18"/>
              </w:rPr>
              <w:t>明确完整性，与本部门规划及上级</w:t>
            </w:r>
            <w:r>
              <w:rPr>
                <w:rFonts w:ascii="华文仿宋" w:hAnsi="华文仿宋" w:eastAsia="华文仿宋" w:cs="华文仿宋"/>
                <w:spacing w:val="-2"/>
                <w:sz w:val="18"/>
                <w:szCs w:val="18"/>
              </w:rPr>
              <w:t>部门的适应性。</w:t>
            </w:r>
          </w:p>
          <w:p>
            <w:pPr>
              <w:spacing w:before="1" w:line="285" w:lineRule="auto"/>
              <w:ind w:left="124" w:right="437" w:hanging="7"/>
              <w:rPr>
                <w:rFonts w:ascii="华文仿宋" w:hAnsi="华文仿宋" w:eastAsia="华文仿宋" w:cs="华文仿宋"/>
                <w:sz w:val="18"/>
                <w:szCs w:val="18"/>
              </w:rPr>
            </w:pPr>
            <w:r>
              <w:rPr>
                <w:rFonts w:ascii="华文仿宋" w:hAnsi="华文仿宋" w:eastAsia="华文仿宋" w:cs="华文仿宋"/>
                <w:spacing w:val="-1"/>
                <w:sz w:val="18"/>
                <w:szCs w:val="18"/>
              </w:rPr>
              <w:t>1.是否制定了明确的年度工作计</w:t>
            </w:r>
            <w:r>
              <w:rPr>
                <w:rFonts w:ascii="华文仿宋" w:hAnsi="华文仿宋" w:eastAsia="华文仿宋" w:cs="华文仿宋"/>
                <w:spacing w:val="-11"/>
                <w:sz w:val="18"/>
                <w:szCs w:val="18"/>
              </w:rPr>
              <w:t>划；</w:t>
            </w:r>
          </w:p>
          <w:p>
            <w:pPr>
              <w:spacing w:before="2" w:line="285" w:lineRule="auto"/>
              <w:ind w:left="110" w:right="202" w:hanging="3"/>
              <w:rPr>
                <w:rFonts w:ascii="华文仿宋" w:hAnsi="华文仿宋" w:eastAsia="华文仿宋" w:cs="华文仿宋"/>
                <w:sz w:val="18"/>
                <w:szCs w:val="18"/>
              </w:rPr>
            </w:pPr>
            <w:r>
              <w:rPr>
                <w:rFonts w:ascii="华文仿宋" w:hAnsi="华文仿宋" w:eastAsia="华文仿宋" w:cs="华文仿宋"/>
                <w:spacing w:val="-1"/>
                <w:sz w:val="18"/>
                <w:szCs w:val="18"/>
              </w:rPr>
              <w:t>2.年度工作计划是否包含明确的总</w:t>
            </w:r>
            <w:r>
              <w:rPr>
                <w:rFonts w:ascii="华文仿宋" w:hAnsi="华文仿宋" w:eastAsia="华文仿宋" w:cs="华文仿宋"/>
                <w:spacing w:val="-3"/>
                <w:sz w:val="18"/>
                <w:szCs w:val="18"/>
              </w:rPr>
              <w:t>体目标、计划实施内容、责任主体</w:t>
            </w:r>
            <w:r>
              <w:rPr>
                <w:rFonts w:ascii="华文仿宋" w:hAnsi="华文仿宋" w:eastAsia="华文仿宋" w:cs="华文仿宋"/>
                <w:spacing w:val="-2"/>
                <w:sz w:val="18"/>
                <w:szCs w:val="18"/>
              </w:rPr>
              <w:t>相关内容；</w:t>
            </w:r>
          </w:p>
          <w:p>
            <w:pPr>
              <w:spacing w:line="251" w:lineRule="auto"/>
              <w:ind w:left="114" w:right="257" w:hanging="2"/>
              <w:rPr>
                <w:rFonts w:ascii="华文仿宋" w:hAnsi="华文仿宋" w:eastAsia="华文仿宋" w:cs="华文仿宋"/>
                <w:sz w:val="18"/>
                <w:szCs w:val="18"/>
              </w:rPr>
            </w:pPr>
            <w:r>
              <w:rPr>
                <w:rFonts w:ascii="华文仿宋" w:hAnsi="华文仿宋" w:eastAsia="华文仿宋" w:cs="华文仿宋"/>
                <w:spacing w:val="-1"/>
                <w:sz w:val="18"/>
                <w:szCs w:val="18"/>
              </w:rPr>
              <w:t>3.年度工作计划是否针对部门全部职能的履行进行了计划安排。</w:t>
            </w:r>
          </w:p>
        </w:tc>
        <w:tc>
          <w:tcPr>
            <w:tcW w:w="918" w:type="dxa"/>
            <w:vAlign w:val="top"/>
          </w:tcPr>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before="65" w:line="292" w:lineRule="auto"/>
              <w:ind w:left="379" w:right="186" w:hanging="184"/>
              <w:rPr>
                <w:rFonts w:ascii="华文仿宋" w:hAnsi="华文仿宋" w:eastAsia="华文仿宋" w:cs="华文仿宋"/>
                <w:sz w:val="18"/>
                <w:szCs w:val="18"/>
              </w:rPr>
            </w:pPr>
            <w:r>
              <w:rPr>
                <w:rFonts w:ascii="华文仿宋" w:hAnsi="华文仿宋" w:eastAsia="华文仿宋" w:cs="华文仿宋"/>
                <w:spacing w:val="-4"/>
                <w:sz w:val="18"/>
                <w:szCs w:val="18"/>
              </w:rPr>
              <w:t>科学完</w:t>
            </w:r>
            <w:r>
              <w:rPr>
                <w:rFonts w:ascii="华文仿宋" w:hAnsi="华文仿宋" w:eastAsia="华文仿宋" w:cs="华文仿宋"/>
                <w:sz w:val="18"/>
                <w:szCs w:val="18"/>
              </w:rPr>
              <w:t>整</w:t>
            </w:r>
          </w:p>
        </w:tc>
        <w:tc>
          <w:tcPr>
            <w:tcW w:w="2171" w:type="dxa"/>
            <w:vAlign w:val="top"/>
          </w:tcPr>
          <w:p>
            <w:pPr>
              <w:spacing w:line="272"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before="66" w:line="290" w:lineRule="auto"/>
              <w:ind w:left="113" w:right="259" w:firstLine="3"/>
              <w:jc w:val="both"/>
              <w:rPr>
                <w:rFonts w:ascii="华文仿宋" w:hAnsi="华文仿宋" w:eastAsia="华文仿宋" w:cs="华文仿宋"/>
                <w:sz w:val="18"/>
                <w:szCs w:val="18"/>
              </w:rPr>
            </w:pPr>
            <w:r>
              <w:rPr>
                <w:rFonts w:ascii="华文仿宋" w:hAnsi="华文仿宋" w:eastAsia="华文仿宋" w:cs="华文仿宋"/>
                <w:spacing w:val="-2"/>
                <w:sz w:val="18"/>
                <w:szCs w:val="18"/>
              </w:rPr>
              <w:t>年度工作计划符合全部</w:t>
            </w:r>
            <w:r>
              <w:rPr>
                <w:rFonts w:ascii="华文仿宋" w:hAnsi="华文仿宋" w:eastAsia="华文仿宋" w:cs="华文仿宋"/>
                <w:spacing w:val="-5"/>
                <w:sz w:val="18"/>
                <w:szCs w:val="18"/>
              </w:rPr>
              <w:t>评价要点得3分，每一</w:t>
            </w:r>
            <w:r>
              <w:rPr>
                <w:rFonts w:ascii="华文仿宋" w:hAnsi="华文仿宋" w:eastAsia="华文仿宋" w:cs="华文仿宋"/>
                <w:spacing w:val="-3"/>
                <w:sz w:val="18"/>
                <w:szCs w:val="18"/>
              </w:rPr>
              <w:t>项不符合扣1分。</w:t>
            </w:r>
          </w:p>
        </w:tc>
        <w:tc>
          <w:tcPr>
            <w:tcW w:w="4007" w:type="dxa"/>
            <w:vAlign w:val="top"/>
          </w:tcPr>
          <w:p>
            <w:pPr>
              <w:spacing w:before="68" w:line="279" w:lineRule="auto"/>
              <w:ind w:left="114" w:right="114" w:firstLine="2"/>
              <w:jc w:val="both"/>
              <w:rPr>
                <w:rFonts w:ascii="华文仿宋" w:hAnsi="华文仿宋" w:eastAsia="华文仿宋" w:cs="华文仿宋"/>
                <w:sz w:val="18"/>
                <w:szCs w:val="18"/>
              </w:rPr>
            </w:pPr>
            <w:r>
              <w:rPr>
                <w:rFonts w:ascii="华文仿宋" w:hAnsi="华文仿宋" w:eastAsia="华文仿宋" w:cs="华文仿宋"/>
                <w:spacing w:val="-2"/>
                <w:sz w:val="18"/>
                <w:szCs w:val="18"/>
              </w:rPr>
              <w:t>根据区民政局提供的区民政局重点工作计划</w:t>
            </w:r>
            <w:r>
              <w:rPr>
                <w:rFonts w:ascii="华文仿宋" w:hAnsi="华文仿宋" w:eastAsia="华文仿宋" w:cs="华文仿宋"/>
                <w:spacing w:val="-3"/>
                <w:sz w:val="18"/>
                <w:szCs w:val="18"/>
              </w:rPr>
              <w:t>，其</w:t>
            </w:r>
            <w:r>
              <w:rPr>
                <w:rFonts w:ascii="华文仿宋" w:hAnsi="华文仿宋" w:eastAsia="华文仿宋" w:cs="华文仿宋"/>
                <w:spacing w:val="-2"/>
                <w:sz w:val="18"/>
                <w:szCs w:val="18"/>
              </w:rPr>
              <w:t>年度工作计划设置的总体目标是“完成低保金发</w:t>
            </w:r>
            <w:r>
              <w:rPr>
                <w:rFonts w:ascii="华文仿宋" w:hAnsi="华文仿宋" w:eastAsia="华文仿宋" w:cs="华文仿宋"/>
                <w:spacing w:val="-4"/>
                <w:sz w:val="18"/>
                <w:szCs w:val="18"/>
              </w:rPr>
              <w:t>放，发放残疾人两项补贴，发放老年人补贴等，</w:t>
            </w:r>
            <w:r>
              <w:rPr>
                <w:rFonts w:ascii="华文仿宋" w:hAnsi="华文仿宋" w:eastAsia="华文仿宋" w:cs="华文仿宋"/>
                <w:spacing w:val="-2"/>
                <w:sz w:val="18"/>
                <w:szCs w:val="18"/>
              </w:rPr>
              <w:t>保障各类群众基本生活。”，且计划内明确了全年实施内容及责任主体，全年工作计划主要内容为开展家庭经济老年人能力评估工作、实施</w:t>
            </w:r>
            <w:r>
              <w:rPr>
                <w:rFonts w:ascii="华文仿宋" w:hAnsi="华文仿宋" w:eastAsia="华文仿宋" w:cs="华文仿宋"/>
                <w:spacing w:val="-4"/>
                <w:sz w:val="18"/>
                <w:szCs w:val="18"/>
              </w:rPr>
              <w:t>老年人家庭养老床位及居家服务项目、特殊</w:t>
            </w:r>
            <w:r>
              <w:rPr>
                <w:rFonts w:ascii="华文仿宋" w:hAnsi="华文仿宋" w:eastAsia="华文仿宋" w:cs="华文仿宋"/>
                <w:spacing w:val="-3"/>
                <w:sz w:val="18"/>
                <w:szCs w:val="18"/>
              </w:rPr>
              <w:t>老年人探访关爱服务、失地人员、城市化转移安置搬迁工作等，与区民政局部门职能相符。依据评价标准，该指标得3分。</w:t>
            </w:r>
          </w:p>
        </w:tc>
        <w:tc>
          <w:tcPr>
            <w:tcW w:w="684" w:type="dxa"/>
            <w:vAlign w:val="top"/>
          </w:tcPr>
          <w:p>
            <w:pPr>
              <w:spacing w:line="285" w:lineRule="auto"/>
              <w:rPr>
                <w:rFonts w:ascii="Arial"/>
                <w:sz w:val="21"/>
              </w:rPr>
            </w:pPr>
          </w:p>
          <w:p>
            <w:pPr>
              <w:spacing w:line="285" w:lineRule="auto"/>
              <w:rPr>
                <w:rFonts w:ascii="Arial"/>
                <w:sz w:val="21"/>
              </w:rPr>
            </w:pPr>
          </w:p>
          <w:p>
            <w:pPr>
              <w:spacing w:line="285" w:lineRule="auto"/>
              <w:rPr>
                <w:rFonts w:ascii="Arial"/>
                <w:sz w:val="21"/>
              </w:rPr>
            </w:pPr>
          </w:p>
          <w:p>
            <w:pPr>
              <w:spacing w:line="286" w:lineRule="auto"/>
              <w:rPr>
                <w:rFonts w:ascii="Arial"/>
                <w:sz w:val="21"/>
              </w:rPr>
            </w:pPr>
          </w:p>
          <w:p>
            <w:pPr>
              <w:spacing w:line="286" w:lineRule="auto"/>
              <w:rPr>
                <w:rFonts w:ascii="Arial"/>
                <w:sz w:val="21"/>
              </w:rPr>
            </w:pPr>
          </w:p>
          <w:p>
            <w:pPr>
              <w:spacing w:before="65" w:line="177" w:lineRule="auto"/>
              <w:ind w:left="308"/>
              <w:rPr>
                <w:rFonts w:ascii="华文仿宋" w:hAnsi="华文仿宋" w:eastAsia="华文仿宋" w:cs="华文仿宋"/>
                <w:sz w:val="18"/>
                <w:szCs w:val="18"/>
              </w:rPr>
            </w:pPr>
            <w:r>
              <w:rPr>
                <w:rFonts w:ascii="华文仿宋" w:hAnsi="华文仿宋" w:eastAsia="华文仿宋" w:cs="华文仿宋"/>
                <w:sz w:val="18"/>
                <w:szCs w:val="18"/>
              </w:rPr>
              <w:t>3</w:t>
            </w:r>
          </w:p>
        </w:tc>
        <w:tc>
          <w:tcPr>
            <w:tcW w:w="832" w:type="dxa"/>
            <w:vAlign w:val="top"/>
          </w:tcPr>
          <w:p>
            <w:pPr>
              <w:spacing w:line="285" w:lineRule="auto"/>
              <w:rPr>
                <w:rFonts w:ascii="Arial"/>
                <w:sz w:val="21"/>
              </w:rPr>
            </w:pPr>
          </w:p>
          <w:p>
            <w:pPr>
              <w:spacing w:line="285" w:lineRule="auto"/>
              <w:rPr>
                <w:rFonts w:ascii="Arial"/>
                <w:sz w:val="21"/>
              </w:rPr>
            </w:pPr>
          </w:p>
          <w:p>
            <w:pPr>
              <w:spacing w:line="285" w:lineRule="auto"/>
              <w:rPr>
                <w:rFonts w:ascii="Arial"/>
                <w:sz w:val="21"/>
              </w:rPr>
            </w:pPr>
          </w:p>
          <w:p>
            <w:pPr>
              <w:spacing w:line="286" w:lineRule="auto"/>
              <w:rPr>
                <w:rFonts w:ascii="Arial"/>
                <w:sz w:val="21"/>
              </w:rPr>
            </w:pPr>
          </w:p>
          <w:p>
            <w:pPr>
              <w:spacing w:line="286" w:lineRule="auto"/>
              <w:rPr>
                <w:rFonts w:ascii="Arial"/>
                <w:sz w:val="21"/>
              </w:rPr>
            </w:pPr>
          </w:p>
          <w:p>
            <w:pPr>
              <w:spacing w:before="65"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bl>
    <w:p>
      <w:pPr>
        <w:pStyle w:val="2"/>
      </w:pPr>
    </w:p>
    <w:p>
      <w:pPr>
        <w:sectPr>
          <w:footerReference r:id="rId9" w:type="default"/>
          <w:pgSz w:w="16839" w:h="11906"/>
          <w:pgMar w:top="1012" w:right="595" w:bottom="1575" w:left="692" w:header="0" w:footer="1287" w:gutter="0"/>
          <w:pgNumType w:fmt="decimal"/>
          <w:cols w:space="720" w:num="1"/>
        </w:sectPr>
      </w:pPr>
    </w:p>
    <w:p>
      <w:pPr>
        <w:spacing w:before="102" w:line="201" w:lineRule="auto"/>
        <w:ind w:left="140" w:firstLine="231" w:firstLineChars="100"/>
        <w:rPr>
          <w:rFonts w:hint="eastAsia" w:ascii="仿宋" w:hAnsi="仿宋" w:eastAsia="仿宋" w:cs="仿宋"/>
          <w:sz w:val="24"/>
          <w:szCs w:val="24"/>
        </w:rPr>
      </w:pPr>
      <w:r>
        <w:rPr>
          <w:rFonts w:hint="eastAsia" w:ascii="仿宋" w:hAnsi="仿宋" w:eastAsia="仿宋" w:cs="仿宋"/>
          <w:b/>
          <w:bCs/>
          <w:spacing w:val="-5"/>
          <w:sz w:val="24"/>
          <w:szCs w:val="24"/>
        </w:rPr>
        <w:t>附件一：部门整体绩效评价指标体系评分表</w:t>
      </w:r>
    </w:p>
    <w:p>
      <w:pPr>
        <w:spacing w:line="109" w:lineRule="exact"/>
      </w:pPr>
    </w:p>
    <w:tbl>
      <w:tblPr>
        <w:tblStyle w:val="7"/>
        <w:tblW w:w="155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999"/>
        <w:gridCol w:w="1167"/>
        <w:gridCol w:w="665"/>
        <w:gridCol w:w="3011"/>
        <w:gridCol w:w="918"/>
        <w:gridCol w:w="2171"/>
        <w:gridCol w:w="4007"/>
        <w:gridCol w:w="684"/>
        <w:gridCol w:w="8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6" w:hRule="atLeast"/>
        </w:trPr>
        <w:tc>
          <w:tcPr>
            <w:tcW w:w="1091" w:type="dxa"/>
            <w:vAlign w:val="top"/>
          </w:tcPr>
          <w:p>
            <w:pPr>
              <w:spacing w:before="112" w:line="199" w:lineRule="auto"/>
              <w:ind w:left="201"/>
              <w:rPr>
                <w:rFonts w:ascii="华文仿宋" w:hAnsi="华文仿宋" w:eastAsia="华文仿宋" w:cs="华文仿宋"/>
                <w:sz w:val="18"/>
                <w:szCs w:val="18"/>
              </w:rPr>
            </w:pPr>
            <w:r>
              <w:rPr>
                <w:rFonts w:ascii="华文仿宋" w:hAnsi="华文仿宋" w:eastAsia="华文仿宋" w:cs="华文仿宋"/>
                <w:b/>
                <w:bCs/>
                <w:spacing w:val="-7"/>
                <w:sz w:val="18"/>
                <w:szCs w:val="18"/>
              </w:rPr>
              <w:t>一级指标</w:t>
            </w:r>
          </w:p>
        </w:tc>
        <w:tc>
          <w:tcPr>
            <w:tcW w:w="999" w:type="dxa"/>
            <w:vAlign w:val="top"/>
          </w:tcPr>
          <w:p>
            <w:pPr>
              <w:spacing w:before="112" w:line="199" w:lineRule="auto"/>
              <w:ind w:left="152"/>
              <w:rPr>
                <w:rFonts w:ascii="华文仿宋" w:hAnsi="华文仿宋" w:eastAsia="华文仿宋" w:cs="华文仿宋"/>
                <w:sz w:val="18"/>
                <w:szCs w:val="18"/>
              </w:rPr>
            </w:pPr>
            <w:r>
              <w:rPr>
                <w:rFonts w:ascii="华文仿宋" w:hAnsi="华文仿宋" w:eastAsia="华文仿宋" w:cs="华文仿宋"/>
                <w:b/>
                <w:bCs/>
                <w:spacing w:val="-7"/>
                <w:sz w:val="18"/>
                <w:szCs w:val="18"/>
              </w:rPr>
              <w:t>二级指标</w:t>
            </w:r>
          </w:p>
        </w:tc>
        <w:tc>
          <w:tcPr>
            <w:tcW w:w="1167" w:type="dxa"/>
            <w:vAlign w:val="top"/>
          </w:tcPr>
          <w:p>
            <w:pPr>
              <w:spacing w:before="112" w:line="199" w:lineRule="auto"/>
              <w:ind w:left="241"/>
              <w:rPr>
                <w:rFonts w:ascii="华文仿宋" w:hAnsi="华文仿宋" w:eastAsia="华文仿宋" w:cs="华文仿宋"/>
                <w:sz w:val="18"/>
                <w:szCs w:val="18"/>
              </w:rPr>
            </w:pPr>
            <w:r>
              <w:rPr>
                <w:rFonts w:ascii="华文仿宋" w:hAnsi="华文仿宋" w:eastAsia="华文仿宋" w:cs="华文仿宋"/>
                <w:b/>
                <w:bCs/>
                <w:spacing w:val="-8"/>
                <w:sz w:val="18"/>
                <w:szCs w:val="18"/>
              </w:rPr>
              <w:t>三级指标</w:t>
            </w:r>
          </w:p>
        </w:tc>
        <w:tc>
          <w:tcPr>
            <w:tcW w:w="665" w:type="dxa"/>
            <w:vAlign w:val="top"/>
          </w:tcPr>
          <w:p>
            <w:pPr>
              <w:spacing w:before="113" w:line="198" w:lineRule="auto"/>
              <w:ind w:left="159"/>
              <w:rPr>
                <w:rFonts w:ascii="华文仿宋" w:hAnsi="华文仿宋" w:eastAsia="华文仿宋" w:cs="华文仿宋"/>
                <w:sz w:val="18"/>
                <w:szCs w:val="18"/>
              </w:rPr>
            </w:pPr>
            <w:r>
              <w:rPr>
                <w:rFonts w:ascii="华文仿宋" w:hAnsi="华文仿宋" w:eastAsia="华文仿宋" w:cs="华文仿宋"/>
                <w:b/>
                <w:bCs/>
                <w:spacing w:val="-7"/>
                <w:sz w:val="18"/>
                <w:szCs w:val="18"/>
              </w:rPr>
              <w:t>权重</w:t>
            </w:r>
          </w:p>
        </w:tc>
        <w:tc>
          <w:tcPr>
            <w:tcW w:w="3011" w:type="dxa"/>
            <w:vAlign w:val="top"/>
          </w:tcPr>
          <w:p>
            <w:pPr>
              <w:spacing w:before="112" w:line="199" w:lineRule="auto"/>
              <w:ind w:left="705"/>
              <w:rPr>
                <w:rFonts w:ascii="华文仿宋" w:hAnsi="华文仿宋" w:eastAsia="华文仿宋" w:cs="华文仿宋"/>
                <w:sz w:val="18"/>
                <w:szCs w:val="18"/>
              </w:rPr>
            </w:pPr>
            <w:r>
              <w:rPr>
                <w:rFonts w:ascii="华文仿宋" w:hAnsi="华文仿宋" w:eastAsia="华文仿宋" w:cs="华文仿宋"/>
                <w:b/>
                <w:bCs/>
                <w:spacing w:val="-4"/>
                <w:sz w:val="18"/>
                <w:szCs w:val="18"/>
              </w:rPr>
              <w:t>指标解释及评价要点</w:t>
            </w:r>
          </w:p>
        </w:tc>
        <w:tc>
          <w:tcPr>
            <w:tcW w:w="918" w:type="dxa"/>
            <w:vAlign w:val="top"/>
          </w:tcPr>
          <w:p>
            <w:pPr>
              <w:spacing w:before="112" w:line="199" w:lineRule="auto"/>
              <w:ind w:left="197"/>
              <w:rPr>
                <w:rFonts w:ascii="华文仿宋" w:hAnsi="华文仿宋" w:eastAsia="华文仿宋" w:cs="华文仿宋"/>
                <w:sz w:val="18"/>
                <w:szCs w:val="18"/>
              </w:rPr>
            </w:pPr>
            <w:r>
              <w:rPr>
                <w:rFonts w:ascii="华文仿宋" w:hAnsi="华文仿宋" w:eastAsia="华文仿宋" w:cs="华文仿宋"/>
                <w:b/>
                <w:bCs/>
                <w:spacing w:val="-6"/>
                <w:sz w:val="18"/>
                <w:szCs w:val="18"/>
              </w:rPr>
              <w:t>标杆值</w:t>
            </w:r>
          </w:p>
        </w:tc>
        <w:tc>
          <w:tcPr>
            <w:tcW w:w="2171" w:type="dxa"/>
            <w:vAlign w:val="top"/>
          </w:tcPr>
          <w:p>
            <w:pPr>
              <w:spacing w:before="112" w:line="199" w:lineRule="auto"/>
              <w:ind w:left="730"/>
              <w:rPr>
                <w:rFonts w:ascii="华文仿宋" w:hAnsi="华文仿宋" w:eastAsia="华文仿宋" w:cs="华文仿宋"/>
                <w:sz w:val="18"/>
                <w:szCs w:val="18"/>
              </w:rPr>
            </w:pPr>
            <w:r>
              <w:rPr>
                <w:rFonts w:ascii="华文仿宋" w:hAnsi="华文仿宋" w:eastAsia="华文仿宋" w:cs="华文仿宋"/>
                <w:b/>
                <w:bCs/>
                <w:spacing w:val="-4"/>
                <w:sz w:val="18"/>
                <w:szCs w:val="18"/>
              </w:rPr>
              <w:t>评价标准</w:t>
            </w:r>
          </w:p>
        </w:tc>
        <w:tc>
          <w:tcPr>
            <w:tcW w:w="4007" w:type="dxa"/>
            <w:vAlign w:val="top"/>
          </w:tcPr>
          <w:p>
            <w:pPr>
              <w:spacing w:before="113" w:line="198" w:lineRule="auto"/>
              <w:ind w:left="1648"/>
              <w:rPr>
                <w:rFonts w:ascii="华文仿宋" w:hAnsi="华文仿宋" w:eastAsia="华文仿宋" w:cs="华文仿宋"/>
                <w:sz w:val="18"/>
                <w:szCs w:val="18"/>
              </w:rPr>
            </w:pPr>
            <w:r>
              <w:rPr>
                <w:rFonts w:ascii="华文仿宋" w:hAnsi="华文仿宋" w:eastAsia="华文仿宋" w:cs="华文仿宋"/>
                <w:b/>
                <w:bCs/>
                <w:spacing w:val="-4"/>
                <w:sz w:val="18"/>
                <w:szCs w:val="18"/>
              </w:rPr>
              <w:t>评分过程</w:t>
            </w:r>
          </w:p>
        </w:tc>
        <w:tc>
          <w:tcPr>
            <w:tcW w:w="684" w:type="dxa"/>
            <w:vAlign w:val="top"/>
          </w:tcPr>
          <w:p>
            <w:pPr>
              <w:spacing w:before="114" w:line="197" w:lineRule="auto"/>
              <w:ind w:left="172"/>
              <w:rPr>
                <w:rFonts w:ascii="华文仿宋" w:hAnsi="华文仿宋" w:eastAsia="华文仿宋" w:cs="华文仿宋"/>
                <w:sz w:val="18"/>
                <w:szCs w:val="18"/>
              </w:rPr>
            </w:pPr>
            <w:r>
              <w:rPr>
                <w:rFonts w:ascii="华文仿宋" w:hAnsi="华文仿宋" w:eastAsia="华文仿宋" w:cs="华文仿宋"/>
                <w:b/>
                <w:bCs/>
                <w:spacing w:val="-8"/>
                <w:sz w:val="18"/>
                <w:szCs w:val="18"/>
              </w:rPr>
              <w:t>得分</w:t>
            </w:r>
          </w:p>
        </w:tc>
        <w:tc>
          <w:tcPr>
            <w:tcW w:w="832" w:type="dxa"/>
            <w:vAlign w:val="top"/>
          </w:tcPr>
          <w:p>
            <w:pPr>
              <w:spacing w:before="111" w:line="200" w:lineRule="auto"/>
              <w:ind w:left="152"/>
              <w:rPr>
                <w:rFonts w:ascii="华文仿宋" w:hAnsi="华文仿宋" w:eastAsia="华文仿宋" w:cs="华文仿宋"/>
                <w:sz w:val="18"/>
                <w:szCs w:val="18"/>
              </w:rPr>
            </w:pPr>
            <w:r>
              <w:rPr>
                <w:rFonts w:ascii="华文仿宋" w:hAnsi="华文仿宋" w:eastAsia="华文仿宋" w:cs="华文仿宋"/>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58" w:hRule="atLeast"/>
        </w:trPr>
        <w:tc>
          <w:tcPr>
            <w:tcW w:w="1091" w:type="dxa"/>
            <w:vMerge w:val="restart"/>
            <w:tcBorders>
              <w:bottom w:val="nil"/>
            </w:tcBorders>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65" w:line="290" w:lineRule="auto"/>
              <w:ind w:left="306" w:right="182" w:hanging="109"/>
              <w:rPr>
                <w:rFonts w:ascii="华文仿宋" w:hAnsi="华文仿宋" w:eastAsia="华文仿宋" w:cs="华文仿宋"/>
                <w:sz w:val="18"/>
                <w:szCs w:val="18"/>
              </w:rPr>
            </w:pPr>
            <w:r>
              <w:rPr>
                <w:rFonts w:ascii="华文仿宋" w:hAnsi="华文仿宋" w:eastAsia="华文仿宋" w:cs="华文仿宋"/>
                <w:spacing w:val="-4"/>
                <w:sz w:val="18"/>
                <w:szCs w:val="18"/>
              </w:rPr>
              <w:t>部门决策</w:t>
            </w:r>
            <w:r>
              <w:rPr>
                <w:rFonts w:ascii="华文仿宋" w:hAnsi="华文仿宋" w:eastAsia="华文仿宋" w:cs="华文仿宋"/>
                <w:spacing w:val="-7"/>
                <w:sz w:val="18"/>
                <w:szCs w:val="18"/>
              </w:rPr>
              <w:t>（15）</w:t>
            </w:r>
          </w:p>
        </w:tc>
        <w:tc>
          <w:tcPr>
            <w:tcW w:w="999" w:type="dxa"/>
            <w:vMerge w:val="restart"/>
            <w:tcBorders>
              <w:bottom w:val="nil"/>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5" w:line="200" w:lineRule="auto"/>
              <w:ind w:left="150"/>
              <w:rPr>
                <w:rFonts w:ascii="华文仿宋" w:hAnsi="华文仿宋" w:eastAsia="华文仿宋" w:cs="华文仿宋"/>
                <w:sz w:val="18"/>
                <w:szCs w:val="18"/>
              </w:rPr>
            </w:pPr>
            <w:r>
              <w:rPr>
                <w:rFonts w:ascii="华文仿宋" w:hAnsi="华文仿宋" w:eastAsia="华文仿宋" w:cs="华文仿宋"/>
                <w:spacing w:val="-5"/>
                <w:sz w:val="18"/>
                <w:szCs w:val="18"/>
              </w:rPr>
              <w:t>绩效目标</w:t>
            </w:r>
          </w:p>
          <w:p>
            <w:pPr>
              <w:spacing w:before="94" w:line="199" w:lineRule="auto"/>
              <w:ind w:left="328"/>
              <w:rPr>
                <w:rFonts w:ascii="华文仿宋" w:hAnsi="华文仿宋" w:eastAsia="华文仿宋" w:cs="华文仿宋"/>
                <w:sz w:val="18"/>
                <w:szCs w:val="18"/>
              </w:rPr>
            </w:pPr>
            <w:r>
              <w:rPr>
                <w:rFonts w:ascii="华文仿宋" w:hAnsi="华文仿宋" w:eastAsia="华文仿宋" w:cs="华文仿宋"/>
                <w:spacing w:val="-8"/>
                <w:sz w:val="18"/>
                <w:szCs w:val="18"/>
              </w:rPr>
              <w:t>管理</w:t>
            </w:r>
          </w:p>
          <w:p>
            <w:pPr>
              <w:spacing w:before="57" w:line="283" w:lineRule="exact"/>
              <w:ind w:left="300"/>
              <w:rPr>
                <w:rFonts w:ascii="华文仿宋" w:hAnsi="华文仿宋" w:eastAsia="华文仿宋" w:cs="华文仿宋"/>
                <w:sz w:val="18"/>
                <w:szCs w:val="18"/>
              </w:rPr>
            </w:pPr>
            <w:r>
              <w:rPr>
                <w:rFonts w:ascii="华文仿宋" w:hAnsi="华文仿宋" w:eastAsia="华文仿宋" w:cs="华文仿宋"/>
                <w:spacing w:val="-9"/>
                <w:position w:val="3"/>
                <w:sz w:val="18"/>
                <w:szCs w:val="18"/>
              </w:rPr>
              <w:t>（5）</w:t>
            </w:r>
          </w:p>
        </w:tc>
        <w:tc>
          <w:tcPr>
            <w:tcW w:w="1167"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before="66" w:line="294" w:lineRule="auto"/>
              <w:ind w:left="412" w:right="133" w:hanging="267"/>
              <w:rPr>
                <w:rFonts w:ascii="华文仿宋" w:hAnsi="华文仿宋" w:eastAsia="华文仿宋" w:cs="华文仿宋"/>
                <w:sz w:val="18"/>
                <w:szCs w:val="18"/>
              </w:rPr>
            </w:pPr>
            <w:r>
              <w:rPr>
                <w:rFonts w:ascii="华文仿宋" w:hAnsi="华文仿宋" w:eastAsia="华文仿宋" w:cs="华文仿宋"/>
                <w:spacing w:val="-4"/>
                <w:sz w:val="18"/>
                <w:szCs w:val="18"/>
              </w:rPr>
              <w:t>绩效目标合</w:t>
            </w:r>
            <w:r>
              <w:rPr>
                <w:rFonts w:ascii="华文仿宋" w:hAnsi="华文仿宋" w:eastAsia="华文仿宋" w:cs="华文仿宋"/>
                <w:spacing w:val="-7"/>
                <w:sz w:val="18"/>
                <w:szCs w:val="18"/>
              </w:rPr>
              <w:t>理性</w:t>
            </w:r>
          </w:p>
        </w:tc>
        <w:tc>
          <w:tcPr>
            <w:tcW w:w="665" w:type="dxa"/>
            <w:vAlign w:val="top"/>
          </w:tcPr>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before="65" w:line="177" w:lineRule="auto"/>
              <w:ind w:left="290"/>
              <w:rPr>
                <w:rFonts w:ascii="华文仿宋" w:hAnsi="华文仿宋" w:eastAsia="华文仿宋" w:cs="华文仿宋"/>
                <w:sz w:val="18"/>
                <w:szCs w:val="18"/>
              </w:rPr>
            </w:pPr>
            <w:r>
              <w:rPr>
                <w:rFonts w:ascii="华文仿宋" w:hAnsi="华文仿宋" w:eastAsia="华文仿宋" w:cs="华文仿宋"/>
                <w:sz w:val="18"/>
                <w:szCs w:val="18"/>
              </w:rPr>
              <w:t>2</w:t>
            </w:r>
          </w:p>
        </w:tc>
        <w:tc>
          <w:tcPr>
            <w:tcW w:w="3011" w:type="dxa"/>
            <w:vAlign w:val="top"/>
          </w:tcPr>
          <w:p>
            <w:pPr>
              <w:spacing w:line="311" w:lineRule="auto"/>
              <w:rPr>
                <w:rFonts w:ascii="Arial"/>
                <w:sz w:val="21"/>
              </w:rPr>
            </w:pPr>
          </w:p>
          <w:p>
            <w:pPr>
              <w:spacing w:line="312" w:lineRule="auto"/>
              <w:rPr>
                <w:rFonts w:ascii="Arial"/>
                <w:sz w:val="21"/>
              </w:rPr>
            </w:pPr>
          </w:p>
          <w:p>
            <w:pPr>
              <w:spacing w:before="66" w:line="286" w:lineRule="auto"/>
              <w:ind w:left="126" w:right="202" w:hanging="12"/>
              <w:jc w:val="both"/>
              <w:rPr>
                <w:rFonts w:ascii="华文仿宋" w:hAnsi="华文仿宋" w:eastAsia="华文仿宋" w:cs="华文仿宋"/>
                <w:sz w:val="18"/>
                <w:szCs w:val="18"/>
              </w:rPr>
            </w:pPr>
            <w:r>
              <w:rPr>
                <w:rFonts w:ascii="华文仿宋" w:hAnsi="华文仿宋" w:eastAsia="华文仿宋" w:cs="华文仿宋"/>
                <w:spacing w:val="-1"/>
                <w:sz w:val="18"/>
                <w:szCs w:val="18"/>
              </w:rPr>
              <w:t>反映部门绩效目标制定是否合理，</w:t>
            </w:r>
            <w:r>
              <w:rPr>
                <w:rFonts w:ascii="华文仿宋" w:hAnsi="华文仿宋" w:eastAsia="华文仿宋" w:cs="华文仿宋"/>
                <w:spacing w:val="-2"/>
                <w:sz w:val="18"/>
                <w:szCs w:val="18"/>
              </w:rPr>
              <w:t>与部门行业发展规划及预算资金相</w:t>
            </w:r>
            <w:r>
              <w:rPr>
                <w:rFonts w:ascii="华文仿宋" w:hAnsi="华文仿宋" w:eastAsia="华文仿宋" w:cs="华文仿宋"/>
                <w:spacing w:val="-8"/>
                <w:sz w:val="18"/>
                <w:szCs w:val="18"/>
              </w:rPr>
              <w:t>匹配。</w:t>
            </w:r>
          </w:p>
          <w:p>
            <w:pPr>
              <w:spacing w:before="1" w:line="285" w:lineRule="auto"/>
              <w:ind w:left="111" w:right="257" w:firstLine="6"/>
              <w:rPr>
                <w:rFonts w:ascii="华文仿宋" w:hAnsi="华文仿宋" w:eastAsia="华文仿宋" w:cs="华文仿宋"/>
                <w:sz w:val="18"/>
                <w:szCs w:val="18"/>
              </w:rPr>
            </w:pPr>
            <w:r>
              <w:rPr>
                <w:rFonts w:ascii="华文仿宋" w:hAnsi="华文仿宋" w:eastAsia="华文仿宋" w:cs="华文仿宋"/>
                <w:spacing w:val="-2"/>
                <w:sz w:val="18"/>
                <w:szCs w:val="18"/>
              </w:rPr>
              <w:t>1.绩效目标是否与部门职能、规划</w:t>
            </w:r>
            <w:r>
              <w:rPr>
                <w:rFonts w:ascii="华文仿宋" w:hAnsi="华文仿宋" w:eastAsia="华文仿宋" w:cs="华文仿宋"/>
                <w:spacing w:val="-1"/>
                <w:sz w:val="18"/>
                <w:szCs w:val="18"/>
              </w:rPr>
              <w:t>计划具有相关性；</w:t>
            </w:r>
          </w:p>
          <w:p>
            <w:pPr>
              <w:spacing w:line="285" w:lineRule="auto"/>
              <w:ind w:left="123" w:right="257" w:hanging="16"/>
              <w:rPr>
                <w:rFonts w:ascii="华文仿宋" w:hAnsi="华文仿宋" w:eastAsia="华文仿宋" w:cs="华文仿宋"/>
                <w:sz w:val="18"/>
                <w:szCs w:val="18"/>
              </w:rPr>
            </w:pPr>
            <w:r>
              <w:rPr>
                <w:rFonts w:ascii="华文仿宋" w:hAnsi="华文仿宋" w:eastAsia="华文仿宋" w:cs="华文仿宋"/>
                <w:spacing w:val="-1"/>
                <w:sz w:val="18"/>
                <w:szCs w:val="18"/>
              </w:rPr>
              <w:t>2.预期产出效益和效果是否符合正</w:t>
            </w:r>
            <w:r>
              <w:rPr>
                <w:rFonts w:ascii="华文仿宋" w:hAnsi="华文仿宋" w:eastAsia="华文仿宋" w:cs="华文仿宋"/>
                <w:spacing w:val="-3"/>
                <w:sz w:val="18"/>
                <w:szCs w:val="18"/>
              </w:rPr>
              <w:t>常的业绩水平；</w:t>
            </w:r>
          </w:p>
          <w:p>
            <w:pPr>
              <w:spacing w:before="1" w:line="292" w:lineRule="auto"/>
              <w:ind w:left="151" w:right="257" w:hanging="39"/>
              <w:rPr>
                <w:rFonts w:ascii="华文仿宋" w:hAnsi="华文仿宋" w:eastAsia="华文仿宋" w:cs="华文仿宋"/>
                <w:sz w:val="18"/>
                <w:szCs w:val="18"/>
              </w:rPr>
            </w:pPr>
            <w:r>
              <w:rPr>
                <w:rFonts w:ascii="华文仿宋" w:hAnsi="华文仿宋" w:eastAsia="华文仿宋" w:cs="华文仿宋"/>
                <w:spacing w:val="-2"/>
                <w:sz w:val="18"/>
                <w:szCs w:val="18"/>
              </w:rPr>
              <w:t>3.绩效目标是否与本年度部门、项</w:t>
            </w:r>
            <w:r>
              <w:rPr>
                <w:rFonts w:ascii="华文仿宋" w:hAnsi="华文仿宋" w:eastAsia="华文仿宋" w:cs="华文仿宋"/>
                <w:spacing w:val="-6"/>
                <w:sz w:val="18"/>
                <w:szCs w:val="18"/>
              </w:rPr>
              <w:t>目预算资金相匹配。</w:t>
            </w:r>
          </w:p>
        </w:tc>
        <w:tc>
          <w:tcPr>
            <w:tcW w:w="918"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before="66" w:line="199" w:lineRule="auto"/>
              <w:ind w:left="287"/>
              <w:rPr>
                <w:rFonts w:ascii="华文仿宋" w:hAnsi="华文仿宋" w:eastAsia="华文仿宋" w:cs="华文仿宋"/>
                <w:sz w:val="18"/>
                <w:szCs w:val="18"/>
              </w:rPr>
            </w:pPr>
            <w:r>
              <w:rPr>
                <w:rFonts w:ascii="华文仿宋" w:hAnsi="华文仿宋" w:eastAsia="华文仿宋" w:cs="华文仿宋"/>
                <w:spacing w:val="-5"/>
                <w:sz w:val="18"/>
                <w:szCs w:val="18"/>
              </w:rPr>
              <w:t>合理</w:t>
            </w:r>
          </w:p>
        </w:tc>
        <w:tc>
          <w:tcPr>
            <w:tcW w:w="2171" w:type="dxa"/>
            <w:vAlign w:val="top"/>
          </w:tcPr>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66" w:line="287" w:lineRule="auto"/>
              <w:ind w:left="113" w:right="259" w:firstLine="9"/>
              <w:rPr>
                <w:rFonts w:ascii="华文仿宋" w:hAnsi="华文仿宋" w:eastAsia="华文仿宋" w:cs="华文仿宋"/>
                <w:sz w:val="18"/>
                <w:szCs w:val="18"/>
              </w:rPr>
            </w:pPr>
            <w:r>
              <w:rPr>
                <w:rFonts w:ascii="华文仿宋" w:hAnsi="华文仿宋" w:eastAsia="华文仿宋" w:cs="华文仿宋"/>
                <w:spacing w:val="-2"/>
                <w:sz w:val="18"/>
                <w:szCs w:val="18"/>
              </w:rPr>
              <w:t>绩效目标制定符合全部</w:t>
            </w:r>
            <w:r>
              <w:rPr>
                <w:rFonts w:ascii="华文仿宋" w:hAnsi="华文仿宋" w:eastAsia="华文仿宋" w:cs="华文仿宋"/>
                <w:spacing w:val="-4"/>
                <w:sz w:val="18"/>
                <w:szCs w:val="18"/>
              </w:rPr>
              <w:t>评价要点得2分，每一</w:t>
            </w:r>
            <w:r>
              <w:rPr>
                <w:rFonts w:ascii="华文仿宋" w:hAnsi="华文仿宋" w:eastAsia="华文仿宋" w:cs="华文仿宋"/>
                <w:spacing w:val="-6"/>
                <w:sz w:val="18"/>
                <w:szCs w:val="18"/>
              </w:rPr>
              <w:t>项不符合扣1分，扣完</w:t>
            </w:r>
            <w:r>
              <w:rPr>
                <w:rFonts w:ascii="华文仿宋" w:hAnsi="华文仿宋" w:eastAsia="华文仿宋" w:cs="华文仿宋"/>
                <w:spacing w:val="-12"/>
                <w:sz w:val="18"/>
                <w:szCs w:val="18"/>
              </w:rPr>
              <w:t>为止，无目标，不得</w:t>
            </w:r>
          </w:p>
          <w:p>
            <w:pPr>
              <w:spacing w:line="196" w:lineRule="auto"/>
              <w:ind w:left="115"/>
              <w:rPr>
                <w:rFonts w:ascii="华文仿宋" w:hAnsi="华文仿宋" w:eastAsia="华文仿宋" w:cs="华文仿宋"/>
                <w:sz w:val="18"/>
                <w:szCs w:val="18"/>
              </w:rPr>
            </w:pPr>
            <w:r>
              <w:rPr>
                <w:rFonts w:ascii="华文仿宋" w:hAnsi="华文仿宋" w:eastAsia="华文仿宋" w:cs="华文仿宋"/>
                <w:spacing w:val="-5"/>
                <w:sz w:val="18"/>
                <w:szCs w:val="18"/>
              </w:rPr>
              <w:t>分。</w:t>
            </w:r>
          </w:p>
        </w:tc>
        <w:tc>
          <w:tcPr>
            <w:tcW w:w="4007" w:type="dxa"/>
            <w:vAlign w:val="top"/>
          </w:tcPr>
          <w:p>
            <w:pPr>
              <w:spacing w:before="65" w:line="286" w:lineRule="auto"/>
              <w:ind w:left="114" w:right="114" w:firstLine="2"/>
              <w:rPr>
                <w:rFonts w:ascii="华文仿宋" w:hAnsi="华文仿宋" w:eastAsia="华文仿宋" w:cs="华文仿宋"/>
                <w:sz w:val="18"/>
                <w:szCs w:val="18"/>
              </w:rPr>
            </w:pPr>
            <w:r>
              <w:rPr>
                <w:rFonts w:ascii="华文仿宋" w:hAnsi="华文仿宋" w:eastAsia="华文仿宋" w:cs="华文仿宋"/>
                <w:spacing w:val="1"/>
                <w:sz w:val="18"/>
                <w:szCs w:val="18"/>
              </w:rPr>
              <w:t>根据区民政局提供的2025年度部门整体绩效目</w:t>
            </w:r>
            <w:r>
              <w:rPr>
                <w:rFonts w:ascii="华文仿宋" w:hAnsi="华文仿宋" w:eastAsia="华文仿宋" w:cs="华文仿宋"/>
                <w:spacing w:val="-2"/>
                <w:sz w:val="18"/>
                <w:szCs w:val="18"/>
              </w:rPr>
              <w:t>标表，部门年度绩效目标主要包括完成低保金发</w:t>
            </w:r>
            <w:r>
              <w:rPr>
                <w:rFonts w:ascii="华文仿宋" w:hAnsi="华文仿宋" w:eastAsia="华文仿宋" w:cs="华文仿宋"/>
                <w:spacing w:val="-5"/>
                <w:sz w:val="18"/>
                <w:szCs w:val="18"/>
              </w:rPr>
              <w:t>放，发放残疾人两项补贴，发放老年人补贴、失</w:t>
            </w:r>
            <w:r>
              <w:rPr>
                <w:rFonts w:ascii="华文仿宋" w:hAnsi="华文仿宋" w:eastAsia="华文仿宋" w:cs="华文仿宋"/>
                <w:spacing w:val="-3"/>
                <w:sz w:val="18"/>
                <w:szCs w:val="18"/>
              </w:rPr>
              <w:t>地人员、城市化转移安置搬迁工作等，保障各类</w:t>
            </w:r>
            <w:r>
              <w:rPr>
                <w:rFonts w:ascii="华文仿宋" w:hAnsi="华文仿宋" w:eastAsia="华文仿宋" w:cs="华文仿宋"/>
                <w:spacing w:val="-2"/>
                <w:sz w:val="18"/>
                <w:szCs w:val="18"/>
              </w:rPr>
              <w:t>补助群众基本生活等方面，其设置与区民政局部</w:t>
            </w:r>
            <w:r>
              <w:rPr>
                <w:rFonts w:ascii="华文仿宋" w:hAnsi="华文仿宋" w:eastAsia="华文仿宋" w:cs="华文仿宋"/>
                <w:spacing w:val="-3"/>
                <w:sz w:val="18"/>
                <w:szCs w:val="18"/>
              </w:rPr>
              <w:t>门职能、工作计划具有相关性。绩效目标与本年度部门、项目预算资金相匹配，部门履职产出及</w:t>
            </w:r>
            <w:r>
              <w:rPr>
                <w:rFonts w:ascii="华文仿宋" w:hAnsi="华文仿宋" w:eastAsia="华文仿宋" w:cs="华文仿宋"/>
                <w:spacing w:val="-2"/>
                <w:sz w:val="18"/>
                <w:szCs w:val="18"/>
              </w:rPr>
              <w:t>履职效益设置符合行业正常业绩水平，且与预期计划相符，但部门年度总体目标内容描述过于简</w:t>
            </w:r>
            <w:r>
              <w:rPr>
                <w:rFonts w:ascii="华文仿宋" w:hAnsi="华文仿宋" w:eastAsia="华文仿宋" w:cs="华文仿宋"/>
                <w:spacing w:val="-4"/>
                <w:sz w:val="18"/>
                <w:szCs w:val="18"/>
              </w:rPr>
              <w:t>单，仅描述了发放项目名称，未根据部门单位年</w:t>
            </w:r>
            <w:r>
              <w:rPr>
                <w:rFonts w:ascii="华文仿宋" w:hAnsi="华文仿宋" w:eastAsia="华文仿宋" w:cs="华文仿宋"/>
                <w:spacing w:val="-2"/>
                <w:sz w:val="18"/>
                <w:szCs w:val="18"/>
              </w:rPr>
              <w:t>度工作计划做各项目补贴标准、补贴细则等内容</w:t>
            </w:r>
            <w:r>
              <w:rPr>
                <w:rFonts w:ascii="华文仿宋" w:hAnsi="华文仿宋" w:eastAsia="华文仿宋" w:cs="华文仿宋"/>
                <w:spacing w:val="-3"/>
                <w:sz w:val="18"/>
                <w:szCs w:val="18"/>
              </w:rPr>
              <w:t>分析，故年度总体目标内容描述不完整、不细</w:t>
            </w:r>
          </w:p>
          <w:p>
            <w:pPr>
              <w:spacing w:line="201" w:lineRule="auto"/>
              <w:ind w:left="122"/>
              <w:rPr>
                <w:rFonts w:ascii="华文仿宋" w:hAnsi="华文仿宋" w:eastAsia="华文仿宋" w:cs="华文仿宋"/>
                <w:sz w:val="18"/>
                <w:szCs w:val="18"/>
              </w:rPr>
            </w:pPr>
            <w:r>
              <w:rPr>
                <w:rFonts w:ascii="华文仿宋" w:hAnsi="华文仿宋" w:eastAsia="华文仿宋" w:cs="华文仿宋"/>
                <w:spacing w:val="-6"/>
                <w:sz w:val="18"/>
                <w:szCs w:val="18"/>
              </w:rPr>
              <w:t>化。依据评价标准，该指标扣1分。</w:t>
            </w:r>
          </w:p>
        </w:tc>
        <w:tc>
          <w:tcPr>
            <w:tcW w:w="684" w:type="dxa"/>
            <w:vAlign w:val="top"/>
          </w:tcPr>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before="65" w:line="177" w:lineRule="auto"/>
              <w:ind w:left="313"/>
              <w:rPr>
                <w:rFonts w:ascii="华文仿宋" w:hAnsi="华文仿宋" w:eastAsia="华文仿宋" w:cs="华文仿宋"/>
                <w:sz w:val="18"/>
                <w:szCs w:val="18"/>
              </w:rPr>
            </w:pPr>
            <w:r>
              <w:rPr>
                <w:rFonts w:ascii="华文仿宋" w:hAnsi="华文仿宋" w:eastAsia="华文仿宋" w:cs="华文仿宋"/>
                <w:sz w:val="18"/>
                <w:szCs w:val="18"/>
              </w:rPr>
              <w:t>1</w:t>
            </w:r>
          </w:p>
        </w:tc>
        <w:tc>
          <w:tcPr>
            <w:tcW w:w="832" w:type="dxa"/>
            <w:vAlign w:val="top"/>
          </w:tcPr>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before="65" w:line="178" w:lineRule="auto"/>
              <w:ind w:left="265"/>
              <w:rPr>
                <w:rFonts w:ascii="华文仿宋" w:hAnsi="华文仿宋" w:eastAsia="华文仿宋" w:cs="华文仿宋"/>
                <w:sz w:val="18"/>
                <w:szCs w:val="18"/>
              </w:rPr>
            </w:pPr>
            <w:r>
              <w:rPr>
                <w:rFonts w:ascii="华文仿宋" w:hAnsi="华文仿宋" w:eastAsia="华文仿宋" w:cs="华文仿宋"/>
                <w:spacing w:val="-4"/>
                <w:sz w:val="18"/>
                <w:szCs w:val="18"/>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90" w:hRule="atLeast"/>
        </w:trPr>
        <w:tc>
          <w:tcPr>
            <w:tcW w:w="1091" w:type="dxa"/>
            <w:vMerge w:val="continue"/>
            <w:tcBorders>
              <w:top w:val="nil"/>
            </w:tcBorders>
            <w:vAlign w:val="top"/>
          </w:tcPr>
          <w:p>
            <w:pPr>
              <w:rPr>
                <w:rFonts w:ascii="Arial"/>
                <w:sz w:val="21"/>
              </w:rPr>
            </w:pPr>
          </w:p>
        </w:tc>
        <w:tc>
          <w:tcPr>
            <w:tcW w:w="999" w:type="dxa"/>
            <w:vMerge w:val="continue"/>
            <w:tcBorders>
              <w:top w:val="nil"/>
            </w:tcBorders>
            <w:vAlign w:val="top"/>
          </w:tcPr>
          <w:p>
            <w:pPr>
              <w:rPr>
                <w:rFonts w:ascii="Arial"/>
                <w:sz w:val="21"/>
              </w:rPr>
            </w:pPr>
          </w:p>
        </w:tc>
        <w:tc>
          <w:tcPr>
            <w:tcW w:w="1167" w:type="dxa"/>
            <w:vAlign w:val="top"/>
          </w:tcPr>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before="66" w:line="294" w:lineRule="auto"/>
              <w:ind w:left="411" w:right="133" w:hanging="266"/>
              <w:rPr>
                <w:rFonts w:ascii="华文仿宋" w:hAnsi="华文仿宋" w:eastAsia="华文仿宋" w:cs="华文仿宋"/>
                <w:sz w:val="18"/>
                <w:szCs w:val="18"/>
              </w:rPr>
            </w:pPr>
            <w:r>
              <w:rPr>
                <w:rFonts w:ascii="华文仿宋" w:hAnsi="华文仿宋" w:eastAsia="华文仿宋" w:cs="华文仿宋"/>
                <w:spacing w:val="-4"/>
                <w:sz w:val="18"/>
                <w:szCs w:val="18"/>
              </w:rPr>
              <w:t>绩效目标明</w:t>
            </w:r>
            <w:r>
              <w:rPr>
                <w:rFonts w:ascii="华文仿宋" w:hAnsi="华文仿宋" w:eastAsia="华文仿宋" w:cs="华文仿宋"/>
                <w:spacing w:val="-6"/>
                <w:sz w:val="18"/>
                <w:szCs w:val="18"/>
              </w:rPr>
              <w:t>确性</w:t>
            </w:r>
          </w:p>
        </w:tc>
        <w:tc>
          <w:tcPr>
            <w:tcW w:w="665" w:type="dxa"/>
            <w:vAlign w:val="top"/>
          </w:tcPr>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before="66" w:line="177" w:lineRule="auto"/>
              <w:ind w:left="295"/>
              <w:rPr>
                <w:rFonts w:ascii="华文仿宋" w:hAnsi="华文仿宋" w:eastAsia="华文仿宋" w:cs="华文仿宋"/>
                <w:sz w:val="18"/>
                <w:szCs w:val="18"/>
              </w:rPr>
            </w:pPr>
            <w:r>
              <w:rPr>
                <w:rFonts w:ascii="华文仿宋" w:hAnsi="华文仿宋" w:eastAsia="华文仿宋" w:cs="华文仿宋"/>
                <w:sz w:val="18"/>
                <w:szCs w:val="18"/>
              </w:rPr>
              <w:t>3</w:t>
            </w:r>
          </w:p>
        </w:tc>
        <w:tc>
          <w:tcPr>
            <w:tcW w:w="3011" w:type="dxa"/>
            <w:vAlign w:val="top"/>
          </w:tcPr>
          <w:p>
            <w:pPr>
              <w:spacing w:before="71" w:line="286" w:lineRule="auto"/>
              <w:ind w:left="112" w:right="202" w:firstLine="1"/>
              <w:jc w:val="both"/>
              <w:rPr>
                <w:rFonts w:ascii="华文仿宋" w:hAnsi="华文仿宋" w:eastAsia="华文仿宋" w:cs="华文仿宋"/>
                <w:sz w:val="18"/>
                <w:szCs w:val="18"/>
              </w:rPr>
            </w:pPr>
            <w:r>
              <w:rPr>
                <w:rFonts w:ascii="华文仿宋" w:hAnsi="华文仿宋" w:eastAsia="华文仿宋" w:cs="华文仿宋"/>
                <w:spacing w:val="-1"/>
                <w:sz w:val="18"/>
                <w:szCs w:val="18"/>
              </w:rPr>
              <w:t>反映部门绩效目标制定依据是否充</w:t>
            </w:r>
            <w:r>
              <w:rPr>
                <w:rFonts w:ascii="华文仿宋" w:hAnsi="华文仿宋" w:eastAsia="华文仿宋" w:cs="华文仿宋"/>
                <w:spacing w:val="-5"/>
                <w:sz w:val="18"/>
                <w:szCs w:val="18"/>
              </w:rPr>
              <w:t>分，符合客观实际，绩效指标是否清晰、细化、可衡量。</w:t>
            </w:r>
          </w:p>
          <w:p>
            <w:pPr>
              <w:spacing w:before="1" w:line="285" w:lineRule="auto"/>
              <w:ind w:left="112" w:right="257" w:firstLine="4"/>
              <w:rPr>
                <w:rFonts w:ascii="华文仿宋" w:hAnsi="华文仿宋" w:eastAsia="华文仿宋" w:cs="华文仿宋"/>
                <w:sz w:val="18"/>
                <w:szCs w:val="18"/>
              </w:rPr>
            </w:pPr>
            <w:r>
              <w:rPr>
                <w:rFonts w:ascii="华文仿宋" w:hAnsi="华文仿宋" w:eastAsia="华文仿宋" w:cs="华文仿宋"/>
                <w:spacing w:val="-1"/>
                <w:sz w:val="18"/>
                <w:szCs w:val="18"/>
              </w:rPr>
              <w:t>1.部门整体支出绩效目标是否细化分解为具体的绩效指标；</w:t>
            </w:r>
          </w:p>
          <w:p>
            <w:pPr>
              <w:spacing w:before="1" w:line="250" w:lineRule="auto"/>
              <w:ind w:left="118" w:right="294" w:hanging="11"/>
              <w:rPr>
                <w:rFonts w:ascii="华文仿宋" w:hAnsi="华文仿宋" w:eastAsia="华文仿宋" w:cs="华文仿宋"/>
                <w:sz w:val="18"/>
                <w:szCs w:val="18"/>
              </w:rPr>
            </w:pPr>
            <w:r>
              <w:rPr>
                <w:rFonts w:ascii="华文仿宋" w:hAnsi="华文仿宋" w:eastAsia="华文仿宋" w:cs="华文仿宋"/>
                <w:spacing w:val="-3"/>
                <w:sz w:val="18"/>
                <w:szCs w:val="18"/>
              </w:rPr>
              <w:t>2.绩效目标及指标设置是否规范、</w:t>
            </w:r>
            <w:r>
              <w:rPr>
                <w:rFonts w:ascii="华文仿宋" w:hAnsi="华文仿宋" w:eastAsia="华文仿宋" w:cs="华文仿宋"/>
                <w:spacing w:val="-5"/>
                <w:sz w:val="18"/>
                <w:szCs w:val="18"/>
              </w:rPr>
              <w:t>清晰、可衡量。</w:t>
            </w:r>
          </w:p>
        </w:tc>
        <w:tc>
          <w:tcPr>
            <w:tcW w:w="918" w:type="dxa"/>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before="66" w:line="294" w:lineRule="auto"/>
              <w:ind w:left="389" w:right="186" w:hanging="170"/>
              <w:rPr>
                <w:rFonts w:ascii="华文仿宋" w:hAnsi="华文仿宋" w:eastAsia="华文仿宋" w:cs="华文仿宋"/>
                <w:sz w:val="18"/>
                <w:szCs w:val="18"/>
              </w:rPr>
            </w:pPr>
            <w:r>
              <w:rPr>
                <w:rFonts w:ascii="华文仿宋" w:hAnsi="华文仿宋" w:eastAsia="华文仿宋" w:cs="华文仿宋"/>
                <w:spacing w:val="-11"/>
                <w:sz w:val="18"/>
                <w:szCs w:val="18"/>
              </w:rPr>
              <w:t>明确规</w:t>
            </w:r>
            <w:r>
              <w:rPr>
                <w:rFonts w:ascii="华文仿宋" w:hAnsi="华文仿宋" w:eastAsia="华文仿宋" w:cs="华文仿宋"/>
                <w:sz w:val="18"/>
                <w:szCs w:val="18"/>
              </w:rPr>
              <w:t>范</w:t>
            </w:r>
          </w:p>
        </w:tc>
        <w:tc>
          <w:tcPr>
            <w:tcW w:w="2171" w:type="dxa"/>
            <w:vAlign w:val="top"/>
          </w:tcPr>
          <w:p>
            <w:pPr>
              <w:spacing w:line="472" w:lineRule="auto"/>
              <w:rPr>
                <w:rFonts w:ascii="Arial"/>
                <w:sz w:val="21"/>
              </w:rPr>
            </w:pPr>
          </w:p>
          <w:p>
            <w:pPr>
              <w:spacing w:before="65" w:line="289" w:lineRule="auto"/>
              <w:ind w:left="113" w:right="238" w:firstLine="9"/>
              <w:jc w:val="both"/>
              <w:rPr>
                <w:rFonts w:ascii="华文仿宋" w:hAnsi="华文仿宋" w:eastAsia="华文仿宋" w:cs="华文仿宋"/>
                <w:sz w:val="18"/>
                <w:szCs w:val="18"/>
              </w:rPr>
            </w:pPr>
            <w:r>
              <w:rPr>
                <w:rFonts w:ascii="华文仿宋" w:hAnsi="华文仿宋" w:eastAsia="华文仿宋" w:cs="华文仿宋"/>
                <w:spacing w:val="-2"/>
                <w:sz w:val="18"/>
                <w:szCs w:val="18"/>
              </w:rPr>
              <w:t>绩效目标制定符合全部</w:t>
            </w:r>
            <w:r>
              <w:rPr>
                <w:rFonts w:ascii="华文仿宋" w:hAnsi="华文仿宋" w:eastAsia="华文仿宋" w:cs="华文仿宋"/>
                <w:spacing w:val="-5"/>
                <w:sz w:val="18"/>
                <w:szCs w:val="18"/>
              </w:rPr>
              <w:t>评价要点得3分，每一项不符合扣1.50分，无</w:t>
            </w:r>
            <w:r>
              <w:rPr>
                <w:rFonts w:ascii="华文仿宋" w:hAnsi="华文仿宋" w:eastAsia="华文仿宋" w:cs="华文仿宋"/>
                <w:spacing w:val="-6"/>
                <w:sz w:val="18"/>
                <w:szCs w:val="18"/>
              </w:rPr>
              <w:t>目标，不得分。</w:t>
            </w:r>
          </w:p>
        </w:tc>
        <w:tc>
          <w:tcPr>
            <w:tcW w:w="4007" w:type="dxa"/>
            <w:vAlign w:val="top"/>
          </w:tcPr>
          <w:p>
            <w:pPr>
              <w:spacing w:line="316" w:lineRule="auto"/>
              <w:rPr>
                <w:rFonts w:ascii="Arial"/>
                <w:sz w:val="21"/>
              </w:rPr>
            </w:pPr>
          </w:p>
          <w:p>
            <w:pPr>
              <w:spacing w:before="65" w:line="288" w:lineRule="auto"/>
              <w:ind w:left="116" w:right="114"/>
              <w:rPr>
                <w:rFonts w:ascii="华文仿宋" w:hAnsi="华文仿宋" w:eastAsia="华文仿宋" w:cs="华文仿宋"/>
                <w:sz w:val="18"/>
                <w:szCs w:val="18"/>
              </w:rPr>
            </w:pPr>
            <w:r>
              <w:rPr>
                <w:rFonts w:ascii="华文仿宋" w:hAnsi="华文仿宋" w:eastAsia="华文仿宋" w:cs="华文仿宋"/>
                <w:spacing w:val="1"/>
                <w:sz w:val="18"/>
                <w:szCs w:val="18"/>
              </w:rPr>
              <w:t>根据区民政局提供的2025年度部门整体绩效目</w:t>
            </w:r>
            <w:r>
              <w:rPr>
                <w:rFonts w:ascii="华文仿宋" w:hAnsi="华文仿宋" w:eastAsia="华文仿宋" w:cs="华文仿宋"/>
                <w:spacing w:val="-3"/>
                <w:sz w:val="18"/>
                <w:szCs w:val="18"/>
              </w:rPr>
              <w:t>标表，部门共设置了4条三级指标，已将整体绩</w:t>
            </w:r>
            <w:r>
              <w:rPr>
                <w:rFonts w:ascii="华文仿宋" w:hAnsi="华文仿宋" w:eastAsia="华文仿宋" w:cs="华文仿宋"/>
                <w:spacing w:val="-2"/>
                <w:sz w:val="18"/>
                <w:szCs w:val="18"/>
              </w:rPr>
              <w:t>效目标细化为具体的绩效指标，且指标设置全部</w:t>
            </w:r>
            <w:r>
              <w:rPr>
                <w:rFonts w:ascii="华文仿宋" w:hAnsi="华文仿宋" w:eastAsia="华文仿宋" w:cs="华文仿宋"/>
                <w:spacing w:val="-4"/>
                <w:sz w:val="18"/>
                <w:szCs w:val="18"/>
              </w:rPr>
              <w:t>为量化可衡量指标，依据评价标准，该指标得3</w:t>
            </w:r>
            <w:r>
              <w:rPr>
                <w:rFonts w:ascii="华文仿宋" w:hAnsi="华文仿宋" w:eastAsia="华文仿宋" w:cs="华文仿宋"/>
                <w:spacing w:val="-5"/>
                <w:sz w:val="18"/>
                <w:szCs w:val="18"/>
              </w:rPr>
              <w:t>分。</w:t>
            </w:r>
          </w:p>
        </w:tc>
        <w:tc>
          <w:tcPr>
            <w:tcW w:w="684" w:type="dxa"/>
            <w:vAlign w:val="top"/>
          </w:tcPr>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before="66" w:line="177" w:lineRule="auto"/>
              <w:ind w:left="308"/>
              <w:rPr>
                <w:rFonts w:ascii="华文仿宋" w:hAnsi="华文仿宋" w:eastAsia="华文仿宋" w:cs="华文仿宋"/>
                <w:sz w:val="18"/>
                <w:szCs w:val="18"/>
              </w:rPr>
            </w:pPr>
            <w:r>
              <w:rPr>
                <w:rFonts w:ascii="华文仿宋" w:hAnsi="华文仿宋" w:eastAsia="华文仿宋" w:cs="华文仿宋"/>
                <w:sz w:val="18"/>
                <w:szCs w:val="18"/>
              </w:rPr>
              <w:t>3</w:t>
            </w:r>
          </w:p>
        </w:tc>
        <w:tc>
          <w:tcPr>
            <w:tcW w:w="832" w:type="dxa"/>
            <w:vAlign w:val="top"/>
          </w:tcPr>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before="66"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bl>
    <w:p>
      <w:pPr>
        <w:pStyle w:val="2"/>
      </w:pPr>
    </w:p>
    <w:p>
      <w:pPr>
        <w:sectPr>
          <w:footerReference r:id="rId10" w:type="default"/>
          <w:pgSz w:w="16839" w:h="11906"/>
          <w:pgMar w:top="1012" w:right="595" w:bottom="1575" w:left="692" w:header="0" w:footer="1287" w:gutter="0"/>
          <w:pgNumType w:fmt="decimal"/>
          <w:cols w:space="720" w:num="1"/>
        </w:sectPr>
      </w:pPr>
    </w:p>
    <w:p>
      <w:pPr>
        <w:pStyle w:val="2"/>
        <w:spacing w:line="286" w:lineRule="auto"/>
      </w:pPr>
    </w:p>
    <w:p>
      <w:pPr>
        <w:spacing w:before="102" w:line="201" w:lineRule="auto"/>
        <w:ind w:left="140" w:firstLine="231" w:firstLineChars="100"/>
        <w:rPr>
          <w:rFonts w:ascii="华文仿宋" w:hAnsi="华文仿宋" w:eastAsia="华文仿宋" w:cs="华文仿宋"/>
          <w:sz w:val="28"/>
          <w:szCs w:val="28"/>
        </w:rPr>
      </w:pPr>
      <w:r>
        <w:rPr>
          <w:rFonts w:hint="eastAsia" w:ascii="仿宋" w:hAnsi="仿宋" w:eastAsia="仿宋" w:cs="仿宋"/>
          <w:b/>
          <w:bCs/>
          <w:spacing w:val="-5"/>
          <w:sz w:val="24"/>
          <w:szCs w:val="24"/>
        </w:rPr>
        <w:t>附件一：部门整体绩效评价指标体系评分表</w:t>
      </w:r>
    </w:p>
    <w:p>
      <w:pPr>
        <w:spacing w:line="109" w:lineRule="exact"/>
      </w:pPr>
    </w:p>
    <w:tbl>
      <w:tblPr>
        <w:tblStyle w:val="7"/>
        <w:tblW w:w="155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999"/>
        <w:gridCol w:w="1167"/>
        <w:gridCol w:w="665"/>
        <w:gridCol w:w="3011"/>
        <w:gridCol w:w="918"/>
        <w:gridCol w:w="2171"/>
        <w:gridCol w:w="4007"/>
        <w:gridCol w:w="684"/>
        <w:gridCol w:w="8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6" w:hRule="atLeast"/>
        </w:trPr>
        <w:tc>
          <w:tcPr>
            <w:tcW w:w="1091" w:type="dxa"/>
            <w:vAlign w:val="top"/>
          </w:tcPr>
          <w:p>
            <w:pPr>
              <w:spacing w:before="112" w:line="199" w:lineRule="auto"/>
              <w:ind w:left="201"/>
              <w:rPr>
                <w:rFonts w:ascii="华文仿宋" w:hAnsi="华文仿宋" w:eastAsia="华文仿宋" w:cs="华文仿宋"/>
                <w:sz w:val="18"/>
                <w:szCs w:val="18"/>
              </w:rPr>
            </w:pPr>
            <w:r>
              <w:rPr>
                <w:rFonts w:ascii="华文仿宋" w:hAnsi="华文仿宋" w:eastAsia="华文仿宋" w:cs="华文仿宋"/>
                <w:b/>
                <w:bCs/>
                <w:spacing w:val="-7"/>
                <w:sz w:val="18"/>
                <w:szCs w:val="18"/>
              </w:rPr>
              <w:t>一级指标</w:t>
            </w:r>
          </w:p>
        </w:tc>
        <w:tc>
          <w:tcPr>
            <w:tcW w:w="999" w:type="dxa"/>
            <w:vAlign w:val="top"/>
          </w:tcPr>
          <w:p>
            <w:pPr>
              <w:spacing w:before="112" w:line="199" w:lineRule="auto"/>
              <w:ind w:left="152"/>
              <w:rPr>
                <w:rFonts w:ascii="华文仿宋" w:hAnsi="华文仿宋" w:eastAsia="华文仿宋" w:cs="华文仿宋"/>
                <w:sz w:val="18"/>
                <w:szCs w:val="18"/>
              </w:rPr>
            </w:pPr>
            <w:r>
              <w:rPr>
                <w:rFonts w:ascii="华文仿宋" w:hAnsi="华文仿宋" w:eastAsia="华文仿宋" w:cs="华文仿宋"/>
                <w:b/>
                <w:bCs/>
                <w:spacing w:val="-7"/>
                <w:sz w:val="18"/>
                <w:szCs w:val="18"/>
              </w:rPr>
              <w:t>二级指标</w:t>
            </w:r>
          </w:p>
        </w:tc>
        <w:tc>
          <w:tcPr>
            <w:tcW w:w="1167" w:type="dxa"/>
            <w:vAlign w:val="top"/>
          </w:tcPr>
          <w:p>
            <w:pPr>
              <w:spacing w:before="112" w:line="199" w:lineRule="auto"/>
              <w:ind w:left="241"/>
              <w:rPr>
                <w:rFonts w:ascii="华文仿宋" w:hAnsi="华文仿宋" w:eastAsia="华文仿宋" w:cs="华文仿宋"/>
                <w:sz w:val="18"/>
                <w:szCs w:val="18"/>
              </w:rPr>
            </w:pPr>
            <w:r>
              <w:rPr>
                <w:rFonts w:ascii="华文仿宋" w:hAnsi="华文仿宋" w:eastAsia="华文仿宋" w:cs="华文仿宋"/>
                <w:b/>
                <w:bCs/>
                <w:spacing w:val="-8"/>
                <w:sz w:val="18"/>
                <w:szCs w:val="18"/>
              </w:rPr>
              <w:t>三级指标</w:t>
            </w:r>
          </w:p>
        </w:tc>
        <w:tc>
          <w:tcPr>
            <w:tcW w:w="665" w:type="dxa"/>
            <w:vAlign w:val="top"/>
          </w:tcPr>
          <w:p>
            <w:pPr>
              <w:spacing w:before="113" w:line="198" w:lineRule="auto"/>
              <w:ind w:left="159"/>
              <w:rPr>
                <w:rFonts w:ascii="华文仿宋" w:hAnsi="华文仿宋" w:eastAsia="华文仿宋" w:cs="华文仿宋"/>
                <w:sz w:val="18"/>
                <w:szCs w:val="18"/>
              </w:rPr>
            </w:pPr>
            <w:r>
              <w:rPr>
                <w:rFonts w:ascii="华文仿宋" w:hAnsi="华文仿宋" w:eastAsia="华文仿宋" w:cs="华文仿宋"/>
                <w:b/>
                <w:bCs/>
                <w:spacing w:val="-7"/>
                <w:sz w:val="18"/>
                <w:szCs w:val="18"/>
              </w:rPr>
              <w:t>权重</w:t>
            </w:r>
          </w:p>
        </w:tc>
        <w:tc>
          <w:tcPr>
            <w:tcW w:w="3011" w:type="dxa"/>
            <w:vAlign w:val="top"/>
          </w:tcPr>
          <w:p>
            <w:pPr>
              <w:spacing w:before="112" w:line="199" w:lineRule="auto"/>
              <w:ind w:left="705"/>
              <w:rPr>
                <w:rFonts w:ascii="华文仿宋" w:hAnsi="华文仿宋" w:eastAsia="华文仿宋" w:cs="华文仿宋"/>
                <w:sz w:val="18"/>
                <w:szCs w:val="18"/>
              </w:rPr>
            </w:pPr>
            <w:r>
              <w:rPr>
                <w:rFonts w:ascii="华文仿宋" w:hAnsi="华文仿宋" w:eastAsia="华文仿宋" w:cs="华文仿宋"/>
                <w:b/>
                <w:bCs/>
                <w:spacing w:val="-4"/>
                <w:sz w:val="18"/>
                <w:szCs w:val="18"/>
              </w:rPr>
              <w:t>指标解释及评价要点</w:t>
            </w:r>
          </w:p>
        </w:tc>
        <w:tc>
          <w:tcPr>
            <w:tcW w:w="918" w:type="dxa"/>
            <w:vAlign w:val="top"/>
          </w:tcPr>
          <w:p>
            <w:pPr>
              <w:spacing w:before="112" w:line="199" w:lineRule="auto"/>
              <w:ind w:left="197"/>
              <w:rPr>
                <w:rFonts w:ascii="华文仿宋" w:hAnsi="华文仿宋" w:eastAsia="华文仿宋" w:cs="华文仿宋"/>
                <w:sz w:val="18"/>
                <w:szCs w:val="18"/>
              </w:rPr>
            </w:pPr>
            <w:r>
              <w:rPr>
                <w:rFonts w:ascii="华文仿宋" w:hAnsi="华文仿宋" w:eastAsia="华文仿宋" w:cs="华文仿宋"/>
                <w:b/>
                <w:bCs/>
                <w:spacing w:val="-6"/>
                <w:sz w:val="18"/>
                <w:szCs w:val="18"/>
              </w:rPr>
              <w:t>标杆值</w:t>
            </w:r>
          </w:p>
        </w:tc>
        <w:tc>
          <w:tcPr>
            <w:tcW w:w="2171" w:type="dxa"/>
            <w:vAlign w:val="top"/>
          </w:tcPr>
          <w:p>
            <w:pPr>
              <w:spacing w:before="112" w:line="199" w:lineRule="auto"/>
              <w:ind w:left="730"/>
              <w:rPr>
                <w:rFonts w:ascii="华文仿宋" w:hAnsi="华文仿宋" w:eastAsia="华文仿宋" w:cs="华文仿宋"/>
                <w:sz w:val="18"/>
                <w:szCs w:val="18"/>
              </w:rPr>
            </w:pPr>
            <w:r>
              <w:rPr>
                <w:rFonts w:ascii="华文仿宋" w:hAnsi="华文仿宋" w:eastAsia="华文仿宋" w:cs="华文仿宋"/>
                <w:b/>
                <w:bCs/>
                <w:spacing w:val="-4"/>
                <w:sz w:val="18"/>
                <w:szCs w:val="18"/>
              </w:rPr>
              <w:t>评价标准</w:t>
            </w:r>
          </w:p>
        </w:tc>
        <w:tc>
          <w:tcPr>
            <w:tcW w:w="4007" w:type="dxa"/>
            <w:vAlign w:val="top"/>
          </w:tcPr>
          <w:p>
            <w:pPr>
              <w:spacing w:before="113" w:line="198" w:lineRule="auto"/>
              <w:ind w:left="1648"/>
              <w:rPr>
                <w:rFonts w:ascii="华文仿宋" w:hAnsi="华文仿宋" w:eastAsia="华文仿宋" w:cs="华文仿宋"/>
                <w:sz w:val="18"/>
                <w:szCs w:val="18"/>
              </w:rPr>
            </w:pPr>
            <w:r>
              <w:rPr>
                <w:rFonts w:ascii="华文仿宋" w:hAnsi="华文仿宋" w:eastAsia="华文仿宋" w:cs="华文仿宋"/>
                <w:b/>
                <w:bCs/>
                <w:spacing w:val="-4"/>
                <w:sz w:val="18"/>
                <w:szCs w:val="18"/>
              </w:rPr>
              <w:t>评分过程</w:t>
            </w:r>
          </w:p>
        </w:tc>
        <w:tc>
          <w:tcPr>
            <w:tcW w:w="684" w:type="dxa"/>
            <w:vAlign w:val="top"/>
          </w:tcPr>
          <w:p>
            <w:pPr>
              <w:spacing w:before="114" w:line="197" w:lineRule="auto"/>
              <w:ind w:left="172"/>
              <w:rPr>
                <w:rFonts w:ascii="华文仿宋" w:hAnsi="华文仿宋" w:eastAsia="华文仿宋" w:cs="华文仿宋"/>
                <w:sz w:val="18"/>
                <w:szCs w:val="18"/>
              </w:rPr>
            </w:pPr>
            <w:r>
              <w:rPr>
                <w:rFonts w:ascii="华文仿宋" w:hAnsi="华文仿宋" w:eastAsia="华文仿宋" w:cs="华文仿宋"/>
                <w:b/>
                <w:bCs/>
                <w:spacing w:val="-8"/>
                <w:sz w:val="18"/>
                <w:szCs w:val="18"/>
              </w:rPr>
              <w:t>得分</w:t>
            </w:r>
          </w:p>
        </w:tc>
        <w:tc>
          <w:tcPr>
            <w:tcW w:w="832" w:type="dxa"/>
            <w:vAlign w:val="top"/>
          </w:tcPr>
          <w:p>
            <w:pPr>
              <w:spacing w:before="111" w:line="200" w:lineRule="auto"/>
              <w:ind w:left="152"/>
              <w:rPr>
                <w:rFonts w:ascii="华文仿宋" w:hAnsi="华文仿宋" w:eastAsia="华文仿宋" w:cs="华文仿宋"/>
                <w:sz w:val="18"/>
                <w:szCs w:val="18"/>
              </w:rPr>
            </w:pPr>
            <w:r>
              <w:rPr>
                <w:rFonts w:ascii="华文仿宋" w:hAnsi="华文仿宋" w:eastAsia="华文仿宋" w:cs="华文仿宋"/>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423" w:hRule="atLeast"/>
        </w:trPr>
        <w:tc>
          <w:tcPr>
            <w:tcW w:w="1091" w:type="dxa"/>
            <w:vMerge w:val="restart"/>
            <w:tcBorders>
              <w:bottom w:val="nil"/>
            </w:tcBorders>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66" w:line="290" w:lineRule="auto"/>
              <w:ind w:left="306" w:right="182" w:hanging="109"/>
              <w:rPr>
                <w:rFonts w:ascii="华文仿宋" w:hAnsi="华文仿宋" w:eastAsia="华文仿宋" w:cs="华文仿宋"/>
                <w:sz w:val="18"/>
                <w:szCs w:val="18"/>
              </w:rPr>
            </w:pPr>
            <w:r>
              <w:rPr>
                <w:rFonts w:ascii="华文仿宋" w:hAnsi="华文仿宋" w:eastAsia="华文仿宋" w:cs="华文仿宋"/>
                <w:spacing w:val="-4"/>
                <w:sz w:val="18"/>
                <w:szCs w:val="18"/>
              </w:rPr>
              <w:t>部门决策</w:t>
            </w:r>
            <w:r>
              <w:rPr>
                <w:rFonts w:ascii="华文仿宋" w:hAnsi="华文仿宋" w:eastAsia="华文仿宋" w:cs="华文仿宋"/>
                <w:spacing w:val="-7"/>
                <w:sz w:val="18"/>
                <w:szCs w:val="18"/>
              </w:rPr>
              <w:t>（15）</w:t>
            </w:r>
          </w:p>
        </w:tc>
        <w:tc>
          <w:tcPr>
            <w:tcW w:w="999" w:type="dxa"/>
            <w:vMerge w:val="restart"/>
            <w:tcBorders>
              <w:bottom w:val="nil"/>
            </w:tcBorders>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before="66" w:line="200" w:lineRule="auto"/>
              <w:ind w:left="147"/>
              <w:rPr>
                <w:rFonts w:ascii="华文仿宋" w:hAnsi="华文仿宋" w:eastAsia="华文仿宋" w:cs="华文仿宋"/>
                <w:sz w:val="18"/>
                <w:szCs w:val="18"/>
              </w:rPr>
            </w:pPr>
            <w:r>
              <w:rPr>
                <w:rFonts w:ascii="华文仿宋" w:hAnsi="华文仿宋" w:eastAsia="华文仿宋" w:cs="华文仿宋"/>
                <w:spacing w:val="-4"/>
                <w:sz w:val="18"/>
                <w:szCs w:val="18"/>
              </w:rPr>
              <w:t>部门预算</w:t>
            </w:r>
          </w:p>
          <w:p>
            <w:pPr>
              <w:spacing w:before="94" w:line="199" w:lineRule="auto"/>
              <w:ind w:left="328"/>
              <w:rPr>
                <w:rFonts w:ascii="华文仿宋" w:hAnsi="华文仿宋" w:eastAsia="华文仿宋" w:cs="华文仿宋"/>
                <w:sz w:val="18"/>
                <w:szCs w:val="18"/>
              </w:rPr>
            </w:pPr>
            <w:r>
              <w:rPr>
                <w:rFonts w:ascii="华文仿宋" w:hAnsi="华文仿宋" w:eastAsia="华文仿宋" w:cs="华文仿宋"/>
                <w:spacing w:val="-8"/>
                <w:sz w:val="18"/>
                <w:szCs w:val="18"/>
              </w:rPr>
              <w:t>管理</w:t>
            </w:r>
          </w:p>
          <w:p>
            <w:pPr>
              <w:spacing w:before="57" w:line="283" w:lineRule="exact"/>
              <w:ind w:left="300"/>
              <w:rPr>
                <w:rFonts w:ascii="华文仿宋" w:hAnsi="华文仿宋" w:eastAsia="华文仿宋" w:cs="华文仿宋"/>
                <w:sz w:val="18"/>
                <w:szCs w:val="18"/>
              </w:rPr>
            </w:pPr>
            <w:r>
              <w:rPr>
                <w:rFonts w:ascii="华文仿宋" w:hAnsi="华文仿宋" w:eastAsia="华文仿宋" w:cs="华文仿宋"/>
                <w:spacing w:val="-9"/>
                <w:position w:val="3"/>
                <w:sz w:val="18"/>
                <w:szCs w:val="18"/>
              </w:rPr>
              <w:t>（5）</w:t>
            </w:r>
          </w:p>
        </w:tc>
        <w:tc>
          <w:tcPr>
            <w:tcW w:w="1167" w:type="dxa"/>
            <w:vAlign w:val="top"/>
          </w:tcPr>
          <w:p>
            <w:pPr>
              <w:spacing w:line="278" w:lineRule="auto"/>
              <w:rPr>
                <w:rFonts w:ascii="Arial"/>
                <w:sz w:val="21"/>
              </w:rPr>
            </w:pPr>
          </w:p>
          <w:p>
            <w:pPr>
              <w:spacing w:line="278"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before="66" w:line="293" w:lineRule="auto"/>
              <w:ind w:left="422" w:right="133" w:hanging="279"/>
              <w:rPr>
                <w:rFonts w:ascii="华文仿宋" w:hAnsi="华文仿宋" w:eastAsia="华文仿宋" w:cs="华文仿宋"/>
                <w:sz w:val="18"/>
                <w:szCs w:val="18"/>
              </w:rPr>
            </w:pPr>
            <w:r>
              <w:rPr>
                <w:rFonts w:ascii="华文仿宋" w:hAnsi="华文仿宋" w:eastAsia="华文仿宋" w:cs="华文仿宋"/>
                <w:spacing w:val="-3"/>
                <w:sz w:val="18"/>
                <w:szCs w:val="18"/>
              </w:rPr>
              <w:t>预算编制规</w:t>
            </w:r>
            <w:r>
              <w:rPr>
                <w:rFonts w:ascii="华文仿宋" w:hAnsi="华文仿宋" w:eastAsia="华文仿宋" w:cs="华文仿宋"/>
                <w:spacing w:val="-12"/>
                <w:sz w:val="18"/>
                <w:szCs w:val="18"/>
              </w:rPr>
              <w:t>范性</w:t>
            </w:r>
          </w:p>
        </w:tc>
        <w:tc>
          <w:tcPr>
            <w:tcW w:w="665" w:type="dxa"/>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3" w:lineRule="auto"/>
              <w:rPr>
                <w:rFonts w:ascii="Arial"/>
                <w:sz w:val="21"/>
              </w:rPr>
            </w:pPr>
          </w:p>
          <w:p>
            <w:pPr>
              <w:spacing w:before="65" w:line="177" w:lineRule="auto"/>
              <w:ind w:left="290"/>
              <w:rPr>
                <w:rFonts w:ascii="华文仿宋" w:hAnsi="华文仿宋" w:eastAsia="华文仿宋" w:cs="华文仿宋"/>
                <w:sz w:val="18"/>
                <w:szCs w:val="18"/>
              </w:rPr>
            </w:pPr>
            <w:r>
              <w:rPr>
                <w:rFonts w:ascii="华文仿宋" w:hAnsi="华文仿宋" w:eastAsia="华文仿宋" w:cs="华文仿宋"/>
                <w:sz w:val="18"/>
                <w:szCs w:val="18"/>
              </w:rPr>
              <w:t>2</w:t>
            </w:r>
          </w:p>
        </w:tc>
        <w:tc>
          <w:tcPr>
            <w:tcW w:w="3011" w:type="dxa"/>
            <w:vAlign w:val="top"/>
          </w:tcPr>
          <w:p>
            <w:pPr>
              <w:spacing w:before="217" w:line="286" w:lineRule="auto"/>
              <w:ind w:left="126" w:right="202" w:hanging="12"/>
              <w:rPr>
                <w:rFonts w:ascii="华文仿宋" w:hAnsi="华文仿宋" w:eastAsia="华文仿宋" w:cs="华文仿宋"/>
                <w:sz w:val="18"/>
                <w:szCs w:val="18"/>
              </w:rPr>
            </w:pPr>
            <w:r>
              <w:rPr>
                <w:rFonts w:ascii="华文仿宋" w:hAnsi="华文仿宋" w:eastAsia="华文仿宋" w:cs="华文仿宋"/>
                <w:spacing w:val="-1"/>
                <w:sz w:val="18"/>
                <w:szCs w:val="18"/>
              </w:rPr>
              <w:t>反映部门年度预算决策程序是否规</w:t>
            </w:r>
            <w:r>
              <w:rPr>
                <w:rFonts w:ascii="华文仿宋" w:hAnsi="华文仿宋" w:eastAsia="华文仿宋" w:cs="华文仿宋"/>
                <w:spacing w:val="-12"/>
                <w:sz w:val="18"/>
                <w:szCs w:val="18"/>
              </w:rPr>
              <w:t>范。</w:t>
            </w:r>
          </w:p>
          <w:p>
            <w:pPr>
              <w:spacing w:before="1" w:line="285" w:lineRule="auto"/>
              <w:ind w:left="114" w:right="437" w:firstLine="2"/>
              <w:rPr>
                <w:rFonts w:ascii="华文仿宋" w:hAnsi="华文仿宋" w:eastAsia="华文仿宋" w:cs="华文仿宋"/>
                <w:sz w:val="18"/>
                <w:szCs w:val="18"/>
              </w:rPr>
            </w:pPr>
            <w:r>
              <w:rPr>
                <w:rFonts w:ascii="华文仿宋" w:hAnsi="华文仿宋" w:eastAsia="华文仿宋" w:cs="华文仿宋"/>
                <w:spacing w:val="-1"/>
                <w:sz w:val="18"/>
                <w:szCs w:val="18"/>
              </w:rPr>
              <w:t>1.预算编制流程是否符合相关规</w:t>
            </w:r>
            <w:r>
              <w:rPr>
                <w:rFonts w:ascii="华文仿宋" w:hAnsi="华文仿宋" w:eastAsia="华文仿宋" w:cs="华文仿宋"/>
                <w:spacing w:val="-6"/>
                <w:sz w:val="18"/>
                <w:szCs w:val="18"/>
              </w:rPr>
              <w:t>定；</w:t>
            </w:r>
          </w:p>
          <w:p>
            <w:pPr>
              <w:spacing w:before="1" w:line="285" w:lineRule="auto"/>
              <w:ind w:left="116" w:right="257" w:hanging="9"/>
              <w:rPr>
                <w:rFonts w:ascii="华文仿宋" w:hAnsi="华文仿宋" w:eastAsia="华文仿宋" w:cs="华文仿宋"/>
                <w:sz w:val="18"/>
                <w:szCs w:val="18"/>
              </w:rPr>
            </w:pPr>
            <w:r>
              <w:rPr>
                <w:rFonts w:ascii="华文仿宋" w:hAnsi="华文仿宋" w:eastAsia="华文仿宋" w:cs="华文仿宋"/>
                <w:spacing w:val="-1"/>
                <w:sz w:val="18"/>
                <w:szCs w:val="18"/>
              </w:rPr>
              <w:t>2.预算内容与部门展职及规划计划</w:t>
            </w:r>
            <w:r>
              <w:rPr>
                <w:rFonts w:ascii="华文仿宋" w:hAnsi="华文仿宋" w:eastAsia="华文仿宋" w:cs="华文仿宋"/>
                <w:spacing w:val="-3"/>
                <w:sz w:val="18"/>
                <w:szCs w:val="18"/>
              </w:rPr>
              <w:t>是否匹配；</w:t>
            </w:r>
          </w:p>
          <w:p>
            <w:pPr>
              <w:spacing w:before="1" w:line="285" w:lineRule="auto"/>
              <w:ind w:left="124" w:right="257" w:hanging="12"/>
              <w:rPr>
                <w:rFonts w:ascii="华文仿宋" w:hAnsi="华文仿宋" w:eastAsia="华文仿宋" w:cs="华文仿宋"/>
                <w:sz w:val="18"/>
                <w:szCs w:val="18"/>
              </w:rPr>
            </w:pPr>
            <w:r>
              <w:rPr>
                <w:rFonts w:ascii="华文仿宋" w:hAnsi="华文仿宋" w:eastAsia="华文仿宋" w:cs="华文仿宋"/>
                <w:spacing w:val="-3"/>
                <w:sz w:val="18"/>
                <w:szCs w:val="18"/>
              </w:rPr>
              <w:t>3.预算额度测算依据是否充分，是否按照标准编制；</w:t>
            </w:r>
          </w:p>
          <w:p>
            <w:pPr>
              <w:spacing w:before="1" w:line="293" w:lineRule="auto"/>
              <w:ind w:left="114" w:right="257" w:hanging="5"/>
              <w:rPr>
                <w:rFonts w:ascii="华文仿宋" w:hAnsi="华文仿宋" w:eastAsia="华文仿宋" w:cs="华文仿宋"/>
                <w:sz w:val="18"/>
                <w:szCs w:val="18"/>
              </w:rPr>
            </w:pPr>
            <w:r>
              <w:rPr>
                <w:rFonts w:ascii="华文仿宋" w:hAnsi="华文仿宋" w:eastAsia="华文仿宋" w:cs="华文仿宋"/>
                <w:spacing w:val="-1"/>
                <w:sz w:val="18"/>
                <w:szCs w:val="18"/>
              </w:rPr>
              <w:t>4.预算确定的资金量是否与工作任</w:t>
            </w:r>
            <w:r>
              <w:rPr>
                <w:rFonts w:ascii="华文仿宋" w:hAnsi="华文仿宋" w:eastAsia="华文仿宋" w:cs="华文仿宋"/>
                <w:spacing w:val="-3"/>
                <w:sz w:val="18"/>
                <w:szCs w:val="18"/>
              </w:rPr>
              <w:t>务相匹配。</w:t>
            </w:r>
          </w:p>
        </w:tc>
        <w:tc>
          <w:tcPr>
            <w:tcW w:w="918" w:type="dxa"/>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before="65" w:line="199" w:lineRule="auto"/>
              <w:ind w:left="292"/>
              <w:rPr>
                <w:rFonts w:ascii="华文仿宋" w:hAnsi="华文仿宋" w:eastAsia="华文仿宋" w:cs="华文仿宋"/>
                <w:sz w:val="18"/>
                <w:szCs w:val="18"/>
              </w:rPr>
            </w:pPr>
            <w:r>
              <w:rPr>
                <w:rFonts w:ascii="华文仿宋" w:hAnsi="华文仿宋" w:eastAsia="华文仿宋" w:cs="华文仿宋"/>
                <w:spacing w:val="-8"/>
                <w:sz w:val="18"/>
                <w:szCs w:val="18"/>
              </w:rPr>
              <w:t>规范</w:t>
            </w:r>
          </w:p>
        </w:tc>
        <w:tc>
          <w:tcPr>
            <w:tcW w:w="2171" w:type="dxa"/>
            <w:vAlign w:val="top"/>
          </w:tcPr>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66" w:line="290" w:lineRule="auto"/>
              <w:ind w:left="120" w:right="259"/>
              <w:jc w:val="both"/>
              <w:rPr>
                <w:rFonts w:ascii="华文仿宋" w:hAnsi="华文仿宋" w:eastAsia="华文仿宋" w:cs="华文仿宋"/>
                <w:sz w:val="18"/>
                <w:szCs w:val="18"/>
              </w:rPr>
            </w:pPr>
            <w:r>
              <w:rPr>
                <w:rFonts w:ascii="华文仿宋" w:hAnsi="华文仿宋" w:eastAsia="华文仿宋" w:cs="华文仿宋"/>
                <w:spacing w:val="-2"/>
                <w:sz w:val="18"/>
                <w:szCs w:val="18"/>
              </w:rPr>
              <w:t>预算编制符合全部评价</w:t>
            </w:r>
            <w:r>
              <w:rPr>
                <w:rFonts w:ascii="华文仿宋" w:hAnsi="华文仿宋" w:eastAsia="华文仿宋" w:cs="华文仿宋"/>
                <w:spacing w:val="-5"/>
                <w:sz w:val="18"/>
                <w:szCs w:val="18"/>
              </w:rPr>
              <w:t>要点得2分，每一项不</w:t>
            </w:r>
            <w:r>
              <w:rPr>
                <w:rFonts w:ascii="华文仿宋" w:hAnsi="华文仿宋" w:eastAsia="华文仿宋" w:cs="华文仿宋"/>
                <w:spacing w:val="-3"/>
                <w:sz w:val="18"/>
                <w:szCs w:val="18"/>
              </w:rPr>
              <w:t>符合扣0.50分。</w:t>
            </w:r>
          </w:p>
        </w:tc>
        <w:tc>
          <w:tcPr>
            <w:tcW w:w="4007" w:type="dxa"/>
            <w:vAlign w:val="top"/>
          </w:tcPr>
          <w:p>
            <w:pPr>
              <w:spacing w:before="222" w:line="285" w:lineRule="auto"/>
              <w:ind w:left="116" w:right="114"/>
              <w:rPr>
                <w:rFonts w:ascii="华文仿宋" w:hAnsi="华文仿宋" w:eastAsia="华文仿宋" w:cs="华文仿宋"/>
                <w:sz w:val="18"/>
                <w:szCs w:val="18"/>
              </w:rPr>
            </w:pPr>
            <w:r>
              <w:rPr>
                <w:rFonts w:ascii="华文仿宋" w:hAnsi="华文仿宋" w:eastAsia="华文仿宋" w:cs="华文仿宋"/>
                <w:spacing w:val="-2"/>
                <w:sz w:val="18"/>
                <w:szCs w:val="18"/>
              </w:rPr>
              <w:t>根据区民政局提供的部门预算批复、预算测算依</w:t>
            </w:r>
            <w:r>
              <w:rPr>
                <w:rFonts w:ascii="华文仿宋" w:hAnsi="华文仿宋" w:eastAsia="华文仿宋" w:cs="华文仿宋"/>
                <w:sz w:val="18"/>
                <w:szCs w:val="18"/>
              </w:rPr>
              <w:t>据等相关资料，部门2025年预算测算内容主要</w:t>
            </w:r>
            <w:r>
              <w:rPr>
                <w:rFonts w:ascii="华文仿宋" w:hAnsi="华文仿宋" w:eastAsia="华文仿宋" w:cs="华文仿宋"/>
                <w:spacing w:val="-4"/>
                <w:sz w:val="18"/>
                <w:szCs w:val="18"/>
              </w:rPr>
              <w:t>围绕着城市低保金发放，残疾人两项补贴，发放</w:t>
            </w:r>
            <w:r>
              <w:rPr>
                <w:rFonts w:ascii="华文仿宋" w:hAnsi="华文仿宋" w:eastAsia="华文仿宋" w:cs="华文仿宋"/>
                <w:spacing w:val="-3"/>
                <w:sz w:val="18"/>
                <w:szCs w:val="18"/>
              </w:rPr>
              <w:t>老年人补贴等工作，测算内容与部门履职、年度</w:t>
            </w:r>
            <w:r>
              <w:rPr>
                <w:rFonts w:ascii="华文仿宋" w:hAnsi="华文仿宋" w:eastAsia="华文仿宋" w:cs="华文仿宋"/>
                <w:spacing w:val="-2"/>
                <w:sz w:val="18"/>
                <w:szCs w:val="18"/>
              </w:rPr>
              <w:t>工作计划相符，并且具有完整的预算额度测</w:t>
            </w:r>
            <w:r>
              <w:rPr>
                <w:rFonts w:ascii="华文仿宋" w:hAnsi="华文仿宋" w:eastAsia="华文仿宋" w:cs="华文仿宋"/>
                <w:spacing w:val="-3"/>
                <w:sz w:val="18"/>
                <w:szCs w:val="18"/>
              </w:rPr>
              <w:t>算依</w:t>
            </w:r>
            <w:r>
              <w:rPr>
                <w:rFonts w:ascii="华文仿宋" w:hAnsi="华文仿宋" w:eastAsia="华文仿宋" w:cs="华文仿宋"/>
                <w:spacing w:val="-4"/>
                <w:sz w:val="18"/>
                <w:szCs w:val="18"/>
              </w:rPr>
              <w:t>据，其测算资金量与工作任务计划一致。但区民</w:t>
            </w:r>
            <w:r>
              <w:rPr>
                <w:rFonts w:ascii="华文仿宋" w:hAnsi="华文仿宋" w:eastAsia="华文仿宋" w:cs="华文仿宋"/>
                <w:spacing w:val="-2"/>
                <w:sz w:val="18"/>
                <w:szCs w:val="18"/>
              </w:rPr>
              <w:t>政局预算编制决策程序不规范，虽然区民政局</w:t>
            </w:r>
          </w:p>
          <w:p>
            <w:pPr>
              <w:spacing w:line="290" w:lineRule="auto"/>
              <w:ind w:left="118" w:right="114" w:hanging="7"/>
              <w:rPr>
                <w:rFonts w:ascii="华文仿宋" w:hAnsi="华文仿宋" w:eastAsia="华文仿宋" w:cs="华文仿宋"/>
                <w:sz w:val="18"/>
                <w:szCs w:val="18"/>
              </w:rPr>
            </w:pPr>
            <w:r>
              <w:rPr>
                <w:rFonts w:ascii="华文仿宋" w:hAnsi="华文仿宋" w:eastAsia="华文仿宋" w:cs="华文仿宋"/>
                <w:spacing w:val="-3"/>
                <w:sz w:val="18"/>
                <w:szCs w:val="18"/>
              </w:rPr>
              <w:t>2025年部门预算编制采取预算编制流程，但在</w:t>
            </w:r>
            <w:r>
              <w:rPr>
                <w:rFonts w:ascii="华文仿宋" w:hAnsi="华文仿宋" w:eastAsia="华文仿宋" w:cs="华文仿宋"/>
                <w:spacing w:val="-1"/>
                <w:sz w:val="18"/>
                <w:szCs w:val="18"/>
              </w:rPr>
              <w:t>预算编制期间缺少部门集体会议决策环节及相关</w:t>
            </w:r>
            <w:r>
              <w:rPr>
                <w:rFonts w:ascii="华文仿宋" w:hAnsi="华文仿宋" w:eastAsia="华文仿宋" w:cs="华文仿宋"/>
                <w:spacing w:val="-5"/>
                <w:sz w:val="18"/>
                <w:szCs w:val="18"/>
              </w:rPr>
              <w:t>会议纪要。依据评价标准，该指标扣1分。</w:t>
            </w:r>
          </w:p>
        </w:tc>
        <w:tc>
          <w:tcPr>
            <w:tcW w:w="684" w:type="dxa"/>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3" w:lineRule="auto"/>
              <w:rPr>
                <w:rFonts w:ascii="Arial"/>
                <w:sz w:val="21"/>
              </w:rPr>
            </w:pPr>
          </w:p>
          <w:p>
            <w:pPr>
              <w:spacing w:before="65" w:line="177" w:lineRule="auto"/>
              <w:ind w:left="313"/>
              <w:rPr>
                <w:rFonts w:ascii="华文仿宋" w:hAnsi="华文仿宋" w:eastAsia="华文仿宋" w:cs="华文仿宋"/>
                <w:sz w:val="18"/>
                <w:szCs w:val="18"/>
              </w:rPr>
            </w:pPr>
            <w:r>
              <w:rPr>
                <w:rFonts w:ascii="华文仿宋" w:hAnsi="华文仿宋" w:eastAsia="华文仿宋" w:cs="华文仿宋"/>
                <w:sz w:val="18"/>
                <w:szCs w:val="18"/>
              </w:rPr>
              <w:t>1</w:t>
            </w:r>
          </w:p>
        </w:tc>
        <w:tc>
          <w:tcPr>
            <w:tcW w:w="832" w:type="dxa"/>
            <w:vAlign w:val="top"/>
          </w:tcPr>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65" w:line="178" w:lineRule="auto"/>
              <w:ind w:left="265"/>
              <w:rPr>
                <w:rFonts w:ascii="华文仿宋" w:hAnsi="华文仿宋" w:eastAsia="华文仿宋" w:cs="华文仿宋"/>
                <w:sz w:val="18"/>
                <w:szCs w:val="18"/>
              </w:rPr>
            </w:pPr>
            <w:r>
              <w:rPr>
                <w:rFonts w:ascii="华文仿宋" w:hAnsi="华文仿宋" w:eastAsia="华文仿宋" w:cs="华文仿宋"/>
                <w:spacing w:val="-4"/>
                <w:sz w:val="18"/>
                <w:szCs w:val="18"/>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205" w:hRule="atLeast"/>
        </w:trPr>
        <w:tc>
          <w:tcPr>
            <w:tcW w:w="1091" w:type="dxa"/>
            <w:vMerge w:val="continue"/>
            <w:tcBorders>
              <w:top w:val="nil"/>
            </w:tcBorders>
            <w:vAlign w:val="top"/>
          </w:tcPr>
          <w:p>
            <w:pPr>
              <w:rPr>
                <w:rFonts w:ascii="Arial"/>
                <w:sz w:val="21"/>
              </w:rPr>
            </w:pPr>
          </w:p>
        </w:tc>
        <w:tc>
          <w:tcPr>
            <w:tcW w:w="999" w:type="dxa"/>
            <w:vMerge w:val="continue"/>
            <w:tcBorders>
              <w:top w:val="nil"/>
            </w:tcBorders>
            <w:vAlign w:val="top"/>
          </w:tcPr>
          <w:p>
            <w:pPr>
              <w:rPr>
                <w:rFonts w:ascii="Arial"/>
                <w:sz w:val="21"/>
              </w:rPr>
            </w:pPr>
          </w:p>
        </w:tc>
        <w:tc>
          <w:tcPr>
            <w:tcW w:w="1167" w:type="dxa"/>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before="66" w:line="293" w:lineRule="auto"/>
              <w:ind w:left="412" w:right="133" w:hanging="269"/>
              <w:rPr>
                <w:rFonts w:ascii="华文仿宋" w:hAnsi="华文仿宋" w:eastAsia="华文仿宋" w:cs="华文仿宋"/>
                <w:sz w:val="18"/>
                <w:szCs w:val="18"/>
              </w:rPr>
            </w:pPr>
            <w:r>
              <w:rPr>
                <w:rFonts w:ascii="华文仿宋" w:hAnsi="华文仿宋" w:eastAsia="华文仿宋" w:cs="华文仿宋"/>
                <w:spacing w:val="-3"/>
                <w:sz w:val="18"/>
                <w:szCs w:val="18"/>
              </w:rPr>
              <w:t>预算编制合</w:t>
            </w:r>
            <w:r>
              <w:rPr>
                <w:rFonts w:ascii="华文仿宋" w:hAnsi="华文仿宋" w:eastAsia="华文仿宋" w:cs="华文仿宋"/>
                <w:spacing w:val="-7"/>
                <w:sz w:val="18"/>
                <w:szCs w:val="18"/>
              </w:rPr>
              <w:t>理性</w:t>
            </w:r>
          </w:p>
        </w:tc>
        <w:tc>
          <w:tcPr>
            <w:tcW w:w="665"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177" w:lineRule="auto"/>
              <w:ind w:left="295"/>
              <w:rPr>
                <w:rFonts w:ascii="华文仿宋" w:hAnsi="华文仿宋" w:eastAsia="华文仿宋" w:cs="华文仿宋"/>
                <w:sz w:val="18"/>
                <w:szCs w:val="18"/>
              </w:rPr>
            </w:pPr>
            <w:r>
              <w:rPr>
                <w:rFonts w:ascii="华文仿宋" w:hAnsi="华文仿宋" w:eastAsia="华文仿宋" w:cs="华文仿宋"/>
                <w:sz w:val="18"/>
                <w:szCs w:val="18"/>
              </w:rPr>
              <w:t>3</w:t>
            </w:r>
          </w:p>
        </w:tc>
        <w:tc>
          <w:tcPr>
            <w:tcW w:w="3011" w:type="dxa"/>
            <w:vAlign w:val="top"/>
          </w:tcPr>
          <w:p>
            <w:pPr>
              <w:spacing w:line="353" w:lineRule="auto"/>
              <w:rPr>
                <w:rFonts w:ascii="Arial"/>
                <w:sz w:val="21"/>
              </w:rPr>
            </w:pPr>
          </w:p>
          <w:p>
            <w:pPr>
              <w:spacing w:before="65" w:line="286" w:lineRule="auto"/>
              <w:ind w:left="117" w:right="202" w:hanging="3"/>
              <w:jc w:val="both"/>
              <w:rPr>
                <w:rFonts w:ascii="华文仿宋" w:hAnsi="华文仿宋" w:eastAsia="华文仿宋" w:cs="华文仿宋"/>
                <w:sz w:val="18"/>
                <w:szCs w:val="18"/>
              </w:rPr>
            </w:pPr>
            <w:r>
              <w:rPr>
                <w:rFonts w:ascii="华文仿宋" w:hAnsi="华文仿宋" w:eastAsia="华文仿宋" w:cs="华文仿宋"/>
                <w:spacing w:val="-1"/>
                <w:sz w:val="18"/>
                <w:szCs w:val="18"/>
              </w:rPr>
              <w:t>反映部门预算安排和工作计划的匹</w:t>
            </w:r>
            <w:r>
              <w:rPr>
                <w:rFonts w:ascii="华文仿宋" w:hAnsi="华文仿宋" w:eastAsia="华文仿宋" w:cs="华文仿宋"/>
                <w:spacing w:val="-6"/>
                <w:sz w:val="18"/>
                <w:szCs w:val="18"/>
              </w:rPr>
              <w:t>配性，重点工作资金的保障性，项</w:t>
            </w:r>
            <w:r>
              <w:rPr>
                <w:rFonts w:ascii="华文仿宋" w:hAnsi="华文仿宋" w:eastAsia="华文仿宋" w:cs="华文仿宋"/>
                <w:spacing w:val="-2"/>
                <w:sz w:val="18"/>
                <w:szCs w:val="18"/>
              </w:rPr>
              <w:t>目是否遵循轻重缓急按序保障。</w:t>
            </w:r>
          </w:p>
          <w:p>
            <w:pPr>
              <w:spacing w:line="200" w:lineRule="auto"/>
              <w:ind w:left="117"/>
              <w:rPr>
                <w:rFonts w:ascii="华文仿宋" w:hAnsi="华文仿宋" w:eastAsia="华文仿宋" w:cs="华文仿宋"/>
                <w:sz w:val="18"/>
                <w:szCs w:val="18"/>
              </w:rPr>
            </w:pPr>
            <w:r>
              <w:rPr>
                <w:rFonts w:ascii="华文仿宋" w:hAnsi="华文仿宋" w:eastAsia="华文仿宋" w:cs="华文仿宋"/>
                <w:spacing w:val="-1"/>
                <w:sz w:val="18"/>
                <w:szCs w:val="18"/>
              </w:rPr>
              <w:t>1.专项支出立项依据是否充分；</w:t>
            </w:r>
          </w:p>
          <w:p>
            <w:pPr>
              <w:spacing w:before="93" w:line="285" w:lineRule="auto"/>
              <w:ind w:left="116" w:right="257" w:hanging="9"/>
              <w:rPr>
                <w:rFonts w:ascii="华文仿宋" w:hAnsi="华文仿宋" w:eastAsia="华文仿宋" w:cs="华文仿宋"/>
                <w:sz w:val="18"/>
                <w:szCs w:val="18"/>
              </w:rPr>
            </w:pPr>
            <w:r>
              <w:rPr>
                <w:rFonts w:ascii="华文仿宋" w:hAnsi="华文仿宋" w:eastAsia="华文仿宋" w:cs="华文仿宋"/>
                <w:spacing w:val="-1"/>
                <w:sz w:val="18"/>
                <w:szCs w:val="18"/>
              </w:rPr>
              <w:t>2.支出内容与工作计划是否一一对</w:t>
            </w:r>
            <w:r>
              <w:rPr>
                <w:rFonts w:ascii="华文仿宋" w:hAnsi="华文仿宋" w:eastAsia="华文仿宋" w:cs="华文仿宋"/>
                <w:spacing w:val="-7"/>
                <w:sz w:val="18"/>
                <w:szCs w:val="18"/>
              </w:rPr>
              <w:t>应；</w:t>
            </w:r>
          </w:p>
          <w:p>
            <w:pPr>
              <w:spacing w:line="292" w:lineRule="auto"/>
              <w:ind w:left="116" w:right="257" w:hanging="4"/>
              <w:rPr>
                <w:rFonts w:ascii="华文仿宋" w:hAnsi="华文仿宋" w:eastAsia="华文仿宋" w:cs="华文仿宋"/>
                <w:sz w:val="18"/>
                <w:szCs w:val="18"/>
              </w:rPr>
            </w:pPr>
            <w:r>
              <w:rPr>
                <w:rFonts w:ascii="华文仿宋" w:hAnsi="华文仿宋" w:eastAsia="华文仿宋" w:cs="华文仿宋"/>
                <w:spacing w:val="-2"/>
                <w:sz w:val="18"/>
                <w:szCs w:val="18"/>
              </w:rPr>
              <w:t>3.重点工作重点保障是否遵循轻重缓急按序保障。</w:t>
            </w:r>
          </w:p>
        </w:tc>
        <w:tc>
          <w:tcPr>
            <w:tcW w:w="918" w:type="dxa"/>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before="65" w:line="199" w:lineRule="auto"/>
              <w:ind w:left="287"/>
              <w:rPr>
                <w:rFonts w:ascii="华文仿宋" w:hAnsi="华文仿宋" w:eastAsia="华文仿宋" w:cs="华文仿宋"/>
                <w:sz w:val="18"/>
                <w:szCs w:val="18"/>
              </w:rPr>
            </w:pPr>
            <w:r>
              <w:rPr>
                <w:rFonts w:ascii="华文仿宋" w:hAnsi="华文仿宋" w:eastAsia="华文仿宋" w:cs="华文仿宋"/>
                <w:spacing w:val="-5"/>
                <w:sz w:val="18"/>
                <w:szCs w:val="18"/>
              </w:rPr>
              <w:t>合理</w:t>
            </w:r>
          </w:p>
        </w:tc>
        <w:tc>
          <w:tcPr>
            <w:tcW w:w="2171" w:type="dxa"/>
            <w:vAlign w:val="top"/>
          </w:tcPr>
          <w:p>
            <w:pPr>
              <w:spacing w:line="331" w:lineRule="auto"/>
              <w:rPr>
                <w:rFonts w:ascii="Arial"/>
                <w:sz w:val="21"/>
              </w:rPr>
            </w:pPr>
          </w:p>
          <w:p>
            <w:pPr>
              <w:spacing w:line="332" w:lineRule="auto"/>
              <w:rPr>
                <w:rFonts w:ascii="Arial"/>
                <w:sz w:val="21"/>
              </w:rPr>
            </w:pPr>
          </w:p>
          <w:p>
            <w:pPr>
              <w:spacing w:before="66" w:line="201" w:lineRule="auto"/>
              <w:ind w:left="118"/>
              <w:rPr>
                <w:rFonts w:ascii="华文仿宋" w:hAnsi="华文仿宋" w:eastAsia="华文仿宋" w:cs="华文仿宋"/>
                <w:sz w:val="18"/>
                <w:szCs w:val="18"/>
              </w:rPr>
            </w:pPr>
            <w:r>
              <w:rPr>
                <w:rFonts w:ascii="华文仿宋" w:hAnsi="华文仿宋" w:eastAsia="华文仿宋" w:cs="华文仿宋"/>
                <w:spacing w:val="-2"/>
                <w:sz w:val="18"/>
                <w:szCs w:val="18"/>
              </w:rPr>
              <w:t>专项支出立项依据充</w:t>
            </w:r>
          </w:p>
          <w:p>
            <w:pPr>
              <w:spacing w:before="94" w:line="288" w:lineRule="auto"/>
              <w:ind w:left="116" w:right="204" w:hanging="1"/>
              <w:rPr>
                <w:rFonts w:ascii="华文仿宋" w:hAnsi="华文仿宋" w:eastAsia="华文仿宋" w:cs="华文仿宋"/>
                <w:sz w:val="18"/>
                <w:szCs w:val="18"/>
              </w:rPr>
            </w:pPr>
            <w:r>
              <w:rPr>
                <w:rFonts w:ascii="华文仿宋" w:hAnsi="华文仿宋" w:eastAsia="华文仿宋" w:cs="华文仿宋"/>
                <w:spacing w:val="-3"/>
                <w:sz w:val="18"/>
                <w:szCs w:val="18"/>
              </w:rPr>
              <w:t>分、支出内容与工作计划一</w:t>
            </w:r>
            <w:r>
              <w:rPr>
                <w:rFonts w:hint="eastAsia" w:ascii="华文仿宋" w:hAnsi="华文仿宋" w:eastAsia="华文仿宋" w:cs="华文仿宋"/>
                <w:spacing w:val="-3"/>
                <w:sz w:val="18"/>
                <w:szCs w:val="18"/>
                <w:lang w:val="en-US" w:eastAsia="zh-CN"/>
              </w:rPr>
              <w:t>一</w:t>
            </w:r>
            <w:r>
              <w:rPr>
                <w:rFonts w:ascii="华文仿宋" w:hAnsi="华文仿宋" w:eastAsia="华文仿宋" w:cs="华文仿宋"/>
                <w:spacing w:val="-3"/>
                <w:sz w:val="18"/>
                <w:szCs w:val="18"/>
              </w:rPr>
              <w:t>对应、重点工作重点保障、遵循轻重缓急</w:t>
            </w:r>
            <w:r>
              <w:rPr>
                <w:rFonts w:ascii="华文仿宋" w:hAnsi="华文仿宋" w:eastAsia="华文仿宋" w:cs="华文仿宋"/>
                <w:spacing w:val="-5"/>
                <w:sz w:val="18"/>
                <w:szCs w:val="18"/>
              </w:rPr>
              <w:t>按序保障得3分，每一</w:t>
            </w:r>
            <w:r>
              <w:rPr>
                <w:rFonts w:ascii="华文仿宋" w:hAnsi="华文仿宋" w:eastAsia="华文仿宋" w:cs="华文仿宋"/>
                <w:spacing w:val="-3"/>
                <w:sz w:val="18"/>
                <w:szCs w:val="18"/>
              </w:rPr>
              <w:t>项不符合扣1分。</w:t>
            </w:r>
          </w:p>
        </w:tc>
        <w:tc>
          <w:tcPr>
            <w:tcW w:w="4007" w:type="dxa"/>
            <w:vAlign w:val="top"/>
          </w:tcPr>
          <w:p>
            <w:pPr>
              <w:spacing w:before="115" w:line="282" w:lineRule="auto"/>
              <w:ind w:left="117" w:right="114" w:hanging="1"/>
              <w:rPr>
                <w:rFonts w:ascii="华文仿宋" w:hAnsi="华文仿宋" w:eastAsia="华文仿宋" w:cs="华文仿宋"/>
                <w:sz w:val="18"/>
                <w:szCs w:val="18"/>
              </w:rPr>
            </w:pPr>
            <w:r>
              <w:rPr>
                <w:rFonts w:ascii="华文仿宋" w:hAnsi="华文仿宋" w:eastAsia="华文仿宋" w:cs="华文仿宋"/>
                <w:spacing w:val="-3"/>
                <w:sz w:val="18"/>
                <w:szCs w:val="18"/>
              </w:rPr>
              <w:t>根据区民政局提供的部门职责、部门预算批复、预算测算依据等相关资料，区民政局年初预算项</w:t>
            </w:r>
            <w:r>
              <w:rPr>
                <w:rFonts w:ascii="华文仿宋" w:hAnsi="华文仿宋" w:eastAsia="华文仿宋" w:cs="华文仿宋"/>
                <w:spacing w:val="-4"/>
                <w:sz w:val="18"/>
                <w:szCs w:val="18"/>
              </w:rPr>
              <w:t>目为完成低保金发放，发放残疾人两项补贴，发</w:t>
            </w:r>
            <w:r>
              <w:rPr>
                <w:rFonts w:ascii="华文仿宋" w:hAnsi="华文仿宋" w:eastAsia="华文仿宋" w:cs="华文仿宋"/>
                <w:spacing w:val="-3"/>
                <w:sz w:val="18"/>
                <w:szCs w:val="18"/>
              </w:rPr>
              <w:t>放老年人补贴、失地人员、城市话转移安置搬迁</w:t>
            </w:r>
            <w:r>
              <w:rPr>
                <w:rFonts w:ascii="华文仿宋" w:hAnsi="华文仿宋" w:eastAsia="华文仿宋" w:cs="华文仿宋"/>
                <w:spacing w:val="-4"/>
                <w:sz w:val="18"/>
                <w:szCs w:val="18"/>
              </w:rPr>
              <w:t>工作，保障各类群众基本生活等，各专项均具有</w:t>
            </w:r>
            <w:r>
              <w:rPr>
                <w:rFonts w:ascii="华文仿宋" w:hAnsi="华文仿宋" w:eastAsia="华文仿宋" w:cs="华文仿宋"/>
                <w:spacing w:val="-3"/>
                <w:sz w:val="18"/>
                <w:szCs w:val="18"/>
              </w:rPr>
              <w:t>完整的立项依据及测算标准，且部门全年预算支出方向主要为城乡低保、残疾人两项、老年人补贴、失地搬迁补助支出等，符合部门年度工作计划内容，重点工作保障遵循轻重缓急按顺序保障</w:t>
            </w:r>
            <w:r>
              <w:rPr>
                <w:rFonts w:ascii="华文仿宋" w:hAnsi="华文仿宋" w:eastAsia="华文仿宋" w:cs="华文仿宋"/>
                <w:spacing w:val="-4"/>
                <w:sz w:val="18"/>
                <w:szCs w:val="18"/>
              </w:rPr>
              <w:t>机制。依据评价标准，该指标得3分。</w:t>
            </w:r>
          </w:p>
        </w:tc>
        <w:tc>
          <w:tcPr>
            <w:tcW w:w="684"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177" w:lineRule="auto"/>
              <w:ind w:left="308"/>
              <w:rPr>
                <w:rFonts w:ascii="华文仿宋" w:hAnsi="华文仿宋" w:eastAsia="华文仿宋" w:cs="华文仿宋"/>
                <w:sz w:val="18"/>
                <w:szCs w:val="18"/>
              </w:rPr>
            </w:pPr>
            <w:r>
              <w:rPr>
                <w:rFonts w:ascii="华文仿宋" w:hAnsi="华文仿宋" w:eastAsia="华文仿宋" w:cs="华文仿宋"/>
                <w:sz w:val="18"/>
                <w:szCs w:val="18"/>
              </w:rPr>
              <w:t>3</w:t>
            </w:r>
          </w:p>
        </w:tc>
        <w:tc>
          <w:tcPr>
            <w:tcW w:w="832"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before="65"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bl>
    <w:p>
      <w:pPr>
        <w:pStyle w:val="2"/>
      </w:pPr>
    </w:p>
    <w:p>
      <w:pPr>
        <w:sectPr>
          <w:footerReference r:id="rId11" w:type="default"/>
          <w:pgSz w:w="16839" w:h="11906"/>
          <w:pgMar w:top="1012" w:right="595" w:bottom="1575" w:left="692" w:header="0" w:footer="1289" w:gutter="0"/>
          <w:pgNumType w:fmt="decimal"/>
          <w:cols w:space="720" w:num="1"/>
        </w:sectPr>
      </w:pPr>
    </w:p>
    <w:p>
      <w:pPr>
        <w:pStyle w:val="2"/>
        <w:spacing w:line="287" w:lineRule="auto"/>
      </w:pPr>
    </w:p>
    <w:p>
      <w:pPr>
        <w:spacing w:before="102" w:line="201" w:lineRule="auto"/>
        <w:ind w:left="140" w:firstLine="231" w:firstLineChars="100"/>
        <w:rPr>
          <w:rFonts w:hint="eastAsia" w:ascii="仿宋" w:hAnsi="仿宋" w:eastAsia="仿宋" w:cs="仿宋"/>
          <w:sz w:val="24"/>
          <w:szCs w:val="24"/>
        </w:rPr>
      </w:pPr>
      <w:r>
        <w:rPr>
          <w:rFonts w:hint="eastAsia" w:ascii="仿宋" w:hAnsi="仿宋" w:eastAsia="仿宋" w:cs="仿宋"/>
          <w:b/>
          <w:bCs/>
          <w:spacing w:val="-5"/>
          <w:sz w:val="24"/>
          <w:szCs w:val="24"/>
        </w:rPr>
        <w:t>附件一：部门整体绩效评价指标体系评分表</w:t>
      </w:r>
    </w:p>
    <w:p>
      <w:pPr>
        <w:spacing w:line="109" w:lineRule="exact"/>
      </w:pPr>
    </w:p>
    <w:tbl>
      <w:tblPr>
        <w:tblStyle w:val="7"/>
        <w:tblW w:w="155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999"/>
        <w:gridCol w:w="1167"/>
        <w:gridCol w:w="665"/>
        <w:gridCol w:w="3011"/>
        <w:gridCol w:w="918"/>
        <w:gridCol w:w="2171"/>
        <w:gridCol w:w="4007"/>
        <w:gridCol w:w="684"/>
        <w:gridCol w:w="8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6" w:hRule="atLeast"/>
        </w:trPr>
        <w:tc>
          <w:tcPr>
            <w:tcW w:w="1091" w:type="dxa"/>
            <w:vAlign w:val="top"/>
          </w:tcPr>
          <w:p>
            <w:pPr>
              <w:spacing w:before="112" w:line="199" w:lineRule="auto"/>
              <w:ind w:left="201"/>
              <w:rPr>
                <w:rFonts w:ascii="华文仿宋" w:hAnsi="华文仿宋" w:eastAsia="华文仿宋" w:cs="华文仿宋"/>
                <w:sz w:val="18"/>
                <w:szCs w:val="18"/>
              </w:rPr>
            </w:pPr>
            <w:r>
              <w:rPr>
                <w:rFonts w:ascii="华文仿宋" w:hAnsi="华文仿宋" w:eastAsia="华文仿宋" w:cs="华文仿宋"/>
                <w:b/>
                <w:bCs/>
                <w:spacing w:val="-7"/>
                <w:sz w:val="18"/>
                <w:szCs w:val="18"/>
              </w:rPr>
              <w:t>一级指标</w:t>
            </w:r>
          </w:p>
        </w:tc>
        <w:tc>
          <w:tcPr>
            <w:tcW w:w="999" w:type="dxa"/>
            <w:vAlign w:val="top"/>
          </w:tcPr>
          <w:p>
            <w:pPr>
              <w:spacing w:before="112" w:line="199" w:lineRule="auto"/>
              <w:ind w:left="152"/>
              <w:rPr>
                <w:rFonts w:ascii="华文仿宋" w:hAnsi="华文仿宋" w:eastAsia="华文仿宋" w:cs="华文仿宋"/>
                <w:sz w:val="18"/>
                <w:szCs w:val="18"/>
              </w:rPr>
            </w:pPr>
            <w:r>
              <w:rPr>
                <w:rFonts w:ascii="华文仿宋" w:hAnsi="华文仿宋" w:eastAsia="华文仿宋" w:cs="华文仿宋"/>
                <w:b/>
                <w:bCs/>
                <w:spacing w:val="-7"/>
                <w:sz w:val="18"/>
                <w:szCs w:val="18"/>
              </w:rPr>
              <w:t>二级指标</w:t>
            </w:r>
          </w:p>
        </w:tc>
        <w:tc>
          <w:tcPr>
            <w:tcW w:w="1167" w:type="dxa"/>
            <w:vAlign w:val="top"/>
          </w:tcPr>
          <w:p>
            <w:pPr>
              <w:spacing w:before="112" w:line="199" w:lineRule="auto"/>
              <w:ind w:left="241"/>
              <w:rPr>
                <w:rFonts w:ascii="华文仿宋" w:hAnsi="华文仿宋" w:eastAsia="华文仿宋" w:cs="华文仿宋"/>
                <w:sz w:val="18"/>
                <w:szCs w:val="18"/>
              </w:rPr>
            </w:pPr>
            <w:r>
              <w:rPr>
                <w:rFonts w:ascii="华文仿宋" w:hAnsi="华文仿宋" w:eastAsia="华文仿宋" w:cs="华文仿宋"/>
                <w:b/>
                <w:bCs/>
                <w:spacing w:val="-8"/>
                <w:sz w:val="18"/>
                <w:szCs w:val="18"/>
              </w:rPr>
              <w:t>三级指标</w:t>
            </w:r>
          </w:p>
        </w:tc>
        <w:tc>
          <w:tcPr>
            <w:tcW w:w="665" w:type="dxa"/>
            <w:vAlign w:val="top"/>
          </w:tcPr>
          <w:p>
            <w:pPr>
              <w:spacing w:before="113" w:line="198" w:lineRule="auto"/>
              <w:ind w:left="159"/>
              <w:rPr>
                <w:rFonts w:ascii="华文仿宋" w:hAnsi="华文仿宋" w:eastAsia="华文仿宋" w:cs="华文仿宋"/>
                <w:sz w:val="18"/>
                <w:szCs w:val="18"/>
              </w:rPr>
            </w:pPr>
            <w:r>
              <w:rPr>
                <w:rFonts w:ascii="华文仿宋" w:hAnsi="华文仿宋" w:eastAsia="华文仿宋" w:cs="华文仿宋"/>
                <w:b/>
                <w:bCs/>
                <w:spacing w:val="-7"/>
                <w:sz w:val="18"/>
                <w:szCs w:val="18"/>
              </w:rPr>
              <w:t>权重</w:t>
            </w:r>
          </w:p>
        </w:tc>
        <w:tc>
          <w:tcPr>
            <w:tcW w:w="3011" w:type="dxa"/>
            <w:vAlign w:val="top"/>
          </w:tcPr>
          <w:p>
            <w:pPr>
              <w:spacing w:before="112" w:line="199" w:lineRule="auto"/>
              <w:ind w:left="705"/>
              <w:rPr>
                <w:rFonts w:ascii="华文仿宋" w:hAnsi="华文仿宋" w:eastAsia="华文仿宋" w:cs="华文仿宋"/>
                <w:sz w:val="18"/>
                <w:szCs w:val="18"/>
              </w:rPr>
            </w:pPr>
            <w:r>
              <w:rPr>
                <w:rFonts w:ascii="华文仿宋" w:hAnsi="华文仿宋" w:eastAsia="华文仿宋" w:cs="华文仿宋"/>
                <w:b/>
                <w:bCs/>
                <w:spacing w:val="-4"/>
                <w:sz w:val="18"/>
                <w:szCs w:val="18"/>
              </w:rPr>
              <w:t>指标解释及评价要点</w:t>
            </w:r>
          </w:p>
        </w:tc>
        <w:tc>
          <w:tcPr>
            <w:tcW w:w="918" w:type="dxa"/>
            <w:vAlign w:val="top"/>
          </w:tcPr>
          <w:p>
            <w:pPr>
              <w:spacing w:before="112" w:line="199" w:lineRule="auto"/>
              <w:ind w:left="197"/>
              <w:rPr>
                <w:rFonts w:ascii="华文仿宋" w:hAnsi="华文仿宋" w:eastAsia="华文仿宋" w:cs="华文仿宋"/>
                <w:sz w:val="18"/>
                <w:szCs w:val="18"/>
              </w:rPr>
            </w:pPr>
            <w:r>
              <w:rPr>
                <w:rFonts w:ascii="华文仿宋" w:hAnsi="华文仿宋" w:eastAsia="华文仿宋" w:cs="华文仿宋"/>
                <w:b/>
                <w:bCs/>
                <w:spacing w:val="-6"/>
                <w:sz w:val="18"/>
                <w:szCs w:val="18"/>
              </w:rPr>
              <w:t>标杆值</w:t>
            </w:r>
          </w:p>
        </w:tc>
        <w:tc>
          <w:tcPr>
            <w:tcW w:w="2171" w:type="dxa"/>
            <w:vAlign w:val="top"/>
          </w:tcPr>
          <w:p>
            <w:pPr>
              <w:spacing w:before="112" w:line="199" w:lineRule="auto"/>
              <w:ind w:left="730"/>
              <w:rPr>
                <w:rFonts w:ascii="华文仿宋" w:hAnsi="华文仿宋" w:eastAsia="华文仿宋" w:cs="华文仿宋"/>
                <w:sz w:val="18"/>
                <w:szCs w:val="18"/>
              </w:rPr>
            </w:pPr>
            <w:r>
              <w:rPr>
                <w:rFonts w:ascii="华文仿宋" w:hAnsi="华文仿宋" w:eastAsia="华文仿宋" w:cs="华文仿宋"/>
                <w:b/>
                <w:bCs/>
                <w:spacing w:val="-4"/>
                <w:sz w:val="18"/>
                <w:szCs w:val="18"/>
              </w:rPr>
              <w:t>评价标准</w:t>
            </w:r>
          </w:p>
        </w:tc>
        <w:tc>
          <w:tcPr>
            <w:tcW w:w="4007" w:type="dxa"/>
            <w:vAlign w:val="top"/>
          </w:tcPr>
          <w:p>
            <w:pPr>
              <w:spacing w:before="113" w:line="198" w:lineRule="auto"/>
              <w:ind w:left="1648"/>
              <w:rPr>
                <w:rFonts w:ascii="华文仿宋" w:hAnsi="华文仿宋" w:eastAsia="华文仿宋" w:cs="华文仿宋"/>
                <w:sz w:val="18"/>
                <w:szCs w:val="18"/>
              </w:rPr>
            </w:pPr>
            <w:r>
              <w:rPr>
                <w:rFonts w:ascii="华文仿宋" w:hAnsi="华文仿宋" w:eastAsia="华文仿宋" w:cs="华文仿宋"/>
                <w:b/>
                <w:bCs/>
                <w:spacing w:val="-4"/>
                <w:sz w:val="18"/>
                <w:szCs w:val="18"/>
              </w:rPr>
              <w:t>评分过程</w:t>
            </w:r>
          </w:p>
        </w:tc>
        <w:tc>
          <w:tcPr>
            <w:tcW w:w="684" w:type="dxa"/>
            <w:vAlign w:val="top"/>
          </w:tcPr>
          <w:p>
            <w:pPr>
              <w:spacing w:before="114" w:line="197" w:lineRule="auto"/>
              <w:ind w:left="172"/>
              <w:rPr>
                <w:rFonts w:ascii="华文仿宋" w:hAnsi="华文仿宋" w:eastAsia="华文仿宋" w:cs="华文仿宋"/>
                <w:sz w:val="18"/>
                <w:szCs w:val="18"/>
              </w:rPr>
            </w:pPr>
            <w:r>
              <w:rPr>
                <w:rFonts w:ascii="华文仿宋" w:hAnsi="华文仿宋" w:eastAsia="华文仿宋" w:cs="华文仿宋"/>
                <w:b/>
                <w:bCs/>
                <w:spacing w:val="-8"/>
                <w:sz w:val="18"/>
                <w:szCs w:val="18"/>
              </w:rPr>
              <w:t>得分</w:t>
            </w:r>
          </w:p>
        </w:tc>
        <w:tc>
          <w:tcPr>
            <w:tcW w:w="832" w:type="dxa"/>
            <w:vAlign w:val="top"/>
          </w:tcPr>
          <w:p>
            <w:pPr>
              <w:spacing w:before="111" w:line="200" w:lineRule="auto"/>
              <w:ind w:left="152"/>
              <w:rPr>
                <w:rFonts w:ascii="华文仿宋" w:hAnsi="华文仿宋" w:eastAsia="华文仿宋" w:cs="华文仿宋"/>
                <w:sz w:val="18"/>
                <w:szCs w:val="18"/>
              </w:rPr>
            </w:pPr>
            <w:r>
              <w:rPr>
                <w:rFonts w:ascii="华文仿宋" w:hAnsi="华文仿宋" w:eastAsia="华文仿宋" w:cs="华文仿宋"/>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724" w:hRule="atLeast"/>
        </w:trPr>
        <w:tc>
          <w:tcPr>
            <w:tcW w:w="1091" w:type="dxa"/>
            <w:vMerge w:val="restart"/>
            <w:tcBorders>
              <w:bottom w:val="nil"/>
            </w:tcBorders>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65" w:line="288" w:lineRule="auto"/>
              <w:ind w:left="306" w:right="182" w:hanging="109"/>
              <w:rPr>
                <w:rFonts w:ascii="华文仿宋" w:hAnsi="华文仿宋" w:eastAsia="华文仿宋" w:cs="华文仿宋"/>
                <w:sz w:val="18"/>
                <w:szCs w:val="18"/>
              </w:rPr>
            </w:pPr>
            <w:r>
              <w:rPr>
                <w:rFonts w:ascii="华文仿宋" w:hAnsi="华文仿宋" w:eastAsia="华文仿宋" w:cs="华文仿宋"/>
                <w:spacing w:val="-4"/>
                <w:sz w:val="18"/>
                <w:szCs w:val="18"/>
              </w:rPr>
              <w:t>部门管理</w:t>
            </w:r>
            <w:r>
              <w:rPr>
                <w:rFonts w:ascii="华文仿宋" w:hAnsi="华文仿宋" w:eastAsia="华文仿宋" w:cs="华文仿宋"/>
                <w:spacing w:val="-7"/>
                <w:sz w:val="18"/>
                <w:szCs w:val="18"/>
              </w:rPr>
              <w:t>（35）</w:t>
            </w:r>
          </w:p>
        </w:tc>
        <w:tc>
          <w:tcPr>
            <w:tcW w:w="999" w:type="dxa"/>
            <w:vMerge w:val="restart"/>
            <w:tcBorders>
              <w:bottom w:val="nil"/>
            </w:tcBorders>
            <w:vAlign w:val="top"/>
          </w:tcPr>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7"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before="65" w:line="201" w:lineRule="auto"/>
              <w:ind w:left="149"/>
              <w:rPr>
                <w:rFonts w:ascii="华文仿宋" w:hAnsi="华文仿宋" w:eastAsia="华文仿宋" w:cs="华文仿宋"/>
                <w:sz w:val="18"/>
                <w:szCs w:val="18"/>
              </w:rPr>
            </w:pPr>
            <w:r>
              <w:rPr>
                <w:rFonts w:ascii="华文仿宋" w:hAnsi="华文仿宋" w:eastAsia="华文仿宋" w:cs="华文仿宋"/>
                <w:spacing w:val="-4"/>
                <w:sz w:val="18"/>
                <w:szCs w:val="18"/>
              </w:rPr>
              <w:t>预算资金</w:t>
            </w:r>
          </w:p>
          <w:p>
            <w:pPr>
              <w:spacing w:before="94" w:line="199" w:lineRule="auto"/>
              <w:ind w:left="328"/>
              <w:rPr>
                <w:rFonts w:ascii="华文仿宋" w:hAnsi="华文仿宋" w:eastAsia="华文仿宋" w:cs="华文仿宋"/>
                <w:sz w:val="18"/>
                <w:szCs w:val="18"/>
              </w:rPr>
            </w:pPr>
            <w:r>
              <w:rPr>
                <w:rFonts w:ascii="华文仿宋" w:hAnsi="华文仿宋" w:eastAsia="华文仿宋" w:cs="华文仿宋"/>
                <w:spacing w:val="-8"/>
                <w:sz w:val="18"/>
                <w:szCs w:val="18"/>
              </w:rPr>
              <w:t>管理</w:t>
            </w:r>
          </w:p>
          <w:p>
            <w:pPr>
              <w:spacing w:before="57" w:line="283" w:lineRule="exact"/>
              <w:ind w:left="256"/>
              <w:rPr>
                <w:rFonts w:ascii="华文仿宋" w:hAnsi="华文仿宋" w:eastAsia="华文仿宋" w:cs="华文仿宋"/>
                <w:sz w:val="18"/>
                <w:szCs w:val="18"/>
              </w:rPr>
            </w:pPr>
            <w:r>
              <w:rPr>
                <w:rFonts w:ascii="华文仿宋" w:hAnsi="华文仿宋" w:eastAsia="华文仿宋" w:cs="华文仿宋"/>
                <w:spacing w:val="-7"/>
                <w:position w:val="3"/>
                <w:sz w:val="18"/>
                <w:szCs w:val="18"/>
              </w:rPr>
              <w:t>（14）</w:t>
            </w:r>
          </w:p>
        </w:tc>
        <w:tc>
          <w:tcPr>
            <w:tcW w:w="1167" w:type="dxa"/>
            <w:vAlign w:val="top"/>
          </w:tcPr>
          <w:p>
            <w:pPr>
              <w:spacing w:line="274" w:lineRule="auto"/>
              <w:rPr>
                <w:rFonts w:ascii="Arial"/>
                <w:sz w:val="21"/>
              </w:rPr>
            </w:pPr>
          </w:p>
          <w:p>
            <w:pPr>
              <w:spacing w:line="275" w:lineRule="auto"/>
              <w:rPr>
                <w:rFonts w:ascii="Arial"/>
                <w:sz w:val="21"/>
              </w:rPr>
            </w:pPr>
          </w:p>
          <w:p>
            <w:pPr>
              <w:spacing w:before="65" w:line="293" w:lineRule="auto"/>
              <w:ind w:left="235" w:right="133" w:hanging="96"/>
              <w:rPr>
                <w:rFonts w:ascii="华文仿宋" w:hAnsi="华文仿宋" w:eastAsia="华文仿宋" w:cs="华文仿宋"/>
                <w:sz w:val="18"/>
                <w:szCs w:val="18"/>
              </w:rPr>
            </w:pPr>
            <w:r>
              <w:rPr>
                <w:rFonts w:ascii="华文仿宋" w:hAnsi="华文仿宋" w:eastAsia="华文仿宋" w:cs="华文仿宋"/>
                <w:spacing w:val="-3"/>
                <w:sz w:val="18"/>
                <w:szCs w:val="18"/>
              </w:rPr>
              <w:t>基本支出预</w:t>
            </w:r>
            <w:r>
              <w:rPr>
                <w:rFonts w:ascii="华文仿宋" w:hAnsi="华文仿宋" w:eastAsia="华文仿宋" w:cs="华文仿宋"/>
                <w:spacing w:val="-4"/>
                <w:sz w:val="18"/>
                <w:szCs w:val="18"/>
              </w:rPr>
              <w:t>算执行率</w:t>
            </w:r>
          </w:p>
        </w:tc>
        <w:tc>
          <w:tcPr>
            <w:tcW w:w="665" w:type="dxa"/>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before="66" w:line="177" w:lineRule="auto"/>
              <w:ind w:left="290"/>
              <w:rPr>
                <w:rFonts w:ascii="华文仿宋" w:hAnsi="华文仿宋" w:eastAsia="华文仿宋" w:cs="华文仿宋"/>
                <w:sz w:val="18"/>
                <w:szCs w:val="18"/>
              </w:rPr>
            </w:pPr>
            <w:r>
              <w:rPr>
                <w:rFonts w:ascii="华文仿宋" w:hAnsi="华文仿宋" w:eastAsia="华文仿宋" w:cs="华文仿宋"/>
                <w:sz w:val="18"/>
                <w:szCs w:val="18"/>
              </w:rPr>
              <w:t>2</w:t>
            </w:r>
          </w:p>
        </w:tc>
        <w:tc>
          <w:tcPr>
            <w:tcW w:w="3011" w:type="dxa"/>
            <w:vAlign w:val="top"/>
          </w:tcPr>
          <w:p>
            <w:pPr>
              <w:spacing w:before="148" w:line="270" w:lineRule="auto"/>
              <w:ind w:left="115" w:right="202" w:hanging="1"/>
              <w:rPr>
                <w:rFonts w:ascii="华文仿宋" w:hAnsi="华文仿宋" w:eastAsia="华文仿宋" w:cs="华文仿宋"/>
                <w:sz w:val="18"/>
                <w:szCs w:val="18"/>
              </w:rPr>
            </w:pPr>
            <w:r>
              <w:rPr>
                <w:rFonts w:ascii="华文仿宋" w:hAnsi="华文仿宋" w:eastAsia="华文仿宋" w:cs="华文仿宋"/>
                <w:spacing w:val="-1"/>
                <w:sz w:val="18"/>
                <w:szCs w:val="18"/>
              </w:rPr>
              <w:t>反映部门全年基本支出预算执行情</w:t>
            </w:r>
            <w:r>
              <w:rPr>
                <w:rFonts w:ascii="华文仿宋" w:hAnsi="华文仿宋" w:eastAsia="华文仿宋" w:cs="华文仿宋"/>
                <w:spacing w:val="-6"/>
                <w:sz w:val="18"/>
                <w:szCs w:val="18"/>
              </w:rPr>
              <w:t>况。</w:t>
            </w:r>
          </w:p>
          <w:p>
            <w:pPr>
              <w:spacing w:before="1" w:line="286" w:lineRule="auto"/>
              <w:ind w:left="117" w:right="209" w:hanging="3"/>
              <w:rPr>
                <w:rFonts w:ascii="华文仿宋" w:hAnsi="华文仿宋" w:eastAsia="华文仿宋" w:cs="华文仿宋"/>
                <w:sz w:val="18"/>
                <w:szCs w:val="18"/>
              </w:rPr>
            </w:pPr>
            <w:r>
              <w:rPr>
                <w:rFonts w:ascii="华文仿宋" w:hAnsi="华文仿宋" w:eastAsia="华文仿宋" w:cs="华文仿宋"/>
                <w:spacing w:val="-1"/>
                <w:sz w:val="18"/>
                <w:szCs w:val="18"/>
              </w:rPr>
              <w:t>基本支出预算执行率=(基本支出预</w:t>
            </w:r>
            <w:r>
              <w:rPr>
                <w:rFonts w:ascii="华文仿宋" w:hAnsi="华文仿宋" w:eastAsia="华文仿宋" w:cs="华文仿宋"/>
                <w:spacing w:val="-4"/>
                <w:sz w:val="18"/>
                <w:szCs w:val="18"/>
              </w:rPr>
              <w:t>算执行数/基本支出全年预算数)×100%</w:t>
            </w:r>
          </w:p>
        </w:tc>
        <w:tc>
          <w:tcPr>
            <w:tcW w:w="918" w:type="dxa"/>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before="66" w:line="177" w:lineRule="auto"/>
              <w:ind w:left="269"/>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c>
          <w:tcPr>
            <w:tcW w:w="2171" w:type="dxa"/>
            <w:vAlign w:val="top"/>
          </w:tcPr>
          <w:p>
            <w:pPr>
              <w:spacing w:line="395" w:lineRule="auto"/>
              <w:rPr>
                <w:rFonts w:ascii="Arial"/>
                <w:sz w:val="21"/>
              </w:rPr>
            </w:pPr>
          </w:p>
          <w:p>
            <w:pPr>
              <w:spacing w:before="65" w:line="289" w:lineRule="auto"/>
              <w:ind w:left="119" w:right="139"/>
              <w:jc w:val="both"/>
              <w:rPr>
                <w:rFonts w:ascii="华文仿宋" w:hAnsi="华文仿宋" w:eastAsia="华文仿宋" w:cs="华文仿宋"/>
                <w:sz w:val="18"/>
                <w:szCs w:val="18"/>
              </w:rPr>
            </w:pPr>
            <w:r>
              <w:rPr>
                <w:rFonts w:ascii="华文仿宋" w:hAnsi="华文仿宋" w:eastAsia="华文仿宋" w:cs="华文仿宋"/>
                <w:spacing w:val="-5"/>
                <w:sz w:val="18"/>
                <w:szCs w:val="18"/>
              </w:rPr>
              <w:t>执行率100%得满分，每</w:t>
            </w:r>
            <w:r>
              <w:rPr>
                <w:rFonts w:ascii="华文仿宋" w:hAnsi="华文仿宋" w:eastAsia="华文仿宋" w:cs="华文仿宋"/>
                <w:spacing w:val="-6"/>
                <w:sz w:val="18"/>
                <w:szCs w:val="18"/>
              </w:rPr>
              <w:t>降低1%扣0.10分，扣完</w:t>
            </w:r>
            <w:r>
              <w:rPr>
                <w:rFonts w:ascii="华文仿宋" w:hAnsi="华文仿宋" w:eastAsia="华文仿宋" w:cs="华文仿宋"/>
                <w:spacing w:val="-5"/>
                <w:sz w:val="18"/>
                <w:szCs w:val="18"/>
              </w:rPr>
              <w:t>为止。</w:t>
            </w:r>
          </w:p>
        </w:tc>
        <w:tc>
          <w:tcPr>
            <w:tcW w:w="4007" w:type="dxa"/>
            <w:vAlign w:val="top"/>
          </w:tcPr>
          <w:p>
            <w:pPr>
              <w:spacing w:before="305" w:line="286" w:lineRule="auto"/>
              <w:ind w:left="121" w:right="105" w:hanging="5"/>
              <w:rPr>
                <w:rFonts w:ascii="华文仿宋" w:hAnsi="华文仿宋" w:eastAsia="华文仿宋" w:cs="华文仿宋"/>
                <w:sz w:val="18"/>
                <w:szCs w:val="18"/>
              </w:rPr>
            </w:pPr>
            <w:r>
              <w:rPr>
                <w:rFonts w:ascii="华文仿宋" w:hAnsi="华文仿宋" w:eastAsia="华文仿宋" w:cs="华文仿宋"/>
                <w:spacing w:val="-2"/>
                <w:sz w:val="18"/>
                <w:szCs w:val="18"/>
              </w:rPr>
              <w:t>根据区民政局提供的预算批复、决算报表等相关</w:t>
            </w:r>
            <w:r>
              <w:rPr>
                <w:rFonts w:ascii="华文仿宋" w:hAnsi="华文仿宋" w:eastAsia="华文仿宋" w:cs="华文仿宋"/>
                <w:spacing w:val="-3"/>
                <w:sz w:val="18"/>
                <w:szCs w:val="18"/>
              </w:rPr>
              <w:t>资料，区民政局基本支出全年预算数为601.88万</w:t>
            </w:r>
            <w:r>
              <w:rPr>
                <w:rFonts w:ascii="华文仿宋" w:hAnsi="华文仿宋" w:eastAsia="华文仿宋" w:cs="华文仿宋"/>
                <w:spacing w:val="-5"/>
                <w:sz w:val="18"/>
                <w:szCs w:val="18"/>
              </w:rPr>
              <w:t>元，全年执行数为601.88万元，执行率为</w:t>
            </w:r>
          </w:p>
          <w:p>
            <w:pPr>
              <w:spacing w:line="199" w:lineRule="auto"/>
              <w:ind w:left="120"/>
              <w:rPr>
                <w:rFonts w:ascii="华文仿宋" w:hAnsi="华文仿宋" w:eastAsia="华文仿宋" w:cs="华文仿宋"/>
                <w:sz w:val="18"/>
                <w:szCs w:val="18"/>
              </w:rPr>
            </w:pPr>
            <w:r>
              <w:rPr>
                <w:rFonts w:ascii="华文仿宋" w:hAnsi="华文仿宋" w:eastAsia="华文仿宋" w:cs="华文仿宋"/>
                <w:spacing w:val="-4"/>
                <w:sz w:val="18"/>
                <w:szCs w:val="18"/>
              </w:rPr>
              <w:t>100%。依据评价标准，该指标得2分。</w:t>
            </w:r>
          </w:p>
        </w:tc>
        <w:tc>
          <w:tcPr>
            <w:tcW w:w="684" w:type="dxa"/>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before="66" w:line="177" w:lineRule="auto"/>
              <w:ind w:left="304"/>
              <w:rPr>
                <w:rFonts w:ascii="华文仿宋" w:hAnsi="华文仿宋" w:eastAsia="华文仿宋" w:cs="华文仿宋"/>
                <w:sz w:val="18"/>
                <w:szCs w:val="18"/>
              </w:rPr>
            </w:pPr>
            <w:r>
              <w:rPr>
                <w:rFonts w:ascii="华文仿宋" w:hAnsi="华文仿宋" w:eastAsia="华文仿宋" w:cs="华文仿宋"/>
                <w:sz w:val="18"/>
                <w:szCs w:val="18"/>
              </w:rPr>
              <w:t>2</w:t>
            </w:r>
          </w:p>
        </w:tc>
        <w:tc>
          <w:tcPr>
            <w:tcW w:w="832" w:type="dxa"/>
            <w:vAlign w:val="top"/>
          </w:tcPr>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before="66"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077" w:hRule="atLeast"/>
        </w:trPr>
        <w:tc>
          <w:tcPr>
            <w:tcW w:w="1091" w:type="dxa"/>
            <w:vMerge w:val="continue"/>
            <w:tcBorders>
              <w:top w:val="nil"/>
              <w:bottom w:val="nil"/>
            </w:tcBorders>
            <w:vAlign w:val="top"/>
          </w:tcPr>
          <w:p>
            <w:pPr>
              <w:rPr>
                <w:rFonts w:ascii="Arial"/>
                <w:sz w:val="21"/>
              </w:rPr>
            </w:pPr>
          </w:p>
        </w:tc>
        <w:tc>
          <w:tcPr>
            <w:tcW w:w="999" w:type="dxa"/>
            <w:vMerge w:val="continue"/>
            <w:tcBorders>
              <w:top w:val="nil"/>
              <w:bottom w:val="nil"/>
            </w:tcBorders>
            <w:vAlign w:val="top"/>
          </w:tcPr>
          <w:p>
            <w:pPr>
              <w:rPr>
                <w:rFonts w:ascii="Arial"/>
                <w:sz w:val="21"/>
              </w:rPr>
            </w:pPr>
          </w:p>
        </w:tc>
        <w:tc>
          <w:tcPr>
            <w:tcW w:w="1167" w:type="dxa"/>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66" w:line="294" w:lineRule="auto"/>
              <w:ind w:left="235" w:right="133" w:hanging="92"/>
              <w:rPr>
                <w:rFonts w:ascii="华文仿宋" w:hAnsi="华文仿宋" w:eastAsia="华文仿宋" w:cs="华文仿宋"/>
                <w:sz w:val="18"/>
                <w:szCs w:val="18"/>
              </w:rPr>
            </w:pPr>
            <w:r>
              <w:rPr>
                <w:rFonts w:ascii="华文仿宋" w:hAnsi="华文仿宋" w:eastAsia="华文仿宋" w:cs="华文仿宋"/>
                <w:spacing w:val="-3"/>
                <w:sz w:val="18"/>
                <w:szCs w:val="18"/>
              </w:rPr>
              <w:t>项目支出预</w:t>
            </w:r>
            <w:r>
              <w:rPr>
                <w:rFonts w:ascii="华文仿宋" w:hAnsi="华文仿宋" w:eastAsia="华文仿宋" w:cs="华文仿宋"/>
                <w:spacing w:val="-4"/>
                <w:sz w:val="18"/>
                <w:szCs w:val="18"/>
              </w:rPr>
              <w:t>算执行率</w:t>
            </w:r>
          </w:p>
        </w:tc>
        <w:tc>
          <w:tcPr>
            <w:tcW w:w="665" w:type="dxa"/>
            <w:vAlign w:val="top"/>
          </w:tcPr>
          <w:p>
            <w:pPr>
              <w:spacing w:line="301" w:lineRule="auto"/>
              <w:rPr>
                <w:rFonts w:ascii="Arial"/>
                <w:sz w:val="21"/>
              </w:rPr>
            </w:pPr>
          </w:p>
          <w:p>
            <w:pPr>
              <w:spacing w:line="301" w:lineRule="auto"/>
              <w:rPr>
                <w:rFonts w:ascii="Arial"/>
                <w:sz w:val="21"/>
              </w:rPr>
            </w:pPr>
          </w:p>
          <w:p>
            <w:pPr>
              <w:spacing w:line="302" w:lineRule="auto"/>
              <w:rPr>
                <w:rFonts w:ascii="Arial"/>
                <w:sz w:val="21"/>
              </w:rPr>
            </w:pPr>
          </w:p>
          <w:p>
            <w:pPr>
              <w:spacing w:before="65" w:line="177" w:lineRule="auto"/>
              <w:ind w:left="290"/>
              <w:rPr>
                <w:rFonts w:ascii="华文仿宋" w:hAnsi="华文仿宋" w:eastAsia="华文仿宋" w:cs="华文仿宋"/>
                <w:sz w:val="18"/>
                <w:szCs w:val="18"/>
              </w:rPr>
            </w:pPr>
            <w:r>
              <w:rPr>
                <w:rFonts w:ascii="华文仿宋" w:hAnsi="华文仿宋" w:eastAsia="华文仿宋" w:cs="华文仿宋"/>
                <w:sz w:val="18"/>
                <w:szCs w:val="18"/>
              </w:rPr>
              <w:t>2</w:t>
            </w:r>
          </w:p>
        </w:tc>
        <w:tc>
          <w:tcPr>
            <w:tcW w:w="3011" w:type="dxa"/>
            <w:vAlign w:val="top"/>
          </w:tcPr>
          <w:p>
            <w:pPr>
              <w:spacing w:line="257" w:lineRule="auto"/>
              <w:rPr>
                <w:rFonts w:ascii="Arial"/>
                <w:sz w:val="21"/>
              </w:rPr>
            </w:pPr>
          </w:p>
          <w:p>
            <w:pPr>
              <w:spacing w:before="66" w:line="270" w:lineRule="auto"/>
              <w:ind w:left="115" w:right="202" w:hanging="1"/>
              <w:rPr>
                <w:rFonts w:ascii="华文仿宋" w:hAnsi="华文仿宋" w:eastAsia="华文仿宋" w:cs="华文仿宋"/>
                <w:sz w:val="18"/>
                <w:szCs w:val="18"/>
              </w:rPr>
            </w:pPr>
            <w:r>
              <w:rPr>
                <w:rFonts w:ascii="华文仿宋" w:hAnsi="华文仿宋" w:eastAsia="华文仿宋" w:cs="华文仿宋"/>
                <w:spacing w:val="-1"/>
                <w:sz w:val="18"/>
                <w:szCs w:val="18"/>
              </w:rPr>
              <w:t>反映部门全年项目支出预算执行情</w:t>
            </w:r>
            <w:r>
              <w:rPr>
                <w:rFonts w:ascii="华文仿宋" w:hAnsi="华文仿宋" w:eastAsia="华文仿宋" w:cs="华文仿宋"/>
                <w:spacing w:val="-6"/>
                <w:sz w:val="18"/>
                <w:szCs w:val="18"/>
              </w:rPr>
              <w:t>况。</w:t>
            </w:r>
          </w:p>
          <w:p>
            <w:pPr>
              <w:spacing w:before="1" w:line="286" w:lineRule="auto"/>
              <w:ind w:left="117" w:right="209"/>
              <w:rPr>
                <w:rFonts w:ascii="华文仿宋" w:hAnsi="华文仿宋" w:eastAsia="华文仿宋" w:cs="华文仿宋"/>
                <w:sz w:val="18"/>
                <w:szCs w:val="18"/>
              </w:rPr>
            </w:pPr>
            <w:r>
              <w:rPr>
                <w:rFonts w:ascii="华文仿宋" w:hAnsi="华文仿宋" w:eastAsia="华文仿宋" w:cs="华文仿宋"/>
                <w:spacing w:val="-1"/>
                <w:sz w:val="18"/>
                <w:szCs w:val="18"/>
              </w:rPr>
              <w:t>项目支出预算执行率=(项目支出预</w:t>
            </w:r>
            <w:r>
              <w:rPr>
                <w:rFonts w:ascii="华文仿宋" w:hAnsi="华文仿宋" w:eastAsia="华文仿宋" w:cs="华文仿宋"/>
                <w:spacing w:val="-4"/>
                <w:sz w:val="18"/>
                <w:szCs w:val="18"/>
              </w:rPr>
              <w:t>算执行数/项目支出全年预算数)×100%</w:t>
            </w:r>
          </w:p>
        </w:tc>
        <w:tc>
          <w:tcPr>
            <w:tcW w:w="918" w:type="dxa"/>
            <w:vAlign w:val="top"/>
          </w:tcPr>
          <w:p>
            <w:pPr>
              <w:spacing w:line="301" w:lineRule="auto"/>
              <w:rPr>
                <w:rFonts w:ascii="Arial"/>
                <w:sz w:val="21"/>
              </w:rPr>
            </w:pPr>
          </w:p>
          <w:p>
            <w:pPr>
              <w:spacing w:line="301" w:lineRule="auto"/>
              <w:rPr>
                <w:rFonts w:ascii="Arial"/>
                <w:sz w:val="21"/>
              </w:rPr>
            </w:pPr>
          </w:p>
          <w:p>
            <w:pPr>
              <w:spacing w:line="302" w:lineRule="auto"/>
              <w:rPr>
                <w:rFonts w:ascii="Arial"/>
                <w:sz w:val="21"/>
              </w:rPr>
            </w:pPr>
          </w:p>
          <w:p>
            <w:pPr>
              <w:spacing w:before="65" w:line="177" w:lineRule="auto"/>
              <w:ind w:left="269"/>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c>
          <w:tcPr>
            <w:tcW w:w="2171" w:type="dxa"/>
            <w:vAlign w:val="top"/>
          </w:tcPr>
          <w:p>
            <w:pPr>
              <w:spacing w:line="285" w:lineRule="auto"/>
              <w:rPr>
                <w:rFonts w:ascii="Arial"/>
                <w:sz w:val="21"/>
              </w:rPr>
            </w:pPr>
          </w:p>
          <w:p>
            <w:pPr>
              <w:spacing w:line="285" w:lineRule="auto"/>
              <w:rPr>
                <w:rFonts w:ascii="Arial"/>
                <w:sz w:val="21"/>
              </w:rPr>
            </w:pPr>
          </w:p>
          <w:p>
            <w:pPr>
              <w:spacing w:before="66" w:line="289" w:lineRule="auto"/>
              <w:ind w:left="119" w:right="139"/>
              <w:jc w:val="both"/>
              <w:rPr>
                <w:rFonts w:ascii="华文仿宋" w:hAnsi="华文仿宋" w:eastAsia="华文仿宋" w:cs="华文仿宋"/>
                <w:sz w:val="18"/>
                <w:szCs w:val="18"/>
              </w:rPr>
            </w:pPr>
            <w:r>
              <w:rPr>
                <w:rFonts w:ascii="华文仿宋" w:hAnsi="华文仿宋" w:eastAsia="华文仿宋" w:cs="华文仿宋"/>
                <w:spacing w:val="-5"/>
                <w:sz w:val="18"/>
                <w:szCs w:val="18"/>
              </w:rPr>
              <w:t>执行率100%得满分，每</w:t>
            </w:r>
            <w:r>
              <w:rPr>
                <w:rFonts w:ascii="华文仿宋" w:hAnsi="华文仿宋" w:eastAsia="华文仿宋" w:cs="华文仿宋"/>
                <w:spacing w:val="-6"/>
                <w:sz w:val="18"/>
                <w:szCs w:val="18"/>
              </w:rPr>
              <w:t>降低1%扣0.10分，扣完</w:t>
            </w:r>
            <w:r>
              <w:rPr>
                <w:rFonts w:ascii="华文仿宋" w:hAnsi="华文仿宋" w:eastAsia="华文仿宋" w:cs="华文仿宋"/>
                <w:spacing w:val="-5"/>
                <w:sz w:val="18"/>
                <w:szCs w:val="18"/>
              </w:rPr>
              <w:t>为止。</w:t>
            </w:r>
          </w:p>
        </w:tc>
        <w:tc>
          <w:tcPr>
            <w:tcW w:w="4007" w:type="dxa"/>
            <w:vAlign w:val="top"/>
          </w:tcPr>
          <w:p>
            <w:pPr>
              <w:spacing w:line="413" w:lineRule="auto"/>
              <w:rPr>
                <w:rFonts w:ascii="Arial"/>
                <w:sz w:val="21"/>
              </w:rPr>
            </w:pPr>
          </w:p>
          <w:p>
            <w:pPr>
              <w:spacing w:before="66" w:line="286" w:lineRule="auto"/>
              <w:ind w:left="122" w:right="114" w:hanging="6"/>
              <w:rPr>
                <w:rFonts w:ascii="华文仿宋" w:hAnsi="华文仿宋" w:eastAsia="华文仿宋" w:cs="华文仿宋"/>
                <w:sz w:val="18"/>
                <w:szCs w:val="18"/>
              </w:rPr>
            </w:pPr>
            <w:r>
              <w:rPr>
                <w:rFonts w:ascii="华文仿宋" w:hAnsi="华文仿宋" w:eastAsia="华文仿宋" w:cs="华文仿宋"/>
                <w:spacing w:val="-2"/>
                <w:sz w:val="18"/>
                <w:szCs w:val="18"/>
              </w:rPr>
              <w:t>根据区民政局提供的预算批复、决算报表等相关</w:t>
            </w:r>
            <w:r>
              <w:rPr>
                <w:rFonts w:ascii="华文仿宋" w:hAnsi="华文仿宋" w:eastAsia="华文仿宋" w:cs="华文仿宋"/>
                <w:spacing w:val="-3"/>
                <w:sz w:val="18"/>
                <w:szCs w:val="18"/>
              </w:rPr>
              <w:t>资料，区民政局项目支出全年预算数为16518.9</w:t>
            </w:r>
            <w:r>
              <w:rPr>
                <w:rFonts w:ascii="华文仿宋" w:hAnsi="华文仿宋" w:eastAsia="华文仿宋" w:cs="华文仿宋"/>
                <w:spacing w:val="-5"/>
                <w:sz w:val="18"/>
                <w:szCs w:val="18"/>
              </w:rPr>
              <w:t>万元，全年执行数为16518.9万元，执行率为</w:t>
            </w:r>
          </w:p>
          <w:p>
            <w:pPr>
              <w:spacing w:line="199" w:lineRule="auto"/>
              <w:ind w:left="120"/>
              <w:rPr>
                <w:rFonts w:ascii="华文仿宋" w:hAnsi="华文仿宋" w:eastAsia="华文仿宋" w:cs="华文仿宋"/>
                <w:sz w:val="18"/>
                <w:szCs w:val="18"/>
              </w:rPr>
            </w:pPr>
            <w:r>
              <w:rPr>
                <w:rFonts w:ascii="华文仿宋" w:hAnsi="华文仿宋" w:eastAsia="华文仿宋" w:cs="华文仿宋"/>
                <w:spacing w:val="-4"/>
                <w:sz w:val="18"/>
                <w:szCs w:val="18"/>
              </w:rPr>
              <w:t>100%。依据评价标准，该指标得2分。</w:t>
            </w:r>
          </w:p>
        </w:tc>
        <w:tc>
          <w:tcPr>
            <w:tcW w:w="684" w:type="dxa"/>
            <w:vAlign w:val="top"/>
          </w:tcPr>
          <w:p>
            <w:pPr>
              <w:spacing w:line="301" w:lineRule="auto"/>
              <w:rPr>
                <w:rFonts w:ascii="Arial"/>
                <w:sz w:val="21"/>
              </w:rPr>
            </w:pPr>
          </w:p>
          <w:p>
            <w:pPr>
              <w:spacing w:line="301" w:lineRule="auto"/>
              <w:rPr>
                <w:rFonts w:ascii="Arial"/>
                <w:sz w:val="21"/>
              </w:rPr>
            </w:pPr>
          </w:p>
          <w:p>
            <w:pPr>
              <w:spacing w:line="302" w:lineRule="auto"/>
              <w:rPr>
                <w:rFonts w:ascii="Arial"/>
                <w:sz w:val="21"/>
              </w:rPr>
            </w:pPr>
          </w:p>
          <w:p>
            <w:pPr>
              <w:spacing w:before="65" w:line="177" w:lineRule="auto"/>
              <w:ind w:left="304"/>
              <w:rPr>
                <w:rFonts w:ascii="华文仿宋" w:hAnsi="华文仿宋" w:eastAsia="华文仿宋" w:cs="华文仿宋"/>
                <w:sz w:val="18"/>
                <w:szCs w:val="18"/>
              </w:rPr>
            </w:pPr>
            <w:r>
              <w:rPr>
                <w:rFonts w:ascii="华文仿宋" w:hAnsi="华文仿宋" w:eastAsia="华文仿宋" w:cs="华文仿宋"/>
                <w:sz w:val="18"/>
                <w:szCs w:val="18"/>
              </w:rPr>
              <w:t>2</w:t>
            </w:r>
          </w:p>
        </w:tc>
        <w:tc>
          <w:tcPr>
            <w:tcW w:w="832" w:type="dxa"/>
            <w:vAlign w:val="top"/>
          </w:tcPr>
          <w:p>
            <w:pPr>
              <w:spacing w:line="301" w:lineRule="auto"/>
              <w:rPr>
                <w:rFonts w:ascii="Arial"/>
                <w:sz w:val="21"/>
              </w:rPr>
            </w:pPr>
          </w:p>
          <w:p>
            <w:pPr>
              <w:spacing w:line="301" w:lineRule="auto"/>
              <w:rPr>
                <w:rFonts w:ascii="Arial"/>
                <w:sz w:val="21"/>
              </w:rPr>
            </w:pPr>
          </w:p>
          <w:p>
            <w:pPr>
              <w:spacing w:line="302" w:lineRule="auto"/>
              <w:rPr>
                <w:rFonts w:ascii="Arial"/>
                <w:sz w:val="21"/>
              </w:rPr>
            </w:pPr>
          </w:p>
          <w:p>
            <w:pPr>
              <w:spacing w:before="65"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306" w:hRule="atLeast"/>
        </w:trPr>
        <w:tc>
          <w:tcPr>
            <w:tcW w:w="1091" w:type="dxa"/>
            <w:vMerge w:val="continue"/>
            <w:tcBorders>
              <w:top w:val="nil"/>
            </w:tcBorders>
            <w:vAlign w:val="top"/>
          </w:tcPr>
          <w:p>
            <w:pPr>
              <w:rPr>
                <w:rFonts w:ascii="Arial"/>
                <w:sz w:val="21"/>
              </w:rPr>
            </w:pPr>
          </w:p>
        </w:tc>
        <w:tc>
          <w:tcPr>
            <w:tcW w:w="999" w:type="dxa"/>
            <w:vMerge w:val="continue"/>
            <w:tcBorders>
              <w:top w:val="nil"/>
            </w:tcBorders>
            <w:vAlign w:val="top"/>
          </w:tcPr>
          <w:p>
            <w:pPr>
              <w:rPr>
                <w:rFonts w:ascii="Arial"/>
                <w:sz w:val="21"/>
              </w:rPr>
            </w:pPr>
          </w:p>
        </w:tc>
        <w:tc>
          <w:tcPr>
            <w:tcW w:w="1167" w:type="dxa"/>
            <w:vAlign w:val="top"/>
          </w:tcPr>
          <w:p>
            <w:pPr>
              <w:spacing w:line="279" w:lineRule="auto"/>
              <w:rPr>
                <w:rFonts w:ascii="Arial"/>
                <w:sz w:val="21"/>
              </w:rPr>
            </w:pPr>
          </w:p>
          <w:p>
            <w:pPr>
              <w:spacing w:line="280" w:lineRule="auto"/>
              <w:rPr>
                <w:rFonts w:ascii="Arial"/>
                <w:sz w:val="21"/>
              </w:rPr>
            </w:pPr>
          </w:p>
          <w:p>
            <w:pPr>
              <w:spacing w:line="280" w:lineRule="auto"/>
              <w:rPr>
                <w:rFonts w:ascii="Arial"/>
                <w:sz w:val="21"/>
              </w:rPr>
            </w:pPr>
          </w:p>
          <w:p>
            <w:pPr>
              <w:spacing w:before="65" w:line="294" w:lineRule="auto"/>
              <w:ind w:left="322" w:right="133" w:hanging="170"/>
              <w:rPr>
                <w:rFonts w:ascii="华文仿宋" w:hAnsi="华文仿宋" w:eastAsia="华文仿宋" w:cs="华文仿宋"/>
                <w:sz w:val="18"/>
                <w:szCs w:val="18"/>
              </w:rPr>
            </w:pPr>
            <w:r>
              <w:rPr>
                <w:rFonts w:hint="eastAsia" w:ascii="华文仿宋" w:hAnsi="华文仿宋" w:eastAsia="华文仿宋" w:cs="华文仿宋"/>
                <w:spacing w:val="-5"/>
                <w:sz w:val="18"/>
                <w:szCs w:val="18"/>
                <w:lang w:eastAsia="zh-CN"/>
              </w:rPr>
              <w:t>“</w:t>
            </w:r>
            <w:r>
              <w:rPr>
                <w:rFonts w:hint="eastAsia" w:ascii="华文仿宋" w:hAnsi="华文仿宋" w:eastAsia="华文仿宋" w:cs="华文仿宋"/>
                <w:spacing w:val="-5"/>
                <w:sz w:val="18"/>
                <w:szCs w:val="18"/>
                <w:lang w:val="en-US" w:eastAsia="zh-CN"/>
              </w:rPr>
              <w:t>三公</w:t>
            </w:r>
            <w:r>
              <w:rPr>
                <w:rFonts w:hint="eastAsia" w:ascii="华文仿宋" w:hAnsi="华文仿宋" w:eastAsia="华文仿宋" w:cs="华文仿宋"/>
                <w:spacing w:val="-5"/>
                <w:sz w:val="18"/>
                <w:szCs w:val="18"/>
                <w:lang w:eastAsia="zh-CN"/>
              </w:rPr>
              <w:t>”</w:t>
            </w:r>
            <w:r>
              <w:rPr>
                <w:rFonts w:ascii="华文仿宋" w:hAnsi="华文仿宋" w:eastAsia="华文仿宋" w:cs="华文仿宋"/>
                <w:spacing w:val="-5"/>
                <w:sz w:val="18"/>
                <w:szCs w:val="18"/>
              </w:rPr>
              <w:t>经费控制情况</w:t>
            </w:r>
          </w:p>
        </w:tc>
        <w:tc>
          <w:tcPr>
            <w:tcW w:w="665" w:type="dxa"/>
            <w:vAlign w:val="top"/>
          </w:tcPr>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66" w:line="177" w:lineRule="auto"/>
              <w:ind w:left="290"/>
              <w:rPr>
                <w:rFonts w:ascii="华文仿宋" w:hAnsi="华文仿宋" w:eastAsia="华文仿宋" w:cs="华文仿宋"/>
                <w:sz w:val="18"/>
                <w:szCs w:val="18"/>
              </w:rPr>
            </w:pPr>
            <w:r>
              <w:rPr>
                <w:rFonts w:ascii="华文仿宋" w:hAnsi="华文仿宋" w:eastAsia="华文仿宋" w:cs="华文仿宋"/>
                <w:sz w:val="18"/>
                <w:szCs w:val="18"/>
              </w:rPr>
              <w:t>2</w:t>
            </w:r>
          </w:p>
        </w:tc>
        <w:tc>
          <w:tcPr>
            <w:tcW w:w="3011" w:type="dxa"/>
            <w:vAlign w:val="top"/>
          </w:tcPr>
          <w:p>
            <w:pPr>
              <w:spacing w:line="264" w:lineRule="auto"/>
              <w:rPr>
                <w:rFonts w:ascii="Arial"/>
                <w:sz w:val="21"/>
              </w:rPr>
            </w:pPr>
          </w:p>
          <w:p>
            <w:pPr>
              <w:spacing w:line="265" w:lineRule="auto"/>
              <w:rPr>
                <w:rFonts w:ascii="Arial"/>
                <w:sz w:val="21"/>
              </w:rPr>
            </w:pPr>
          </w:p>
          <w:p>
            <w:pPr>
              <w:spacing w:before="66" w:line="285" w:lineRule="auto"/>
              <w:ind w:left="115" w:right="382" w:hanging="1"/>
              <w:rPr>
                <w:rFonts w:ascii="华文仿宋" w:hAnsi="华文仿宋" w:eastAsia="华文仿宋" w:cs="华文仿宋"/>
                <w:sz w:val="18"/>
                <w:szCs w:val="18"/>
              </w:rPr>
            </w:pPr>
            <w:r>
              <w:rPr>
                <w:rFonts w:ascii="华文仿宋" w:hAnsi="华文仿宋" w:eastAsia="华文仿宋" w:cs="华文仿宋"/>
                <w:spacing w:val="-1"/>
                <w:sz w:val="18"/>
                <w:szCs w:val="18"/>
              </w:rPr>
              <w:t>反映部门</w:t>
            </w:r>
            <w:r>
              <w:rPr>
                <w:rFonts w:hint="eastAsia" w:ascii="华文仿宋" w:hAnsi="华文仿宋" w:eastAsia="华文仿宋" w:cs="华文仿宋"/>
                <w:spacing w:val="-1"/>
                <w:sz w:val="18"/>
                <w:szCs w:val="18"/>
                <w:lang w:eastAsia="zh-CN"/>
              </w:rPr>
              <w:t>“</w:t>
            </w:r>
            <w:r>
              <w:rPr>
                <w:rFonts w:hint="eastAsia" w:ascii="华文仿宋" w:hAnsi="华文仿宋" w:eastAsia="华文仿宋" w:cs="华文仿宋"/>
                <w:spacing w:val="-1"/>
                <w:sz w:val="18"/>
                <w:szCs w:val="18"/>
                <w:lang w:val="en-US" w:eastAsia="zh-CN"/>
              </w:rPr>
              <w:t>三公</w:t>
            </w:r>
            <w:r>
              <w:rPr>
                <w:rFonts w:hint="eastAsia" w:ascii="华文仿宋" w:hAnsi="华文仿宋" w:eastAsia="华文仿宋" w:cs="华文仿宋"/>
                <w:spacing w:val="-1"/>
                <w:sz w:val="18"/>
                <w:szCs w:val="18"/>
                <w:lang w:eastAsia="zh-CN"/>
              </w:rPr>
              <w:t>”</w:t>
            </w:r>
            <w:r>
              <w:rPr>
                <w:rFonts w:ascii="华文仿宋" w:hAnsi="华文仿宋" w:eastAsia="华文仿宋" w:cs="华文仿宋"/>
                <w:spacing w:val="-1"/>
                <w:sz w:val="18"/>
                <w:szCs w:val="18"/>
              </w:rPr>
              <w:t>经费支出的控制情</w:t>
            </w:r>
            <w:r>
              <w:rPr>
                <w:rFonts w:ascii="华文仿宋" w:hAnsi="华文仿宋" w:eastAsia="华文仿宋" w:cs="华文仿宋"/>
                <w:spacing w:val="-6"/>
                <w:sz w:val="18"/>
                <w:szCs w:val="18"/>
              </w:rPr>
              <w:t>况。</w:t>
            </w:r>
          </w:p>
          <w:p>
            <w:pPr>
              <w:spacing w:line="293" w:lineRule="auto"/>
              <w:ind w:left="128" w:right="257" w:hanging="11"/>
              <w:rPr>
                <w:rFonts w:ascii="华文仿宋" w:hAnsi="华文仿宋" w:eastAsia="华文仿宋" w:cs="华文仿宋"/>
                <w:sz w:val="18"/>
                <w:szCs w:val="18"/>
              </w:rPr>
            </w:pPr>
            <w:r>
              <w:rPr>
                <w:rFonts w:ascii="华文仿宋" w:hAnsi="华文仿宋" w:eastAsia="华文仿宋" w:cs="华文仿宋"/>
                <w:spacing w:val="-3"/>
                <w:sz w:val="18"/>
                <w:szCs w:val="18"/>
              </w:rPr>
              <w:t>1.当年度支出数是否小于等于当年</w:t>
            </w:r>
            <w:r>
              <w:rPr>
                <w:rFonts w:ascii="华文仿宋" w:hAnsi="华文仿宋" w:eastAsia="华文仿宋" w:cs="华文仿宋"/>
                <w:spacing w:val="-6"/>
                <w:sz w:val="18"/>
                <w:szCs w:val="18"/>
              </w:rPr>
              <w:t>的控制数。</w:t>
            </w:r>
          </w:p>
        </w:tc>
        <w:tc>
          <w:tcPr>
            <w:tcW w:w="918"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65" w:line="199" w:lineRule="auto"/>
              <w:ind w:left="287"/>
              <w:rPr>
                <w:rFonts w:ascii="华文仿宋" w:hAnsi="华文仿宋" w:eastAsia="华文仿宋" w:cs="华文仿宋"/>
                <w:sz w:val="18"/>
                <w:szCs w:val="18"/>
              </w:rPr>
            </w:pPr>
            <w:r>
              <w:rPr>
                <w:rFonts w:ascii="华文仿宋" w:hAnsi="华文仿宋" w:eastAsia="华文仿宋" w:cs="华文仿宋"/>
                <w:spacing w:val="-5"/>
                <w:sz w:val="18"/>
                <w:szCs w:val="18"/>
              </w:rPr>
              <w:t>合规</w:t>
            </w:r>
          </w:p>
        </w:tc>
        <w:tc>
          <w:tcPr>
            <w:tcW w:w="2171" w:type="dxa"/>
            <w:vAlign w:val="top"/>
          </w:tcPr>
          <w:p>
            <w:pPr>
              <w:spacing w:line="341" w:lineRule="auto"/>
              <w:rPr>
                <w:rFonts w:ascii="Arial"/>
                <w:sz w:val="21"/>
              </w:rPr>
            </w:pPr>
          </w:p>
          <w:p>
            <w:pPr>
              <w:spacing w:line="342" w:lineRule="auto"/>
              <w:rPr>
                <w:rFonts w:ascii="Arial"/>
                <w:sz w:val="21"/>
              </w:rPr>
            </w:pPr>
          </w:p>
          <w:p>
            <w:pPr>
              <w:spacing w:before="66" w:line="290" w:lineRule="auto"/>
              <w:ind w:left="117" w:right="259" w:firstLine="22"/>
              <w:jc w:val="both"/>
              <w:rPr>
                <w:rFonts w:ascii="华文仿宋" w:hAnsi="华文仿宋" w:eastAsia="华文仿宋" w:cs="华文仿宋"/>
                <w:sz w:val="18"/>
                <w:szCs w:val="18"/>
              </w:rPr>
            </w:pPr>
            <w:r>
              <w:rPr>
                <w:rFonts w:ascii="华文仿宋" w:hAnsi="华文仿宋" w:eastAsia="华文仿宋" w:cs="华文仿宋"/>
                <w:spacing w:val="-4"/>
                <w:sz w:val="18"/>
                <w:szCs w:val="18"/>
              </w:rPr>
              <w:t>当年支出数小于等于当年控制数得2分，大于</w:t>
            </w:r>
            <w:r>
              <w:rPr>
                <w:rFonts w:ascii="华文仿宋" w:hAnsi="华文仿宋" w:eastAsia="华文仿宋" w:cs="华文仿宋"/>
                <w:spacing w:val="-3"/>
                <w:sz w:val="18"/>
                <w:szCs w:val="18"/>
              </w:rPr>
              <w:t>不得分。</w:t>
            </w:r>
          </w:p>
        </w:tc>
        <w:tc>
          <w:tcPr>
            <w:tcW w:w="4007" w:type="dxa"/>
            <w:vAlign w:val="top"/>
          </w:tcPr>
          <w:p>
            <w:pPr>
              <w:spacing w:line="372" w:lineRule="auto"/>
              <w:rPr>
                <w:rFonts w:ascii="Arial"/>
                <w:sz w:val="21"/>
              </w:rPr>
            </w:pPr>
          </w:p>
          <w:p>
            <w:pPr>
              <w:spacing w:before="65" w:line="288" w:lineRule="auto"/>
              <w:ind w:left="116" w:right="114"/>
              <w:rPr>
                <w:rFonts w:ascii="华文仿宋" w:hAnsi="华文仿宋" w:eastAsia="华文仿宋" w:cs="华文仿宋"/>
                <w:sz w:val="18"/>
                <w:szCs w:val="18"/>
              </w:rPr>
            </w:pPr>
            <w:r>
              <w:rPr>
                <w:rFonts w:ascii="华文仿宋" w:hAnsi="华文仿宋" w:eastAsia="华文仿宋" w:cs="华文仿宋"/>
                <w:spacing w:val="-2"/>
                <w:sz w:val="18"/>
                <w:szCs w:val="18"/>
              </w:rPr>
              <w:t>根据区民政局提供的预算批复、决算报表等相关</w:t>
            </w:r>
            <w:r>
              <w:rPr>
                <w:rFonts w:ascii="华文仿宋" w:hAnsi="华文仿宋" w:eastAsia="华文仿宋" w:cs="华文仿宋"/>
                <w:spacing w:val="-4"/>
                <w:sz w:val="18"/>
                <w:szCs w:val="18"/>
              </w:rPr>
              <w:t>资料，区民政局</w:t>
            </w:r>
            <w:r>
              <w:rPr>
                <w:rFonts w:hint="eastAsia" w:ascii="华文仿宋" w:hAnsi="华文仿宋" w:eastAsia="华文仿宋" w:cs="华文仿宋"/>
                <w:spacing w:val="-4"/>
                <w:sz w:val="18"/>
                <w:szCs w:val="18"/>
                <w:lang w:eastAsia="zh-CN"/>
              </w:rPr>
              <w:t>“</w:t>
            </w:r>
            <w:r>
              <w:rPr>
                <w:rFonts w:hint="eastAsia" w:ascii="华文仿宋" w:hAnsi="华文仿宋" w:eastAsia="华文仿宋" w:cs="华文仿宋"/>
                <w:spacing w:val="-4"/>
                <w:sz w:val="18"/>
                <w:szCs w:val="18"/>
                <w:lang w:val="en-US" w:eastAsia="zh-CN"/>
              </w:rPr>
              <w:t>三公</w:t>
            </w:r>
            <w:r>
              <w:rPr>
                <w:rFonts w:hint="eastAsia" w:ascii="华文仿宋" w:hAnsi="华文仿宋" w:eastAsia="华文仿宋" w:cs="华文仿宋"/>
                <w:spacing w:val="-4"/>
                <w:sz w:val="18"/>
                <w:szCs w:val="18"/>
                <w:lang w:eastAsia="zh-CN"/>
              </w:rPr>
              <w:t>”</w:t>
            </w:r>
            <w:r>
              <w:rPr>
                <w:rFonts w:ascii="华文仿宋" w:hAnsi="华文仿宋" w:eastAsia="华文仿宋" w:cs="华文仿宋"/>
                <w:spacing w:val="-4"/>
                <w:sz w:val="18"/>
                <w:szCs w:val="18"/>
              </w:rPr>
              <w:t>经费全年预算数为3.5万元，全部为公务用车运行维护费，全年执行数</w:t>
            </w:r>
            <w:r>
              <w:rPr>
                <w:rFonts w:ascii="华文仿宋" w:hAnsi="华文仿宋" w:eastAsia="华文仿宋" w:cs="华文仿宋"/>
                <w:spacing w:val="-5"/>
                <w:sz w:val="18"/>
                <w:szCs w:val="18"/>
              </w:rPr>
              <w:t>为3.5万元，“三公”经费控制率为100%。依</w:t>
            </w:r>
            <w:r>
              <w:rPr>
                <w:rFonts w:ascii="华文仿宋" w:hAnsi="华文仿宋" w:eastAsia="华文仿宋" w:cs="华文仿宋"/>
                <w:spacing w:val="-3"/>
                <w:sz w:val="18"/>
                <w:szCs w:val="18"/>
              </w:rPr>
              <w:t>据评价标准，该指标得2分。</w:t>
            </w:r>
          </w:p>
        </w:tc>
        <w:tc>
          <w:tcPr>
            <w:tcW w:w="684" w:type="dxa"/>
            <w:vAlign w:val="top"/>
          </w:tcPr>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66" w:line="177" w:lineRule="auto"/>
              <w:ind w:left="304"/>
              <w:rPr>
                <w:rFonts w:ascii="华文仿宋" w:hAnsi="华文仿宋" w:eastAsia="华文仿宋" w:cs="华文仿宋"/>
                <w:sz w:val="18"/>
                <w:szCs w:val="18"/>
              </w:rPr>
            </w:pPr>
            <w:r>
              <w:rPr>
                <w:rFonts w:ascii="华文仿宋" w:hAnsi="华文仿宋" w:eastAsia="华文仿宋" w:cs="华文仿宋"/>
                <w:sz w:val="18"/>
                <w:szCs w:val="18"/>
              </w:rPr>
              <w:t>2</w:t>
            </w:r>
          </w:p>
        </w:tc>
        <w:tc>
          <w:tcPr>
            <w:tcW w:w="832" w:type="dxa"/>
            <w:vAlign w:val="top"/>
          </w:tcPr>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before="66"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bl>
    <w:p>
      <w:pPr>
        <w:pStyle w:val="2"/>
      </w:pPr>
    </w:p>
    <w:p>
      <w:pPr>
        <w:sectPr>
          <w:footerReference r:id="rId12" w:type="default"/>
          <w:pgSz w:w="16839" w:h="11906"/>
          <w:pgMar w:top="1012" w:right="595" w:bottom="1575" w:left="692" w:header="0" w:footer="1287" w:gutter="0"/>
          <w:pgNumType w:fmt="decimal"/>
          <w:cols w:space="720" w:num="1"/>
        </w:sectPr>
      </w:pPr>
    </w:p>
    <w:p>
      <w:pPr>
        <w:pStyle w:val="2"/>
        <w:spacing w:line="287" w:lineRule="auto"/>
      </w:pPr>
    </w:p>
    <w:p>
      <w:pPr>
        <w:spacing w:before="102" w:line="201" w:lineRule="auto"/>
        <w:ind w:left="140" w:firstLine="231" w:firstLineChars="100"/>
        <w:rPr>
          <w:rFonts w:hint="eastAsia" w:ascii="仿宋" w:hAnsi="仿宋" w:eastAsia="仿宋" w:cs="仿宋"/>
          <w:sz w:val="24"/>
          <w:szCs w:val="24"/>
        </w:rPr>
      </w:pPr>
      <w:r>
        <w:rPr>
          <w:rFonts w:hint="eastAsia" w:ascii="仿宋" w:hAnsi="仿宋" w:eastAsia="仿宋" w:cs="仿宋"/>
          <w:b/>
          <w:bCs/>
          <w:spacing w:val="-5"/>
          <w:sz w:val="24"/>
          <w:szCs w:val="24"/>
        </w:rPr>
        <w:t>附件一：部门整体绩效评价指标体系评分表</w:t>
      </w:r>
    </w:p>
    <w:p>
      <w:pPr>
        <w:spacing w:line="109" w:lineRule="exact"/>
      </w:pPr>
    </w:p>
    <w:tbl>
      <w:tblPr>
        <w:tblStyle w:val="7"/>
        <w:tblW w:w="155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999"/>
        <w:gridCol w:w="1167"/>
        <w:gridCol w:w="665"/>
        <w:gridCol w:w="3011"/>
        <w:gridCol w:w="918"/>
        <w:gridCol w:w="2171"/>
        <w:gridCol w:w="4007"/>
        <w:gridCol w:w="684"/>
        <w:gridCol w:w="8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6" w:hRule="atLeast"/>
        </w:trPr>
        <w:tc>
          <w:tcPr>
            <w:tcW w:w="1091" w:type="dxa"/>
            <w:vAlign w:val="top"/>
          </w:tcPr>
          <w:p>
            <w:pPr>
              <w:spacing w:before="112" w:line="199" w:lineRule="auto"/>
              <w:ind w:left="201"/>
              <w:rPr>
                <w:rFonts w:ascii="华文仿宋" w:hAnsi="华文仿宋" w:eastAsia="华文仿宋" w:cs="华文仿宋"/>
                <w:sz w:val="18"/>
                <w:szCs w:val="18"/>
              </w:rPr>
            </w:pPr>
            <w:r>
              <w:rPr>
                <w:rFonts w:ascii="华文仿宋" w:hAnsi="华文仿宋" w:eastAsia="华文仿宋" w:cs="华文仿宋"/>
                <w:b/>
                <w:bCs/>
                <w:spacing w:val="-7"/>
                <w:sz w:val="18"/>
                <w:szCs w:val="18"/>
              </w:rPr>
              <w:t>一级指标</w:t>
            </w:r>
          </w:p>
        </w:tc>
        <w:tc>
          <w:tcPr>
            <w:tcW w:w="999" w:type="dxa"/>
            <w:vAlign w:val="top"/>
          </w:tcPr>
          <w:p>
            <w:pPr>
              <w:spacing w:before="112" w:line="199" w:lineRule="auto"/>
              <w:ind w:left="152"/>
              <w:rPr>
                <w:rFonts w:ascii="华文仿宋" w:hAnsi="华文仿宋" w:eastAsia="华文仿宋" w:cs="华文仿宋"/>
                <w:sz w:val="18"/>
                <w:szCs w:val="18"/>
              </w:rPr>
            </w:pPr>
            <w:r>
              <w:rPr>
                <w:rFonts w:ascii="华文仿宋" w:hAnsi="华文仿宋" w:eastAsia="华文仿宋" w:cs="华文仿宋"/>
                <w:b/>
                <w:bCs/>
                <w:spacing w:val="-7"/>
                <w:sz w:val="18"/>
                <w:szCs w:val="18"/>
              </w:rPr>
              <w:t>二级指标</w:t>
            </w:r>
          </w:p>
        </w:tc>
        <w:tc>
          <w:tcPr>
            <w:tcW w:w="1167" w:type="dxa"/>
            <w:vAlign w:val="top"/>
          </w:tcPr>
          <w:p>
            <w:pPr>
              <w:spacing w:before="112" w:line="199" w:lineRule="auto"/>
              <w:ind w:left="241"/>
              <w:rPr>
                <w:rFonts w:ascii="华文仿宋" w:hAnsi="华文仿宋" w:eastAsia="华文仿宋" w:cs="华文仿宋"/>
                <w:sz w:val="18"/>
                <w:szCs w:val="18"/>
              </w:rPr>
            </w:pPr>
            <w:r>
              <w:rPr>
                <w:rFonts w:ascii="华文仿宋" w:hAnsi="华文仿宋" w:eastAsia="华文仿宋" w:cs="华文仿宋"/>
                <w:b/>
                <w:bCs/>
                <w:spacing w:val="-8"/>
                <w:sz w:val="18"/>
                <w:szCs w:val="18"/>
              </w:rPr>
              <w:t>三级指标</w:t>
            </w:r>
          </w:p>
        </w:tc>
        <w:tc>
          <w:tcPr>
            <w:tcW w:w="665" w:type="dxa"/>
            <w:vAlign w:val="top"/>
          </w:tcPr>
          <w:p>
            <w:pPr>
              <w:spacing w:before="113" w:line="198" w:lineRule="auto"/>
              <w:ind w:left="159"/>
              <w:rPr>
                <w:rFonts w:ascii="华文仿宋" w:hAnsi="华文仿宋" w:eastAsia="华文仿宋" w:cs="华文仿宋"/>
                <w:sz w:val="18"/>
                <w:szCs w:val="18"/>
              </w:rPr>
            </w:pPr>
            <w:r>
              <w:rPr>
                <w:rFonts w:ascii="华文仿宋" w:hAnsi="华文仿宋" w:eastAsia="华文仿宋" w:cs="华文仿宋"/>
                <w:b/>
                <w:bCs/>
                <w:spacing w:val="-7"/>
                <w:sz w:val="18"/>
                <w:szCs w:val="18"/>
              </w:rPr>
              <w:t>权重</w:t>
            </w:r>
          </w:p>
        </w:tc>
        <w:tc>
          <w:tcPr>
            <w:tcW w:w="3011" w:type="dxa"/>
            <w:vAlign w:val="top"/>
          </w:tcPr>
          <w:p>
            <w:pPr>
              <w:spacing w:before="112" w:line="199" w:lineRule="auto"/>
              <w:ind w:left="705"/>
              <w:rPr>
                <w:rFonts w:ascii="华文仿宋" w:hAnsi="华文仿宋" w:eastAsia="华文仿宋" w:cs="华文仿宋"/>
                <w:sz w:val="18"/>
                <w:szCs w:val="18"/>
              </w:rPr>
            </w:pPr>
            <w:r>
              <w:rPr>
                <w:rFonts w:ascii="华文仿宋" w:hAnsi="华文仿宋" w:eastAsia="华文仿宋" w:cs="华文仿宋"/>
                <w:b/>
                <w:bCs/>
                <w:spacing w:val="-4"/>
                <w:sz w:val="18"/>
                <w:szCs w:val="18"/>
              </w:rPr>
              <w:t>指标解释及评价要点</w:t>
            </w:r>
          </w:p>
        </w:tc>
        <w:tc>
          <w:tcPr>
            <w:tcW w:w="918" w:type="dxa"/>
            <w:vAlign w:val="top"/>
          </w:tcPr>
          <w:p>
            <w:pPr>
              <w:spacing w:before="112" w:line="199" w:lineRule="auto"/>
              <w:ind w:left="197"/>
              <w:rPr>
                <w:rFonts w:ascii="华文仿宋" w:hAnsi="华文仿宋" w:eastAsia="华文仿宋" w:cs="华文仿宋"/>
                <w:sz w:val="18"/>
                <w:szCs w:val="18"/>
              </w:rPr>
            </w:pPr>
            <w:r>
              <w:rPr>
                <w:rFonts w:ascii="华文仿宋" w:hAnsi="华文仿宋" w:eastAsia="华文仿宋" w:cs="华文仿宋"/>
                <w:b/>
                <w:bCs/>
                <w:spacing w:val="-6"/>
                <w:sz w:val="18"/>
                <w:szCs w:val="18"/>
              </w:rPr>
              <w:t>标杆值</w:t>
            </w:r>
          </w:p>
        </w:tc>
        <w:tc>
          <w:tcPr>
            <w:tcW w:w="2171" w:type="dxa"/>
            <w:vAlign w:val="top"/>
          </w:tcPr>
          <w:p>
            <w:pPr>
              <w:spacing w:before="112" w:line="199" w:lineRule="auto"/>
              <w:ind w:left="730"/>
              <w:rPr>
                <w:rFonts w:ascii="华文仿宋" w:hAnsi="华文仿宋" w:eastAsia="华文仿宋" w:cs="华文仿宋"/>
                <w:sz w:val="18"/>
                <w:szCs w:val="18"/>
              </w:rPr>
            </w:pPr>
            <w:r>
              <w:rPr>
                <w:rFonts w:ascii="华文仿宋" w:hAnsi="华文仿宋" w:eastAsia="华文仿宋" w:cs="华文仿宋"/>
                <w:b/>
                <w:bCs/>
                <w:spacing w:val="-4"/>
                <w:sz w:val="18"/>
                <w:szCs w:val="18"/>
              </w:rPr>
              <w:t>评价标准</w:t>
            </w:r>
          </w:p>
        </w:tc>
        <w:tc>
          <w:tcPr>
            <w:tcW w:w="4007" w:type="dxa"/>
            <w:vAlign w:val="top"/>
          </w:tcPr>
          <w:p>
            <w:pPr>
              <w:spacing w:before="113" w:line="198" w:lineRule="auto"/>
              <w:ind w:left="1648"/>
              <w:rPr>
                <w:rFonts w:ascii="华文仿宋" w:hAnsi="华文仿宋" w:eastAsia="华文仿宋" w:cs="华文仿宋"/>
                <w:sz w:val="18"/>
                <w:szCs w:val="18"/>
              </w:rPr>
            </w:pPr>
            <w:r>
              <w:rPr>
                <w:rFonts w:ascii="华文仿宋" w:hAnsi="华文仿宋" w:eastAsia="华文仿宋" w:cs="华文仿宋"/>
                <w:b/>
                <w:bCs/>
                <w:spacing w:val="-4"/>
                <w:sz w:val="18"/>
                <w:szCs w:val="18"/>
              </w:rPr>
              <w:t>评分过程</w:t>
            </w:r>
          </w:p>
        </w:tc>
        <w:tc>
          <w:tcPr>
            <w:tcW w:w="684" w:type="dxa"/>
            <w:vAlign w:val="top"/>
          </w:tcPr>
          <w:p>
            <w:pPr>
              <w:spacing w:before="114" w:line="197" w:lineRule="auto"/>
              <w:ind w:left="172"/>
              <w:rPr>
                <w:rFonts w:ascii="华文仿宋" w:hAnsi="华文仿宋" w:eastAsia="华文仿宋" w:cs="华文仿宋"/>
                <w:sz w:val="18"/>
                <w:szCs w:val="18"/>
              </w:rPr>
            </w:pPr>
            <w:r>
              <w:rPr>
                <w:rFonts w:ascii="华文仿宋" w:hAnsi="华文仿宋" w:eastAsia="华文仿宋" w:cs="华文仿宋"/>
                <w:b/>
                <w:bCs/>
                <w:spacing w:val="-8"/>
                <w:sz w:val="18"/>
                <w:szCs w:val="18"/>
              </w:rPr>
              <w:t>得分</w:t>
            </w:r>
          </w:p>
        </w:tc>
        <w:tc>
          <w:tcPr>
            <w:tcW w:w="832" w:type="dxa"/>
            <w:vAlign w:val="top"/>
          </w:tcPr>
          <w:p>
            <w:pPr>
              <w:spacing w:before="111" w:line="200" w:lineRule="auto"/>
              <w:ind w:left="152"/>
              <w:rPr>
                <w:rFonts w:ascii="华文仿宋" w:hAnsi="华文仿宋" w:eastAsia="华文仿宋" w:cs="华文仿宋"/>
                <w:sz w:val="18"/>
                <w:szCs w:val="18"/>
              </w:rPr>
            </w:pPr>
            <w:r>
              <w:rPr>
                <w:rFonts w:ascii="华文仿宋" w:hAnsi="华文仿宋" w:eastAsia="华文仿宋" w:cs="华文仿宋"/>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663" w:hRule="atLeast"/>
        </w:trPr>
        <w:tc>
          <w:tcPr>
            <w:tcW w:w="1091" w:type="dxa"/>
            <w:vMerge w:val="restart"/>
            <w:tcBorders>
              <w:bottom w:val="nil"/>
            </w:tcBorders>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before="66" w:line="288" w:lineRule="auto"/>
              <w:ind w:left="306" w:right="182" w:hanging="109"/>
              <w:rPr>
                <w:rFonts w:ascii="华文仿宋" w:hAnsi="华文仿宋" w:eastAsia="华文仿宋" w:cs="华文仿宋"/>
                <w:sz w:val="18"/>
                <w:szCs w:val="18"/>
              </w:rPr>
            </w:pPr>
            <w:r>
              <w:rPr>
                <w:rFonts w:ascii="华文仿宋" w:hAnsi="华文仿宋" w:eastAsia="华文仿宋" w:cs="华文仿宋"/>
                <w:spacing w:val="-4"/>
                <w:sz w:val="18"/>
                <w:szCs w:val="18"/>
              </w:rPr>
              <w:t>部门管理</w:t>
            </w:r>
            <w:r>
              <w:rPr>
                <w:rFonts w:ascii="华文仿宋" w:hAnsi="华文仿宋" w:eastAsia="华文仿宋" w:cs="华文仿宋"/>
                <w:spacing w:val="-7"/>
                <w:sz w:val="18"/>
                <w:szCs w:val="18"/>
              </w:rPr>
              <w:t>（35）</w:t>
            </w:r>
          </w:p>
        </w:tc>
        <w:tc>
          <w:tcPr>
            <w:tcW w:w="999" w:type="dxa"/>
            <w:vMerge w:val="restart"/>
            <w:tcBorders>
              <w:bottom w:val="nil"/>
            </w:tcBorders>
            <w:vAlign w:val="top"/>
          </w:tcPr>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66" w:line="201" w:lineRule="auto"/>
              <w:ind w:left="149"/>
              <w:rPr>
                <w:rFonts w:ascii="华文仿宋" w:hAnsi="华文仿宋" w:eastAsia="华文仿宋" w:cs="华文仿宋"/>
                <w:sz w:val="18"/>
                <w:szCs w:val="18"/>
              </w:rPr>
            </w:pPr>
            <w:r>
              <w:rPr>
                <w:rFonts w:ascii="华文仿宋" w:hAnsi="华文仿宋" w:eastAsia="华文仿宋" w:cs="华文仿宋"/>
                <w:spacing w:val="-4"/>
                <w:sz w:val="18"/>
                <w:szCs w:val="18"/>
              </w:rPr>
              <w:t>预算资金</w:t>
            </w:r>
          </w:p>
          <w:p>
            <w:pPr>
              <w:spacing w:before="94" w:line="199" w:lineRule="auto"/>
              <w:ind w:left="328"/>
              <w:rPr>
                <w:rFonts w:ascii="华文仿宋" w:hAnsi="华文仿宋" w:eastAsia="华文仿宋" w:cs="华文仿宋"/>
                <w:sz w:val="18"/>
                <w:szCs w:val="18"/>
              </w:rPr>
            </w:pPr>
            <w:r>
              <w:rPr>
                <w:rFonts w:ascii="华文仿宋" w:hAnsi="华文仿宋" w:eastAsia="华文仿宋" w:cs="华文仿宋"/>
                <w:spacing w:val="-8"/>
                <w:sz w:val="18"/>
                <w:szCs w:val="18"/>
              </w:rPr>
              <w:t>管理</w:t>
            </w:r>
          </w:p>
          <w:p>
            <w:pPr>
              <w:spacing w:before="57" w:line="283" w:lineRule="exact"/>
              <w:ind w:left="256"/>
              <w:rPr>
                <w:rFonts w:ascii="华文仿宋" w:hAnsi="华文仿宋" w:eastAsia="华文仿宋" w:cs="华文仿宋"/>
                <w:sz w:val="18"/>
                <w:szCs w:val="18"/>
              </w:rPr>
            </w:pPr>
            <w:r>
              <w:rPr>
                <w:rFonts w:ascii="华文仿宋" w:hAnsi="华文仿宋" w:eastAsia="华文仿宋" w:cs="华文仿宋"/>
                <w:spacing w:val="-7"/>
                <w:position w:val="3"/>
                <w:sz w:val="18"/>
                <w:szCs w:val="18"/>
              </w:rPr>
              <w:t>（14）</w:t>
            </w:r>
          </w:p>
        </w:tc>
        <w:tc>
          <w:tcPr>
            <w:tcW w:w="1167" w:type="dxa"/>
            <w:vAlign w:val="top"/>
          </w:tcPr>
          <w:p>
            <w:pPr>
              <w:spacing w:line="292" w:lineRule="auto"/>
              <w:rPr>
                <w:rFonts w:ascii="Arial"/>
                <w:sz w:val="21"/>
              </w:rPr>
            </w:pPr>
          </w:p>
          <w:p>
            <w:pPr>
              <w:spacing w:line="293" w:lineRule="auto"/>
              <w:rPr>
                <w:rFonts w:ascii="Arial"/>
                <w:sz w:val="21"/>
              </w:rPr>
            </w:pPr>
          </w:p>
          <w:p>
            <w:pPr>
              <w:spacing w:line="293" w:lineRule="auto"/>
              <w:rPr>
                <w:rFonts w:ascii="Arial"/>
                <w:sz w:val="21"/>
              </w:rPr>
            </w:pPr>
          </w:p>
          <w:p>
            <w:pPr>
              <w:spacing w:line="293" w:lineRule="auto"/>
              <w:rPr>
                <w:rFonts w:ascii="Arial"/>
                <w:sz w:val="21"/>
              </w:rPr>
            </w:pPr>
          </w:p>
          <w:p>
            <w:pPr>
              <w:spacing w:before="65" w:line="200" w:lineRule="auto"/>
              <w:ind w:left="143"/>
              <w:rPr>
                <w:rFonts w:ascii="华文仿宋" w:hAnsi="华文仿宋" w:eastAsia="华文仿宋" w:cs="华文仿宋"/>
                <w:sz w:val="18"/>
                <w:szCs w:val="18"/>
              </w:rPr>
            </w:pPr>
            <w:r>
              <w:rPr>
                <w:rFonts w:ascii="华文仿宋" w:hAnsi="华文仿宋" w:eastAsia="华文仿宋" w:cs="华文仿宋"/>
                <w:spacing w:val="-3"/>
                <w:sz w:val="18"/>
                <w:szCs w:val="18"/>
              </w:rPr>
              <w:t>预算调整率</w:t>
            </w:r>
          </w:p>
        </w:tc>
        <w:tc>
          <w:tcPr>
            <w:tcW w:w="665" w:type="dxa"/>
            <w:vAlign w:val="top"/>
          </w:tcPr>
          <w:p>
            <w:pPr>
              <w:spacing w:line="299" w:lineRule="auto"/>
              <w:rPr>
                <w:rFonts w:ascii="Arial"/>
                <w:sz w:val="21"/>
              </w:rPr>
            </w:pPr>
          </w:p>
          <w:p>
            <w:pPr>
              <w:spacing w:line="299" w:lineRule="auto"/>
              <w:rPr>
                <w:rFonts w:ascii="Arial"/>
                <w:sz w:val="21"/>
              </w:rPr>
            </w:pPr>
          </w:p>
          <w:p>
            <w:pPr>
              <w:spacing w:line="299" w:lineRule="auto"/>
              <w:rPr>
                <w:rFonts w:ascii="Arial"/>
                <w:sz w:val="21"/>
              </w:rPr>
            </w:pPr>
          </w:p>
          <w:p>
            <w:pPr>
              <w:spacing w:line="299" w:lineRule="auto"/>
              <w:rPr>
                <w:rFonts w:ascii="Arial"/>
                <w:sz w:val="21"/>
              </w:rPr>
            </w:pPr>
          </w:p>
          <w:p>
            <w:pPr>
              <w:spacing w:before="65" w:line="177" w:lineRule="auto"/>
              <w:ind w:left="290"/>
              <w:rPr>
                <w:rFonts w:ascii="华文仿宋" w:hAnsi="华文仿宋" w:eastAsia="华文仿宋" w:cs="华文仿宋"/>
                <w:sz w:val="18"/>
                <w:szCs w:val="18"/>
              </w:rPr>
            </w:pPr>
            <w:r>
              <w:rPr>
                <w:rFonts w:ascii="华文仿宋" w:hAnsi="华文仿宋" w:eastAsia="华文仿宋" w:cs="华文仿宋"/>
                <w:sz w:val="18"/>
                <w:szCs w:val="18"/>
              </w:rPr>
              <w:t>2</w:t>
            </w:r>
          </w:p>
        </w:tc>
        <w:tc>
          <w:tcPr>
            <w:tcW w:w="3011" w:type="dxa"/>
            <w:vAlign w:val="top"/>
          </w:tcPr>
          <w:p>
            <w:pPr>
              <w:spacing w:line="274" w:lineRule="auto"/>
              <w:rPr>
                <w:rFonts w:ascii="Arial"/>
                <w:sz w:val="21"/>
              </w:rPr>
            </w:pPr>
          </w:p>
          <w:p>
            <w:pPr>
              <w:spacing w:line="275" w:lineRule="auto"/>
              <w:rPr>
                <w:rFonts w:ascii="Arial"/>
                <w:sz w:val="21"/>
              </w:rPr>
            </w:pPr>
          </w:p>
          <w:p>
            <w:pPr>
              <w:spacing w:before="66" w:line="270" w:lineRule="auto"/>
              <w:ind w:left="112" w:right="202" w:firstLine="2"/>
              <w:rPr>
                <w:rFonts w:ascii="华文仿宋" w:hAnsi="华文仿宋" w:eastAsia="华文仿宋" w:cs="华文仿宋"/>
                <w:sz w:val="18"/>
                <w:szCs w:val="18"/>
              </w:rPr>
            </w:pPr>
            <w:r>
              <w:rPr>
                <w:rFonts w:ascii="华文仿宋" w:hAnsi="华文仿宋" w:eastAsia="华文仿宋" w:cs="华文仿宋"/>
                <w:spacing w:val="-3"/>
                <w:sz w:val="18"/>
                <w:szCs w:val="18"/>
              </w:rPr>
              <w:t>反映部门年度预算的调整情况，考</w:t>
            </w:r>
            <w:r>
              <w:rPr>
                <w:rFonts w:ascii="华文仿宋" w:hAnsi="华文仿宋" w:eastAsia="华文仿宋" w:cs="华文仿宋"/>
                <w:spacing w:val="-1"/>
                <w:sz w:val="18"/>
                <w:szCs w:val="18"/>
              </w:rPr>
              <w:t>察预算编制准确性。</w:t>
            </w:r>
          </w:p>
          <w:p>
            <w:pPr>
              <w:spacing w:line="284" w:lineRule="auto"/>
              <w:ind w:left="120" w:right="154" w:hanging="2"/>
              <w:rPr>
                <w:rFonts w:ascii="华文仿宋" w:hAnsi="华文仿宋" w:eastAsia="华文仿宋" w:cs="华文仿宋"/>
                <w:sz w:val="18"/>
                <w:szCs w:val="18"/>
              </w:rPr>
            </w:pPr>
            <w:r>
              <w:rPr>
                <w:rFonts w:ascii="华文仿宋" w:hAnsi="华文仿宋" w:eastAsia="华文仿宋" w:cs="华文仿宋"/>
                <w:spacing w:val="-1"/>
                <w:sz w:val="18"/>
                <w:szCs w:val="18"/>
              </w:rPr>
              <w:t>预算调整率=(年初批复数-年度决算</w:t>
            </w:r>
            <w:r>
              <w:rPr>
                <w:rFonts w:ascii="华文仿宋" w:hAnsi="华文仿宋" w:eastAsia="华文仿宋" w:cs="华文仿宋"/>
                <w:spacing w:val="-6"/>
                <w:sz w:val="18"/>
                <w:szCs w:val="18"/>
              </w:rPr>
              <w:t>数)/年初批复数×100%，是否超</w:t>
            </w:r>
          </w:p>
          <w:p>
            <w:pPr>
              <w:spacing w:before="64" w:line="177" w:lineRule="auto"/>
              <w:ind w:left="117"/>
              <w:rPr>
                <w:rFonts w:ascii="华文仿宋" w:hAnsi="华文仿宋" w:eastAsia="华文仿宋" w:cs="华文仿宋"/>
                <w:sz w:val="18"/>
                <w:szCs w:val="18"/>
              </w:rPr>
            </w:pPr>
            <w:r>
              <w:rPr>
                <w:rFonts w:ascii="华文仿宋" w:hAnsi="华文仿宋" w:eastAsia="华文仿宋" w:cs="华文仿宋"/>
                <w:spacing w:val="-7"/>
                <w:sz w:val="18"/>
                <w:szCs w:val="18"/>
              </w:rPr>
              <w:t>1%</w:t>
            </w:r>
          </w:p>
        </w:tc>
        <w:tc>
          <w:tcPr>
            <w:tcW w:w="918" w:type="dxa"/>
            <w:vAlign w:val="top"/>
          </w:tcPr>
          <w:p>
            <w:pPr>
              <w:spacing w:line="256" w:lineRule="auto"/>
              <w:rPr>
                <w:rFonts w:ascii="Arial"/>
                <w:sz w:val="21"/>
              </w:rPr>
            </w:pPr>
          </w:p>
          <w:p>
            <w:pPr>
              <w:spacing w:line="256" w:lineRule="auto"/>
              <w:rPr>
                <w:rFonts w:ascii="Arial"/>
                <w:sz w:val="21"/>
              </w:rPr>
            </w:pPr>
          </w:p>
          <w:p>
            <w:pPr>
              <w:spacing w:line="257" w:lineRule="auto"/>
              <w:rPr>
                <w:rFonts w:ascii="Arial"/>
                <w:sz w:val="21"/>
              </w:rPr>
            </w:pPr>
          </w:p>
          <w:p>
            <w:pPr>
              <w:spacing w:line="257" w:lineRule="auto"/>
              <w:rPr>
                <w:rFonts w:ascii="Arial"/>
                <w:sz w:val="21"/>
              </w:rPr>
            </w:pPr>
          </w:p>
          <w:p>
            <w:pPr>
              <w:spacing w:before="65" w:line="297" w:lineRule="auto"/>
              <w:ind w:left="398" w:right="119" w:hanging="246"/>
              <w:rPr>
                <w:rFonts w:ascii="华文仿宋" w:hAnsi="华文仿宋" w:eastAsia="华文仿宋" w:cs="华文仿宋"/>
                <w:sz w:val="18"/>
                <w:szCs w:val="18"/>
              </w:rPr>
            </w:pPr>
            <w:r>
              <w:rPr>
                <w:rFonts w:ascii="华文仿宋" w:hAnsi="华文仿宋" w:eastAsia="华文仿宋" w:cs="华文仿宋"/>
                <w:spacing w:val="-8"/>
                <w:sz w:val="18"/>
                <w:szCs w:val="18"/>
              </w:rPr>
              <w:t>±10%以</w:t>
            </w:r>
            <w:r>
              <w:rPr>
                <w:rFonts w:ascii="华文仿宋" w:hAnsi="华文仿宋" w:eastAsia="华文仿宋" w:cs="华文仿宋"/>
                <w:sz w:val="18"/>
                <w:szCs w:val="18"/>
              </w:rPr>
              <w:t>内</w:t>
            </w:r>
          </w:p>
        </w:tc>
        <w:tc>
          <w:tcPr>
            <w:tcW w:w="2171" w:type="dxa"/>
            <w:vAlign w:val="top"/>
          </w:tcPr>
          <w:p>
            <w:pPr>
              <w:spacing w:line="287" w:lineRule="auto"/>
              <w:rPr>
                <w:rFonts w:ascii="Arial"/>
                <w:sz w:val="21"/>
              </w:rPr>
            </w:pPr>
          </w:p>
          <w:p>
            <w:pPr>
              <w:spacing w:line="288" w:lineRule="auto"/>
              <w:rPr>
                <w:rFonts w:ascii="Arial"/>
                <w:sz w:val="21"/>
              </w:rPr>
            </w:pPr>
          </w:p>
          <w:p>
            <w:pPr>
              <w:spacing w:line="288" w:lineRule="auto"/>
              <w:rPr>
                <w:rFonts w:ascii="Arial"/>
                <w:sz w:val="21"/>
              </w:rPr>
            </w:pPr>
          </w:p>
          <w:p>
            <w:pPr>
              <w:spacing w:before="65" w:line="289" w:lineRule="auto"/>
              <w:ind w:left="119" w:right="139"/>
              <w:rPr>
                <w:rFonts w:ascii="华文仿宋" w:hAnsi="华文仿宋" w:eastAsia="华文仿宋" w:cs="华文仿宋"/>
                <w:sz w:val="18"/>
                <w:szCs w:val="18"/>
              </w:rPr>
            </w:pPr>
            <w:r>
              <w:rPr>
                <w:rFonts w:ascii="华文仿宋" w:hAnsi="华文仿宋" w:eastAsia="华文仿宋" w:cs="华文仿宋"/>
                <w:spacing w:val="-2"/>
                <w:sz w:val="18"/>
                <w:szCs w:val="18"/>
              </w:rPr>
              <w:t>部门预算总额调整幅度</w:t>
            </w:r>
            <w:r>
              <w:rPr>
                <w:rFonts w:ascii="华文仿宋" w:hAnsi="华文仿宋" w:eastAsia="华文仿宋" w:cs="华文仿宋"/>
                <w:spacing w:val="-6"/>
                <w:sz w:val="18"/>
                <w:szCs w:val="18"/>
              </w:rPr>
              <w:t>每增减1%扣0.20分，扣</w:t>
            </w:r>
            <w:r>
              <w:rPr>
                <w:rFonts w:ascii="华文仿宋" w:hAnsi="华文仿宋" w:eastAsia="华文仿宋" w:cs="华文仿宋"/>
                <w:spacing w:val="-4"/>
                <w:sz w:val="18"/>
                <w:szCs w:val="18"/>
              </w:rPr>
              <w:t>完为止。</w:t>
            </w:r>
          </w:p>
        </w:tc>
        <w:tc>
          <w:tcPr>
            <w:tcW w:w="4007" w:type="dxa"/>
            <w:vAlign w:val="top"/>
          </w:tcPr>
          <w:p>
            <w:pPr>
              <w:rPr>
                <w:rFonts w:ascii="Arial"/>
                <w:sz w:val="21"/>
              </w:rPr>
            </w:pPr>
          </w:p>
          <w:p>
            <w:pPr>
              <w:spacing w:before="66" w:line="285" w:lineRule="auto"/>
              <w:ind w:left="126" w:right="114" w:hanging="10"/>
              <w:rPr>
                <w:rFonts w:ascii="华文仿宋" w:hAnsi="华文仿宋" w:eastAsia="华文仿宋" w:cs="华文仿宋"/>
                <w:sz w:val="18"/>
                <w:szCs w:val="18"/>
              </w:rPr>
            </w:pPr>
            <w:r>
              <w:rPr>
                <w:rFonts w:ascii="华文仿宋" w:hAnsi="华文仿宋" w:eastAsia="华文仿宋" w:cs="华文仿宋"/>
                <w:spacing w:val="-2"/>
                <w:sz w:val="18"/>
                <w:szCs w:val="18"/>
              </w:rPr>
              <w:t>根据区民政局提供的预算批复、决算报表等相关</w:t>
            </w:r>
            <w:r>
              <w:rPr>
                <w:rFonts w:ascii="华文仿宋" w:hAnsi="华文仿宋" w:eastAsia="华文仿宋" w:cs="华文仿宋"/>
                <w:spacing w:val="-1"/>
                <w:sz w:val="18"/>
                <w:szCs w:val="18"/>
              </w:rPr>
              <w:t>资料，部门2025年度年初预算批复金额共计</w:t>
            </w:r>
          </w:p>
          <w:p>
            <w:pPr>
              <w:spacing w:before="2" w:line="285" w:lineRule="auto"/>
              <w:ind w:left="122" w:right="105" w:hanging="2"/>
              <w:rPr>
                <w:rFonts w:ascii="华文仿宋" w:hAnsi="华文仿宋" w:eastAsia="华文仿宋" w:cs="华文仿宋"/>
                <w:sz w:val="18"/>
                <w:szCs w:val="18"/>
              </w:rPr>
            </w:pPr>
            <w:r>
              <w:rPr>
                <w:rFonts w:ascii="华文仿宋" w:hAnsi="华文仿宋" w:eastAsia="华文仿宋" w:cs="华文仿宋"/>
                <w:spacing w:val="-3"/>
                <w:sz w:val="18"/>
                <w:szCs w:val="18"/>
              </w:rPr>
              <w:t>16900.92万元，当年实际执行金额共计17120.78</w:t>
            </w:r>
            <w:r>
              <w:rPr>
                <w:rFonts w:ascii="华文仿宋" w:hAnsi="华文仿宋" w:eastAsia="华文仿宋" w:cs="华文仿宋"/>
                <w:spacing w:val="-4"/>
                <w:sz w:val="18"/>
                <w:szCs w:val="18"/>
              </w:rPr>
              <w:t>万元，预算调增金额达219.86万元，其中基本支出调增34.32万元，项目支出调增185.54万元，</w:t>
            </w:r>
          </w:p>
          <w:p>
            <w:pPr>
              <w:spacing w:line="201" w:lineRule="auto"/>
              <w:ind w:left="116"/>
              <w:rPr>
                <w:rFonts w:ascii="华文仿宋" w:hAnsi="华文仿宋" w:eastAsia="华文仿宋" w:cs="华文仿宋"/>
                <w:sz w:val="18"/>
                <w:szCs w:val="18"/>
              </w:rPr>
            </w:pPr>
            <w:r>
              <w:rPr>
                <w:rFonts w:ascii="华文仿宋" w:hAnsi="华文仿宋" w:eastAsia="华文仿宋" w:cs="华文仿宋"/>
                <w:spacing w:val="-3"/>
                <w:sz w:val="18"/>
                <w:szCs w:val="18"/>
              </w:rPr>
              <w:t>根据计算公式，部门全年预算调整率为1.3%。</w:t>
            </w:r>
          </w:p>
          <w:p>
            <w:pPr>
              <w:spacing w:before="92" w:line="201" w:lineRule="auto"/>
              <w:ind w:left="120"/>
              <w:rPr>
                <w:rFonts w:ascii="华文仿宋" w:hAnsi="华文仿宋" w:eastAsia="华文仿宋" w:cs="华文仿宋"/>
                <w:sz w:val="18"/>
                <w:szCs w:val="18"/>
              </w:rPr>
            </w:pPr>
            <w:r>
              <w:rPr>
                <w:rFonts w:ascii="华文仿宋" w:hAnsi="华文仿宋" w:eastAsia="华文仿宋" w:cs="华文仿宋"/>
                <w:spacing w:val="-3"/>
                <w:sz w:val="18"/>
                <w:szCs w:val="18"/>
              </w:rPr>
              <w:t>依据评价标准，该指标扣0.4分。</w:t>
            </w:r>
          </w:p>
        </w:tc>
        <w:tc>
          <w:tcPr>
            <w:tcW w:w="684" w:type="dxa"/>
            <w:vAlign w:val="top"/>
          </w:tcPr>
          <w:p>
            <w:pPr>
              <w:spacing w:line="299" w:lineRule="auto"/>
              <w:rPr>
                <w:rFonts w:ascii="Arial"/>
                <w:sz w:val="21"/>
              </w:rPr>
            </w:pPr>
          </w:p>
          <w:p>
            <w:pPr>
              <w:spacing w:line="299" w:lineRule="auto"/>
              <w:rPr>
                <w:rFonts w:ascii="Arial"/>
                <w:sz w:val="21"/>
              </w:rPr>
            </w:pPr>
          </w:p>
          <w:p>
            <w:pPr>
              <w:spacing w:line="299" w:lineRule="auto"/>
              <w:rPr>
                <w:rFonts w:ascii="Arial"/>
                <w:sz w:val="21"/>
              </w:rPr>
            </w:pPr>
          </w:p>
          <w:p>
            <w:pPr>
              <w:spacing w:line="299" w:lineRule="auto"/>
              <w:rPr>
                <w:rFonts w:ascii="Arial"/>
                <w:sz w:val="21"/>
              </w:rPr>
            </w:pPr>
          </w:p>
          <w:p>
            <w:pPr>
              <w:spacing w:before="65" w:line="177" w:lineRule="auto"/>
              <w:ind w:left="251"/>
              <w:rPr>
                <w:rFonts w:ascii="华文仿宋" w:hAnsi="华文仿宋" w:eastAsia="华文仿宋" w:cs="华文仿宋"/>
                <w:sz w:val="18"/>
                <w:szCs w:val="18"/>
              </w:rPr>
            </w:pPr>
            <w:r>
              <w:rPr>
                <w:rFonts w:ascii="华文仿宋" w:hAnsi="华文仿宋" w:eastAsia="华文仿宋" w:cs="华文仿宋"/>
                <w:spacing w:val="-5"/>
                <w:sz w:val="18"/>
                <w:szCs w:val="18"/>
              </w:rPr>
              <w:t>1.6</w:t>
            </w:r>
          </w:p>
        </w:tc>
        <w:tc>
          <w:tcPr>
            <w:tcW w:w="832" w:type="dxa"/>
            <w:vAlign w:val="top"/>
          </w:tcPr>
          <w:p>
            <w:pPr>
              <w:spacing w:line="299" w:lineRule="auto"/>
              <w:rPr>
                <w:rFonts w:ascii="Arial"/>
                <w:sz w:val="21"/>
              </w:rPr>
            </w:pPr>
          </w:p>
          <w:p>
            <w:pPr>
              <w:spacing w:line="299" w:lineRule="auto"/>
              <w:rPr>
                <w:rFonts w:ascii="Arial"/>
                <w:sz w:val="21"/>
              </w:rPr>
            </w:pPr>
          </w:p>
          <w:p>
            <w:pPr>
              <w:spacing w:line="299" w:lineRule="auto"/>
              <w:rPr>
                <w:rFonts w:ascii="Arial"/>
                <w:sz w:val="21"/>
              </w:rPr>
            </w:pPr>
          </w:p>
          <w:p>
            <w:pPr>
              <w:spacing w:line="299" w:lineRule="auto"/>
              <w:rPr>
                <w:rFonts w:ascii="Arial"/>
                <w:sz w:val="21"/>
              </w:rPr>
            </w:pPr>
          </w:p>
          <w:p>
            <w:pPr>
              <w:spacing w:before="65" w:line="177" w:lineRule="auto"/>
              <w:ind w:left="266"/>
              <w:rPr>
                <w:rFonts w:ascii="华文仿宋" w:hAnsi="华文仿宋" w:eastAsia="华文仿宋" w:cs="华文仿宋"/>
                <w:sz w:val="18"/>
                <w:szCs w:val="18"/>
              </w:rPr>
            </w:pPr>
            <w:r>
              <w:rPr>
                <w:rFonts w:ascii="华文仿宋" w:hAnsi="华文仿宋" w:eastAsia="华文仿宋" w:cs="华文仿宋"/>
                <w:spacing w:val="-5"/>
                <w:sz w:val="18"/>
                <w:szCs w:val="18"/>
              </w:rPr>
              <w:t>80%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373" w:hRule="atLeast"/>
        </w:trPr>
        <w:tc>
          <w:tcPr>
            <w:tcW w:w="1091" w:type="dxa"/>
            <w:vMerge w:val="continue"/>
            <w:tcBorders>
              <w:top w:val="nil"/>
            </w:tcBorders>
            <w:vAlign w:val="top"/>
          </w:tcPr>
          <w:p>
            <w:pPr>
              <w:rPr>
                <w:rFonts w:ascii="Arial"/>
                <w:sz w:val="21"/>
              </w:rPr>
            </w:pPr>
          </w:p>
        </w:tc>
        <w:tc>
          <w:tcPr>
            <w:tcW w:w="999" w:type="dxa"/>
            <w:vMerge w:val="continue"/>
            <w:tcBorders>
              <w:top w:val="nil"/>
            </w:tcBorders>
            <w:vAlign w:val="top"/>
          </w:tcPr>
          <w:p>
            <w:pPr>
              <w:rPr>
                <w:rFonts w:ascii="Arial"/>
                <w:sz w:val="21"/>
              </w:rPr>
            </w:pPr>
          </w:p>
        </w:tc>
        <w:tc>
          <w:tcPr>
            <w:tcW w:w="1167"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before="65" w:line="294" w:lineRule="auto"/>
              <w:ind w:left="414" w:right="133" w:hanging="265"/>
              <w:rPr>
                <w:rFonts w:ascii="华文仿宋" w:hAnsi="华文仿宋" w:eastAsia="华文仿宋" w:cs="华文仿宋"/>
                <w:sz w:val="18"/>
                <w:szCs w:val="18"/>
              </w:rPr>
            </w:pPr>
            <w:r>
              <w:rPr>
                <w:rFonts w:ascii="华文仿宋" w:hAnsi="华文仿宋" w:eastAsia="华文仿宋" w:cs="华文仿宋"/>
                <w:spacing w:val="-5"/>
                <w:sz w:val="18"/>
                <w:szCs w:val="18"/>
              </w:rPr>
              <w:t>资金使用合</w:t>
            </w:r>
            <w:r>
              <w:rPr>
                <w:rFonts w:ascii="华文仿宋" w:hAnsi="华文仿宋" w:eastAsia="华文仿宋" w:cs="华文仿宋"/>
                <w:spacing w:val="-8"/>
                <w:sz w:val="18"/>
                <w:szCs w:val="18"/>
              </w:rPr>
              <w:t>规性</w:t>
            </w:r>
          </w:p>
        </w:tc>
        <w:tc>
          <w:tcPr>
            <w:tcW w:w="665" w:type="dxa"/>
            <w:vAlign w:val="top"/>
          </w:tcPr>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65" w:line="177" w:lineRule="auto"/>
              <w:ind w:left="291"/>
              <w:rPr>
                <w:rFonts w:ascii="华文仿宋" w:hAnsi="华文仿宋" w:eastAsia="华文仿宋" w:cs="华文仿宋"/>
                <w:sz w:val="18"/>
                <w:szCs w:val="18"/>
              </w:rPr>
            </w:pPr>
            <w:r>
              <w:rPr>
                <w:rFonts w:ascii="华文仿宋" w:hAnsi="华文仿宋" w:eastAsia="华文仿宋" w:cs="华文仿宋"/>
                <w:sz w:val="18"/>
                <w:szCs w:val="18"/>
              </w:rPr>
              <w:t>4</w:t>
            </w:r>
          </w:p>
        </w:tc>
        <w:tc>
          <w:tcPr>
            <w:tcW w:w="3011" w:type="dxa"/>
            <w:vAlign w:val="top"/>
          </w:tcPr>
          <w:p>
            <w:pPr>
              <w:spacing w:before="68" w:line="286" w:lineRule="auto"/>
              <w:ind w:left="114" w:right="202"/>
              <w:rPr>
                <w:rFonts w:ascii="华文仿宋" w:hAnsi="华文仿宋" w:eastAsia="华文仿宋" w:cs="华文仿宋"/>
                <w:sz w:val="18"/>
                <w:szCs w:val="18"/>
              </w:rPr>
            </w:pPr>
            <w:r>
              <w:rPr>
                <w:rFonts w:ascii="华文仿宋" w:hAnsi="华文仿宋" w:eastAsia="华文仿宋" w:cs="华文仿宋"/>
                <w:spacing w:val="-3"/>
                <w:sz w:val="18"/>
                <w:szCs w:val="18"/>
              </w:rPr>
              <w:t>反映部门资金支出规范性，包括资</w:t>
            </w:r>
            <w:r>
              <w:rPr>
                <w:rFonts w:ascii="华文仿宋" w:hAnsi="华文仿宋" w:eastAsia="华文仿宋" w:cs="华文仿宋"/>
                <w:spacing w:val="-4"/>
                <w:sz w:val="18"/>
                <w:szCs w:val="18"/>
              </w:rPr>
              <w:t>金管理、费用支出等制度是否严格执行；资金调整、调剂是否规范；</w:t>
            </w:r>
            <w:r>
              <w:rPr>
                <w:rFonts w:ascii="华文仿宋" w:hAnsi="华文仿宋" w:eastAsia="华文仿宋" w:cs="华文仿宋"/>
                <w:spacing w:val="-2"/>
                <w:sz w:val="18"/>
                <w:szCs w:val="18"/>
              </w:rPr>
              <w:t>会计核算是否规范、是否存在支出</w:t>
            </w:r>
            <w:r>
              <w:rPr>
                <w:rFonts w:ascii="华文仿宋" w:hAnsi="华文仿宋" w:eastAsia="华文仿宋" w:cs="华文仿宋"/>
                <w:spacing w:val="-3"/>
                <w:sz w:val="18"/>
                <w:szCs w:val="18"/>
              </w:rPr>
              <w:t>依据不合规、虚列项目支出的情</w:t>
            </w:r>
          </w:p>
          <w:p>
            <w:pPr>
              <w:spacing w:before="5" w:line="285" w:lineRule="auto"/>
              <w:ind w:left="115" w:right="202"/>
              <w:rPr>
                <w:rFonts w:ascii="华文仿宋" w:hAnsi="华文仿宋" w:eastAsia="华文仿宋" w:cs="华文仿宋"/>
                <w:sz w:val="18"/>
                <w:szCs w:val="18"/>
              </w:rPr>
            </w:pPr>
            <w:r>
              <w:rPr>
                <w:rFonts w:ascii="华文仿宋" w:hAnsi="华文仿宋" w:eastAsia="华文仿宋" w:cs="华文仿宋"/>
                <w:spacing w:val="-4"/>
                <w:sz w:val="18"/>
                <w:szCs w:val="18"/>
              </w:rPr>
              <w:t>况；是否存在截留、挤占、挪用项</w:t>
            </w:r>
            <w:r>
              <w:rPr>
                <w:rFonts w:ascii="华文仿宋" w:hAnsi="华文仿宋" w:eastAsia="华文仿宋" w:cs="华文仿宋"/>
                <w:spacing w:val="-3"/>
                <w:sz w:val="18"/>
                <w:szCs w:val="18"/>
              </w:rPr>
              <w:t>目资金情况。1.是否符合国家财经</w:t>
            </w:r>
            <w:r>
              <w:rPr>
                <w:rFonts w:ascii="华文仿宋" w:hAnsi="华文仿宋" w:eastAsia="华文仿宋" w:cs="华文仿宋"/>
                <w:spacing w:val="-1"/>
                <w:sz w:val="18"/>
                <w:szCs w:val="18"/>
              </w:rPr>
              <w:t>法规和财务管理制度规定以及有关</w:t>
            </w:r>
            <w:r>
              <w:rPr>
                <w:rFonts w:ascii="华文仿宋" w:hAnsi="华文仿宋" w:eastAsia="华文仿宋" w:cs="华文仿宋"/>
                <w:spacing w:val="-3"/>
                <w:sz w:val="18"/>
                <w:szCs w:val="18"/>
              </w:rPr>
              <w:t>专项资金管理办法的规定；2.资金</w:t>
            </w:r>
            <w:r>
              <w:rPr>
                <w:rFonts w:ascii="华文仿宋" w:hAnsi="华文仿宋" w:eastAsia="华文仿宋" w:cs="华文仿宋"/>
                <w:spacing w:val="-1"/>
                <w:sz w:val="18"/>
                <w:szCs w:val="18"/>
              </w:rPr>
              <w:t>的</w:t>
            </w:r>
            <w:r>
              <w:rPr>
                <w:rFonts w:hint="eastAsia" w:ascii="华文仿宋" w:hAnsi="华文仿宋" w:eastAsia="华文仿宋" w:cs="华文仿宋"/>
                <w:spacing w:val="-1"/>
                <w:sz w:val="18"/>
                <w:szCs w:val="18"/>
                <w:lang w:val="en-US" w:eastAsia="zh-CN"/>
              </w:rPr>
              <w:t>支</w:t>
            </w:r>
            <w:r>
              <w:rPr>
                <w:rFonts w:ascii="华文仿宋" w:hAnsi="华文仿宋" w:eastAsia="华文仿宋" w:cs="华文仿宋"/>
                <w:spacing w:val="-1"/>
                <w:sz w:val="18"/>
                <w:szCs w:val="18"/>
              </w:rPr>
              <w:t>付是否有完整的审批程序和手</w:t>
            </w:r>
            <w:r>
              <w:rPr>
                <w:rFonts w:ascii="华文仿宋" w:hAnsi="华文仿宋" w:eastAsia="华文仿宋" w:cs="华文仿宋"/>
                <w:spacing w:val="-5"/>
                <w:sz w:val="18"/>
                <w:szCs w:val="18"/>
              </w:rPr>
              <w:t>续；3.重大开支是否经过评估论</w:t>
            </w:r>
          </w:p>
          <w:p>
            <w:pPr>
              <w:spacing w:before="2" w:line="262" w:lineRule="auto"/>
              <w:ind w:left="112" w:right="257" w:firstLine="5"/>
              <w:rPr>
                <w:rFonts w:ascii="华文仿宋" w:hAnsi="华文仿宋" w:eastAsia="华文仿宋" w:cs="华文仿宋"/>
                <w:sz w:val="18"/>
                <w:szCs w:val="18"/>
              </w:rPr>
            </w:pPr>
            <w:r>
              <w:rPr>
                <w:rFonts w:ascii="华文仿宋" w:hAnsi="华文仿宋" w:eastAsia="华文仿宋" w:cs="华文仿宋"/>
                <w:spacing w:val="-1"/>
                <w:sz w:val="18"/>
                <w:szCs w:val="18"/>
              </w:rPr>
              <w:t>证；4.是否符合部门预算批复的用</w:t>
            </w:r>
            <w:r>
              <w:rPr>
                <w:rFonts w:ascii="华文仿宋" w:hAnsi="华文仿宋" w:eastAsia="华文仿宋" w:cs="华文仿宋"/>
                <w:spacing w:val="-3"/>
                <w:sz w:val="18"/>
                <w:szCs w:val="18"/>
              </w:rPr>
              <w:t>途；5.是否存在截留、挤占、挪用</w:t>
            </w:r>
            <w:r>
              <w:rPr>
                <w:rFonts w:ascii="华文仿宋" w:hAnsi="华文仿宋" w:eastAsia="华文仿宋" w:cs="华文仿宋"/>
                <w:spacing w:val="-4"/>
                <w:sz w:val="18"/>
                <w:szCs w:val="18"/>
              </w:rPr>
              <w:t>情况。</w:t>
            </w:r>
          </w:p>
        </w:tc>
        <w:tc>
          <w:tcPr>
            <w:tcW w:w="918" w:type="dxa"/>
            <w:vAlign w:val="top"/>
          </w:tcPr>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65" w:line="199" w:lineRule="auto"/>
              <w:ind w:left="287"/>
              <w:rPr>
                <w:rFonts w:ascii="华文仿宋" w:hAnsi="华文仿宋" w:eastAsia="华文仿宋" w:cs="华文仿宋"/>
                <w:sz w:val="18"/>
                <w:szCs w:val="18"/>
              </w:rPr>
            </w:pPr>
            <w:r>
              <w:rPr>
                <w:rFonts w:ascii="华文仿宋" w:hAnsi="华文仿宋" w:eastAsia="华文仿宋" w:cs="华文仿宋"/>
                <w:spacing w:val="-5"/>
                <w:sz w:val="18"/>
                <w:szCs w:val="18"/>
              </w:rPr>
              <w:t>合规</w:t>
            </w:r>
          </w:p>
        </w:tc>
        <w:tc>
          <w:tcPr>
            <w:tcW w:w="2171" w:type="dxa"/>
            <w:vAlign w:val="top"/>
          </w:tcPr>
          <w:p>
            <w:pPr>
              <w:spacing w:line="279"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before="65" w:line="286" w:lineRule="auto"/>
              <w:ind w:left="116" w:right="259" w:firstLine="3"/>
              <w:jc w:val="both"/>
              <w:rPr>
                <w:rFonts w:ascii="华文仿宋" w:hAnsi="华文仿宋" w:eastAsia="华文仿宋" w:cs="华文仿宋"/>
                <w:sz w:val="18"/>
                <w:szCs w:val="18"/>
              </w:rPr>
            </w:pPr>
            <w:r>
              <w:rPr>
                <w:rFonts w:ascii="华文仿宋" w:hAnsi="华文仿宋" w:eastAsia="华文仿宋" w:cs="华文仿宋"/>
                <w:spacing w:val="-2"/>
                <w:sz w:val="18"/>
                <w:szCs w:val="18"/>
              </w:rPr>
              <w:t>部门当年资料使用符合</w:t>
            </w:r>
            <w:r>
              <w:rPr>
                <w:rFonts w:ascii="华文仿宋" w:hAnsi="华文仿宋" w:eastAsia="华文仿宋" w:cs="华文仿宋"/>
                <w:spacing w:val="-1"/>
                <w:sz w:val="18"/>
                <w:szCs w:val="18"/>
              </w:rPr>
              <w:t>全部评价要点得4分，</w:t>
            </w:r>
          </w:p>
          <w:p>
            <w:pPr>
              <w:spacing w:before="1" w:line="291" w:lineRule="auto"/>
              <w:ind w:left="119" w:right="226"/>
              <w:jc w:val="both"/>
              <w:rPr>
                <w:rFonts w:ascii="华文仿宋" w:hAnsi="华文仿宋" w:eastAsia="华文仿宋" w:cs="华文仿宋"/>
                <w:sz w:val="18"/>
                <w:szCs w:val="18"/>
              </w:rPr>
            </w:pPr>
            <w:r>
              <w:rPr>
                <w:rFonts w:ascii="华文仿宋" w:hAnsi="华文仿宋" w:eastAsia="华文仿宋" w:cs="华文仿宋"/>
                <w:spacing w:val="-3"/>
                <w:sz w:val="18"/>
                <w:szCs w:val="18"/>
              </w:rPr>
              <w:t>每一项不符合扣1分,扣</w:t>
            </w:r>
            <w:r>
              <w:rPr>
                <w:rFonts w:ascii="华文仿宋" w:hAnsi="华文仿宋" w:eastAsia="华文仿宋" w:cs="华文仿宋"/>
                <w:spacing w:val="-4"/>
                <w:sz w:val="18"/>
                <w:szCs w:val="18"/>
              </w:rPr>
              <w:t>完为止。有重大违规违</w:t>
            </w:r>
            <w:r>
              <w:rPr>
                <w:rFonts w:ascii="华文仿宋" w:hAnsi="华文仿宋" w:eastAsia="华文仿宋" w:cs="华文仿宋"/>
                <w:spacing w:val="-2"/>
                <w:sz w:val="18"/>
                <w:szCs w:val="18"/>
              </w:rPr>
              <w:t>纪行为的不得分。</w:t>
            </w:r>
          </w:p>
        </w:tc>
        <w:tc>
          <w:tcPr>
            <w:tcW w:w="4007" w:type="dxa"/>
            <w:vAlign w:val="top"/>
          </w:tcPr>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before="66" w:line="287" w:lineRule="auto"/>
              <w:ind w:left="116" w:right="114"/>
              <w:rPr>
                <w:rFonts w:ascii="华文仿宋" w:hAnsi="华文仿宋" w:eastAsia="华文仿宋" w:cs="华文仿宋"/>
                <w:sz w:val="18"/>
                <w:szCs w:val="18"/>
              </w:rPr>
            </w:pPr>
            <w:r>
              <w:rPr>
                <w:rFonts w:ascii="华文仿宋" w:hAnsi="华文仿宋" w:eastAsia="华文仿宋" w:cs="华文仿宋"/>
                <w:spacing w:val="-3"/>
                <w:sz w:val="18"/>
                <w:szCs w:val="18"/>
              </w:rPr>
              <w:t>根据区民政局提供的财务管理制度、资金支出审</w:t>
            </w:r>
            <w:r>
              <w:rPr>
                <w:rFonts w:ascii="华文仿宋" w:hAnsi="华文仿宋" w:eastAsia="华文仿宋" w:cs="华文仿宋"/>
                <w:spacing w:val="-2"/>
                <w:sz w:val="18"/>
                <w:szCs w:val="18"/>
              </w:rPr>
              <w:t>批单及相关会议纪要等资料，结合现场抽查凭证情况，2025年区民政局已按国家财政、财务管理相关规定规范使用资金，资金的使用履行相关</w:t>
            </w:r>
            <w:r>
              <w:rPr>
                <w:rFonts w:ascii="华文仿宋" w:hAnsi="华文仿宋" w:eastAsia="华文仿宋" w:cs="华文仿宋"/>
                <w:spacing w:val="-4"/>
                <w:sz w:val="18"/>
                <w:szCs w:val="18"/>
              </w:rPr>
              <w:t>的申请审核、审批手续，重大支出经集体决策程</w:t>
            </w:r>
            <w:r>
              <w:rPr>
                <w:rFonts w:ascii="华文仿宋" w:hAnsi="华文仿宋" w:eastAsia="华文仿宋" w:cs="华文仿宋"/>
                <w:spacing w:val="-7"/>
                <w:sz w:val="18"/>
                <w:szCs w:val="18"/>
              </w:rPr>
              <w:t>序，相关凭证附件齐全，支出程序规范。同时资</w:t>
            </w:r>
            <w:r>
              <w:rPr>
                <w:rFonts w:ascii="华文仿宋" w:hAnsi="华文仿宋" w:eastAsia="华文仿宋" w:cs="华文仿宋"/>
                <w:spacing w:val="-2"/>
                <w:sz w:val="18"/>
                <w:szCs w:val="18"/>
              </w:rPr>
              <w:t>金实际用途与预算批复相一致，各专项未发现资</w:t>
            </w:r>
            <w:r>
              <w:rPr>
                <w:rFonts w:ascii="华文仿宋" w:hAnsi="华文仿宋" w:eastAsia="华文仿宋" w:cs="华文仿宋"/>
                <w:spacing w:val="-5"/>
                <w:sz w:val="18"/>
                <w:szCs w:val="18"/>
              </w:rPr>
              <w:t>金截留、挤占、挪用、虚列支出等情况。依据评</w:t>
            </w:r>
            <w:r>
              <w:rPr>
                <w:rFonts w:ascii="华文仿宋" w:hAnsi="华文仿宋" w:eastAsia="华文仿宋" w:cs="华文仿宋"/>
                <w:spacing w:val="-4"/>
                <w:sz w:val="18"/>
                <w:szCs w:val="18"/>
              </w:rPr>
              <w:t>价标准，该指标得4分。</w:t>
            </w:r>
          </w:p>
        </w:tc>
        <w:tc>
          <w:tcPr>
            <w:tcW w:w="684" w:type="dxa"/>
            <w:vAlign w:val="top"/>
          </w:tcPr>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65" w:line="177" w:lineRule="auto"/>
              <w:ind w:left="305"/>
              <w:rPr>
                <w:rFonts w:ascii="华文仿宋" w:hAnsi="华文仿宋" w:eastAsia="华文仿宋" w:cs="华文仿宋"/>
                <w:sz w:val="18"/>
                <w:szCs w:val="18"/>
              </w:rPr>
            </w:pPr>
            <w:r>
              <w:rPr>
                <w:rFonts w:ascii="华文仿宋" w:hAnsi="华文仿宋" w:eastAsia="华文仿宋" w:cs="华文仿宋"/>
                <w:sz w:val="18"/>
                <w:szCs w:val="18"/>
              </w:rPr>
              <w:t>4</w:t>
            </w:r>
          </w:p>
        </w:tc>
        <w:tc>
          <w:tcPr>
            <w:tcW w:w="832" w:type="dxa"/>
            <w:vAlign w:val="top"/>
          </w:tcPr>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65"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bl>
    <w:p>
      <w:pPr>
        <w:pStyle w:val="2"/>
      </w:pPr>
    </w:p>
    <w:p>
      <w:pPr>
        <w:sectPr>
          <w:footerReference r:id="rId13" w:type="default"/>
          <w:pgSz w:w="16839" w:h="11906"/>
          <w:pgMar w:top="1012" w:right="595" w:bottom="1575" w:left="692" w:header="0" w:footer="1289" w:gutter="0"/>
          <w:pgNumType w:fmt="decimal"/>
          <w:cols w:space="720" w:num="1"/>
        </w:sectPr>
      </w:pPr>
    </w:p>
    <w:p>
      <w:pPr>
        <w:pStyle w:val="2"/>
        <w:spacing w:line="287" w:lineRule="auto"/>
      </w:pPr>
    </w:p>
    <w:p>
      <w:pPr>
        <w:spacing w:before="102" w:line="201" w:lineRule="auto"/>
        <w:ind w:left="140" w:firstLine="231" w:firstLineChars="100"/>
        <w:rPr>
          <w:rFonts w:ascii="华文仿宋" w:hAnsi="华文仿宋" w:eastAsia="华文仿宋" w:cs="华文仿宋"/>
          <w:sz w:val="28"/>
          <w:szCs w:val="28"/>
        </w:rPr>
      </w:pPr>
      <w:r>
        <w:rPr>
          <w:rFonts w:hint="eastAsia" w:ascii="仿宋" w:hAnsi="仿宋" w:eastAsia="仿宋" w:cs="仿宋"/>
          <w:b/>
          <w:bCs/>
          <w:spacing w:val="-5"/>
          <w:sz w:val="24"/>
          <w:szCs w:val="24"/>
        </w:rPr>
        <w:t>附件一：部门整体绩效评价指标体系评分表</w:t>
      </w:r>
    </w:p>
    <w:p>
      <w:pPr>
        <w:spacing w:line="109" w:lineRule="exact"/>
      </w:pPr>
    </w:p>
    <w:tbl>
      <w:tblPr>
        <w:tblStyle w:val="7"/>
        <w:tblW w:w="155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999"/>
        <w:gridCol w:w="1167"/>
        <w:gridCol w:w="665"/>
        <w:gridCol w:w="3011"/>
        <w:gridCol w:w="918"/>
        <w:gridCol w:w="2171"/>
        <w:gridCol w:w="4007"/>
        <w:gridCol w:w="684"/>
        <w:gridCol w:w="8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7" w:hRule="atLeast"/>
        </w:trPr>
        <w:tc>
          <w:tcPr>
            <w:tcW w:w="1091" w:type="dxa"/>
            <w:vAlign w:val="top"/>
          </w:tcPr>
          <w:p>
            <w:pPr>
              <w:spacing w:before="112" w:line="199" w:lineRule="auto"/>
              <w:ind w:left="201"/>
              <w:rPr>
                <w:rFonts w:ascii="华文仿宋" w:hAnsi="华文仿宋" w:eastAsia="华文仿宋" w:cs="华文仿宋"/>
                <w:sz w:val="18"/>
                <w:szCs w:val="18"/>
              </w:rPr>
            </w:pPr>
            <w:r>
              <w:rPr>
                <w:rFonts w:ascii="华文仿宋" w:hAnsi="华文仿宋" w:eastAsia="华文仿宋" w:cs="华文仿宋"/>
                <w:b/>
                <w:bCs/>
                <w:spacing w:val="-7"/>
                <w:sz w:val="18"/>
                <w:szCs w:val="18"/>
              </w:rPr>
              <w:t>一级指标</w:t>
            </w:r>
          </w:p>
        </w:tc>
        <w:tc>
          <w:tcPr>
            <w:tcW w:w="999" w:type="dxa"/>
            <w:vAlign w:val="top"/>
          </w:tcPr>
          <w:p>
            <w:pPr>
              <w:spacing w:before="112" w:line="199" w:lineRule="auto"/>
              <w:ind w:left="152"/>
              <w:rPr>
                <w:rFonts w:ascii="华文仿宋" w:hAnsi="华文仿宋" w:eastAsia="华文仿宋" w:cs="华文仿宋"/>
                <w:sz w:val="18"/>
                <w:szCs w:val="18"/>
              </w:rPr>
            </w:pPr>
            <w:r>
              <w:rPr>
                <w:rFonts w:ascii="华文仿宋" w:hAnsi="华文仿宋" w:eastAsia="华文仿宋" w:cs="华文仿宋"/>
                <w:b/>
                <w:bCs/>
                <w:spacing w:val="-7"/>
                <w:sz w:val="18"/>
                <w:szCs w:val="18"/>
              </w:rPr>
              <w:t>二级指标</w:t>
            </w:r>
          </w:p>
        </w:tc>
        <w:tc>
          <w:tcPr>
            <w:tcW w:w="1167" w:type="dxa"/>
            <w:vAlign w:val="top"/>
          </w:tcPr>
          <w:p>
            <w:pPr>
              <w:spacing w:before="112" w:line="199" w:lineRule="auto"/>
              <w:ind w:left="241"/>
              <w:rPr>
                <w:rFonts w:ascii="华文仿宋" w:hAnsi="华文仿宋" w:eastAsia="华文仿宋" w:cs="华文仿宋"/>
                <w:sz w:val="18"/>
                <w:szCs w:val="18"/>
              </w:rPr>
            </w:pPr>
            <w:r>
              <w:rPr>
                <w:rFonts w:ascii="华文仿宋" w:hAnsi="华文仿宋" w:eastAsia="华文仿宋" w:cs="华文仿宋"/>
                <w:b/>
                <w:bCs/>
                <w:spacing w:val="-8"/>
                <w:sz w:val="18"/>
                <w:szCs w:val="18"/>
              </w:rPr>
              <w:t>三级指标</w:t>
            </w:r>
          </w:p>
        </w:tc>
        <w:tc>
          <w:tcPr>
            <w:tcW w:w="665" w:type="dxa"/>
            <w:vAlign w:val="top"/>
          </w:tcPr>
          <w:p>
            <w:pPr>
              <w:spacing w:before="113" w:line="198" w:lineRule="auto"/>
              <w:ind w:left="159"/>
              <w:rPr>
                <w:rFonts w:ascii="华文仿宋" w:hAnsi="华文仿宋" w:eastAsia="华文仿宋" w:cs="华文仿宋"/>
                <w:sz w:val="18"/>
                <w:szCs w:val="18"/>
              </w:rPr>
            </w:pPr>
            <w:r>
              <w:rPr>
                <w:rFonts w:ascii="华文仿宋" w:hAnsi="华文仿宋" w:eastAsia="华文仿宋" w:cs="华文仿宋"/>
                <w:b/>
                <w:bCs/>
                <w:spacing w:val="-7"/>
                <w:sz w:val="18"/>
                <w:szCs w:val="18"/>
              </w:rPr>
              <w:t>权重</w:t>
            </w:r>
          </w:p>
        </w:tc>
        <w:tc>
          <w:tcPr>
            <w:tcW w:w="3011" w:type="dxa"/>
            <w:vAlign w:val="top"/>
          </w:tcPr>
          <w:p>
            <w:pPr>
              <w:spacing w:before="112" w:line="199" w:lineRule="auto"/>
              <w:ind w:left="705"/>
              <w:rPr>
                <w:rFonts w:ascii="华文仿宋" w:hAnsi="华文仿宋" w:eastAsia="华文仿宋" w:cs="华文仿宋"/>
                <w:sz w:val="18"/>
                <w:szCs w:val="18"/>
              </w:rPr>
            </w:pPr>
            <w:r>
              <w:rPr>
                <w:rFonts w:ascii="华文仿宋" w:hAnsi="华文仿宋" w:eastAsia="华文仿宋" w:cs="华文仿宋"/>
                <w:b/>
                <w:bCs/>
                <w:spacing w:val="-4"/>
                <w:sz w:val="18"/>
                <w:szCs w:val="18"/>
              </w:rPr>
              <w:t>指标解释及评价要点</w:t>
            </w:r>
          </w:p>
        </w:tc>
        <w:tc>
          <w:tcPr>
            <w:tcW w:w="918" w:type="dxa"/>
            <w:vAlign w:val="top"/>
          </w:tcPr>
          <w:p>
            <w:pPr>
              <w:spacing w:before="112" w:line="199" w:lineRule="auto"/>
              <w:ind w:left="197"/>
              <w:rPr>
                <w:rFonts w:ascii="华文仿宋" w:hAnsi="华文仿宋" w:eastAsia="华文仿宋" w:cs="华文仿宋"/>
                <w:sz w:val="18"/>
                <w:szCs w:val="18"/>
              </w:rPr>
            </w:pPr>
            <w:r>
              <w:rPr>
                <w:rFonts w:ascii="华文仿宋" w:hAnsi="华文仿宋" w:eastAsia="华文仿宋" w:cs="华文仿宋"/>
                <w:b/>
                <w:bCs/>
                <w:spacing w:val="-6"/>
                <w:sz w:val="18"/>
                <w:szCs w:val="18"/>
              </w:rPr>
              <w:t>标杆值</w:t>
            </w:r>
          </w:p>
        </w:tc>
        <w:tc>
          <w:tcPr>
            <w:tcW w:w="2171" w:type="dxa"/>
            <w:vAlign w:val="top"/>
          </w:tcPr>
          <w:p>
            <w:pPr>
              <w:spacing w:before="112" w:line="199" w:lineRule="auto"/>
              <w:ind w:left="730"/>
              <w:rPr>
                <w:rFonts w:ascii="华文仿宋" w:hAnsi="华文仿宋" w:eastAsia="华文仿宋" w:cs="华文仿宋"/>
                <w:sz w:val="18"/>
                <w:szCs w:val="18"/>
              </w:rPr>
            </w:pPr>
            <w:r>
              <w:rPr>
                <w:rFonts w:ascii="华文仿宋" w:hAnsi="华文仿宋" w:eastAsia="华文仿宋" w:cs="华文仿宋"/>
                <w:b/>
                <w:bCs/>
                <w:spacing w:val="-4"/>
                <w:sz w:val="18"/>
                <w:szCs w:val="18"/>
              </w:rPr>
              <w:t>评价标准</w:t>
            </w:r>
          </w:p>
        </w:tc>
        <w:tc>
          <w:tcPr>
            <w:tcW w:w="4007" w:type="dxa"/>
            <w:vAlign w:val="top"/>
          </w:tcPr>
          <w:p>
            <w:pPr>
              <w:spacing w:before="113" w:line="198" w:lineRule="auto"/>
              <w:ind w:left="1648"/>
              <w:rPr>
                <w:rFonts w:ascii="华文仿宋" w:hAnsi="华文仿宋" w:eastAsia="华文仿宋" w:cs="华文仿宋"/>
                <w:sz w:val="18"/>
                <w:szCs w:val="18"/>
              </w:rPr>
            </w:pPr>
            <w:r>
              <w:rPr>
                <w:rFonts w:ascii="华文仿宋" w:hAnsi="华文仿宋" w:eastAsia="华文仿宋" w:cs="华文仿宋"/>
                <w:b/>
                <w:bCs/>
                <w:spacing w:val="-4"/>
                <w:sz w:val="18"/>
                <w:szCs w:val="18"/>
              </w:rPr>
              <w:t>评分过程</w:t>
            </w:r>
          </w:p>
        </w:tc>
        <w:tc>
          <w:tcPr>
            <w:tcW w:w="684" w:type="dxa"/>
            <w:vAlign w:val="top"/>
          </w:tcPr>
          <w:p>
            <w:pPr>
              <w:spacing w:before="114" w:line="197" w:lineRule="auto"/>
              <w:ind w:left="172"/>
              <w:rPr>
                <w:rFonts w:ascii="华文仿宋" w:hAnsi="华文仿宋" w:eastAsia="华文仿宋" w:cs="华文仿宋"/>
                <w:sz w:val="18"/>
                <w:szCs w:val="18"/>
              </w:rPr>
            </w:pPr>
            <w:r>
              <w:rPr>
                <w:rFonts w:ascii="华文仿宋" w:hAnsi="华文仿宋" w:eastAsia="华文仿宋" w:cs="华文仿宋"/>
                <w:b/>
                <w:bCs/>
                <w:spacing w:val="-8"/>
                <w:sz w:val="18"/>
                <w:szCs w:val="18"/>
              </w:rPr>
              <w:t>得分</w:t>
            </w:r>
          </w:p>
        </w:tc>
        <w:tc>
          <w:tcPr>
            <w:tcW w:w="832" w:type="dxa"/>
            <w:vAlign w:val="top"/>
          </w:tcPr>
          <w:p>
            <w:pPr>
              <w:spacing w:before="111" w:line="200" w:lineRule="auto"/>
              <w:ind w:left="152"/>
              <w:rPr>
                <w:rFonts w:ascii="华文仿宋" w:hAnsi="华文仿宋" w:eastAsia="华文仿宋" w:cs="华文仿宋"/>
                <w:sz w:val="18"/>
                <w:szCs w:val="18"/>
              </w:rPr>
            </w:pPr>
            <w:r>
              <w:rPr>
                <w:rFonts w:ascii="华文仿宋" w:hAnsi="华文仿宋" w:eastAsia="华文仿宋" w:cs="华文仿宋"/>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43" w:hRule="atLeast"/>
        </w:trPr>
        <w:tc>
          <w:tcPr>
            <w:tcW w:w="1091" w:type="dxa"/>
            <w:vMerge w:val="restart"/>
            <w:tcBorders>
              <w:bottom w:val="nil"/>
            </w:tcBorders>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66" w:line="288" w:lineRule="auto"/>
              <w:ind w:left="306" w:right="182" w:hanging="109"/>
              <w:rPr>
                <w:rFonts w:ascii="华文仿宋" w:hAnsi="华文仿宋" w:eastAsia="华文仿宋" w:cs="华文仿宋"/>
                <w:sz w:val="18"/>
                <w:szCs w:val="18"/>
              </w:rPr>
            </w:pPr>
            <w:r>
              <w:rPr>
                <w:rFonts w:ascii="华文仿宋" w:hAnsi="华文仿宋" w:eastAsia="华文仿宋" w:cs="华文仿宋"/>
                <w:spacing w:val="-4"/>
                <w:sz w:val="18"/>
                <w:szCs w:val="18"/>
              </w:rPr>
              <w:t>部门管理</w:t>
            </w:r>
            <w:r>
              <w:rPr>
                <w:rFonts w:ascii="华文仿宋" w:hAnsi="华文仿宋" w:eastAsia="华文仿宋" w:cs="华文仿宋"/>
                <w:spacing w:val="-7"/>
                <w:sz w:val="18"/>
                <w:szCs w:val="18"/>
              </w:rPr>
              <w:t>（35）</w:t>
            </w:r>
          </w:p>
        </w:tc>
        <w:tc>
          <w:tcPr>
            <w:tcW w:w="999" w:type="dxa"/>
            <w:vMerge w:val="restart"/>
            <w:tcBorders>
              <w:bottom w:val="nil"/>
            </w:tcBorders>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66" w:line="199" w:lineRule="auto"/>
              <w:ind w:left="166"/>
              <w:rPr>
                <w:rFonts w:ascii="华文仿宋" w:hAnsi="华文仿宋" w:eastAsia="华文仿宋" w:cs="华文仿宋"/>
                <w:sz w:val="18"/>
                <w:szCs w:val="18"/>
              </w:rPr>
            </w:pPr>
            <w:r>
              <w:rPr>
                <w:rFonts w:ascii="华文仿宋" w:hAnsi="华文仿宋" w:eastAsia="华文仿宋" w:cs="华文仿宋"/>
                <w:spacing w:val="-9"/>
                <w:sz w:val="18"/>
                <w:szCs w:val="18"/>
              </w:rPr>
              <w:t>内部制度</w:t>
            </w:r>
          </w:p>
          <w:p>
            <w:pPr>
              <w:spacing w:before="94" w:line="199" w:lineRule="auto"/>
              <w:ind w:left="328"/>
              <w:rPr>
                <w:rFonts w:ascii="华文仿宋" w:hAnsi="华文仿宋" w:eastAsia="华文仿宋" w:cs="华文仿宋"/>
                <w:sz w:val="18"/>
                <w:szCs w:val="18"/>
              </w:rPr>
            </w:pPr>
            <w:r>
              <w:rPr>
                <w:rFonts w:ascii="华文仿宋" w:hAnsi="华文仿宋" w:eastAsia="华文仿宋" w:cs="华文仿宋"/>
                <w:spacing w:val="-8"/>
                <w:sz w:val="18"/>
                <w:szCs w:val="18"/>
              </w:rPr>
              <w:t>管理</w:t>
            </w:r>
          </w:p>
          <w:p>
            <w:pPr>
              <w:spacing w:before="57" w:line="283" w:lineRule="exact"/>
              <w:ind w:left="256"/>
              <w:rPr>
                <w:rFonts w:ascii="华文仿宋" w:hAnsi="华文仿宋" w:eastAsia="华文仿宋" w:cs="华文仿宋"/>
                <w:sz w:val="18"/>
                <w:szCs w:val="18"/>
              </w:rPr>
            </w:pPr>
            <w:r>
              <w:rPr>
                <w:rFonts w:ascii="华文仿宋" w:hAnsi="华文仿宋" w:eastAsia="华文仿宋" w:cs="华文仿宋"/>
                <w:spacing w:val="-7"/>
                <w:position w:val="3"/>
                <w:sz w:val="18"/>
                <w:szCs w:val="18"/>
              </w:rPr>
              <w:t>（21）</w:t>
            </w:r>
          </w:p>
        </w:tc>
        <w:tc>
          <w:tcPr>
            <w:tcW w:w="1167" w:type="dxa"/>
            <w:vAlign w:val="top"/>
          </w:tcPr>
          <w:p>
            <w:pPr>
              <w:spacing w:line="301" w:lineRule="auto"/>
              <w:rPr>
                <w:rFonts w:ascii="Arial"/>
                <w:sz w:val="21"/>
              </w:rPr>
            </w:pPr>
          </w:p>
          <w:p>
            <w:pPr>
              <w:spacing w:line="301" w:lineRule="auto"/>
              <w:rPr>
                <w:rFonts w:ascii="Arial"/>
                <w:sz w:val="21"/>
              </w:rPr>
            </w:pPr>
          </w:p>
          <w:p>
            <w:pPr>
              <w:spacing w:line="302" w:lineRule="auto"/>
              <w:rPr>
                <w:rFonts w:ascii="Arial"/>
                <w:sz w:val="21"/>
              </w:rPr>
            </w:pPr>
          </w:p>
          <w:p>
            <w:pPr>
              <w:spacing w:before="65" w:line="294" w:lineRule="auto"/>
              <w:ind w:left="322" w:right="133" w:hanging="182"/>
              <w:rPr>
                <w:rFonts w:ascii="华文仿宋" w:hAnsi="华文仿宋" w:eastAsia="华文仿宋" w:cs="华文仿宋"/>
                <w:sz w:val="18"/>
                <w:szCs w:val="18"/>
              </w:rPr>
            </w:pPr>
            <w:r>
              <w:rPr>
                <w:rFonts w:ascii="华文仿宋" w:hAnsi="华文仿宋" w:eastAsia="华文仿宋" w:cs="华文仿宋"/>
                <w:spacing w:val="-3"/>
                <w:sz w:val="18"/>
                <w:szCs w:val="18"/>
              </w:rPr>
              <w:t>存量资金控</w:t>
            </w:r>
            <w:r>
              <w:rPr>
                <w:rFonts w:ascii="华文仿宋" w:hAnsi="华文仿宋" w:eastAsia="华文仿宋" w:cs="华文仿宋"/>
                <w:spacing w:val="-5"/>
                <w:sz w:val="18"/>
                <w:szCs w:val="18"/>
              </w:rPr>
              <w:t>制情况</w:t>
            </w:r>
          </w:p>
        </w:tc>
        <w:tc>
          <w:tcPr>
            <w:tcW w:w="665" w:type="dxa"/>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before="66" w:line="177" w:lineRule="auto"/>
              <w:ind w:left="290"/>
              <w:rPr>
                <w:rFonts w:ascii="华文仿宋" w:hAnsi="华文仿宋" w:eastAsia="华文仿宋" w:cs="华文仿宋"/>
                <w:sz w:val="18"/>
                <w:szCs w:val="18"/>
              </w:rPr>
            </w:pPr>
            <w:r>
              <w:rPr>
                <w:rFonts w:ascii="华文仿宋" w:hAnsi="华文仿宋" w:eastAsia="华文仿宋" w:cs="华文仿宋"/>
                <w:sz w:val="18"/>
                <w:szCs w:val="18"/>
              </w:rPr>
              <w:t>2</w:t>
            </w:r>
          </w:p>
        </w:tc>
        <w:tc>
          <w:tcPr>
            <w:tcW w:w="3011" w:type="dxa"/>
            <w:vAlign w:val="top"/>
          </w:tcPr>
          <w:p>
            <w:pPr>
              <w:spacing w:before="196" w:line="285" w:lineRule="auto"/>
              <w:ind w:left="123" w:right="202" w:hanging="9"/>
              <w:rPr>
                <w:rFonts w:ascii="华文仿宋" w:hAnsi="华文仿宋" w:eastAsia="华文仿宋" w:cs="华文仿宋"/>
                <w:sz w:val="18"/>
                <w:szCs w:val="18"/>
              </w:rPr>
            </w:pPr>
            <w:r>
              <w:rPr>
                <w:rFonts w:ascii="华文仿宋" w:hAnsi="华文仿宋" w:eastAsia="华文仿宋" w:cs="华文仿宋"/>
                <w:spacing w:val="-1"/>
                <w:sz w:val="18"/>
                <w:szCs w:val="18"/>
              </w:rPr>
              <w:t>反映部门存量资金的使用和控制是</w:t>
            </w:r>
            <w:r>
              <w:rPr>
                <w:rFonts w:ascii="华文仿宋" w:hAnsi="华文仿宋" w:eastAsia="华文仿宋" w:cs="华文仿宋"/>
                <w:spacing w:val="-6"/>
                <w:sz w:val="18"/>
                <w:szCs w:val="18"/>
              </w:rPr>
              <w:t>否规范。</w:t>
            </w:r>
          </w:p>
          <w:p>
            <w:pPr>
              <w:spacing w:line="286" w:lineRule="auto"/>
              <w:ind w:left="118" w:right="257" w:hanging="1"/>
              <w:rPr>
                <w:rFonts w:ascii="华文仿宋" w:hAnsi="华文仿宋" w:eastAsia="华文仿宋" w:cs="华文仿宋"/>
                <w:sz w:val="18"/>
                <w:szCs w:val="18"/>
              </w:rPr>
            </w:pPr>
            <w:r>
              <w:rPr>
                <w:rFonts w:ascii="华文仿宋" w:hAnsi="华文仿宋" w:eastAsia="华文仿宋" w:cs="华文仿宋"/>
                <w:spacing w:val="-1"/>
                <w:sz w:val="18"/>
                <w:szCs w:val="18"/>
              </w:rPr>
              <w:t>1.部门结余结转资金是否按照财政</w:t>
            </w:r>
            <w:r>
              <w:rPr>
                <w:rFonts w:ascii="华文仿宋" w:hAnsi="华文仿宋" w:eastAsia="华文仿宋" w:cs="华文仿宋"/>
                <w:spacing w:val="-4"/>
                <w:sz w:val="18"/>
                <w:szCs w:val="18"/>
              </w:rPr>
              <w:t>规定执行；</w:t>
            </w:r>
          </w:p>
          <w:p>
            <w:pPr>
              <w:spacing w:before="2" w:line="277" w:lineRule="auto"/>
              <w:ind w:left="113" w:right="257" w:hanging="6"/>
              <w:rPr>
                <w:rFonts w:ascii="华文仿宋" w:hAnsi="华文仿宋" w:eastAsia="华文仿宋" w:cs="华文仿宋"/>
                <w:sz w:val="18"/>
                <w:szCs w:val="18"/>
              </w:rPr>
            </w:pPr>
            <w:r>
              <w:rPr>
                <w:rFonts w:ascii="华文仿宋" w:hAnsi="华文仿宋" w:eastAsia="华文仿宋" w:cs="华文仿宋"/>
                <w:spacing w:val="-1"/>
                <w:sz w:val="18"/>
                <w:szCs w:val="18"/>
              </w:rPr>
              <w:t>2.部门存量资金是否按照财政规定</w:t>
            </w:r>
            <w:r>
              <w:rPr>
                <w:rFonts w:ascii="华文仿宋" w:hAnsi="华文仿宋" w:eastAsia="华文仿宋" w:cs="华文仿宋"/>
                <w:spacing w:val="-3"/>
                <w:sz w:val="18"/>
                <w:szCs w:val="18"/>
              </w:rPr>
              <w:t>年限消化。(基本支出中职工福利</w:t>
            </w:r>
            <w:r>
              <w:rPr>
                <w:rFonts w:ascii="华文仿宋" w:hAnsi="华文仿宋" w:eastAsia="华文仿宋" w:cs="华文仿宋"/>
                <w:spacing w:val="-6"/>
                <w:sz w:val="18"/>
                <w:szCs w:val="18"/>
              </w:rPr>
              <w:t>费、医疗保险可留用)</w:t>
            </w:r>
          </w:p>
        </w:tc>
        <w:tc>
          <w:tcPr>
            <w:tcW w:w="918"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before="66" w:line="199" w:lineRule="auto"/>
              <w:ind w:left="287"/>
              <w:rPr>
                <w:rFonts w:ascii="华文仿宋" w:hAnsi="华文仿宋" w:eastAsia="华文仿宋" w:cs="华文仿宋"/>
                <w:sz w:val="18"/>
                <w:szCs w:val="18"/>
              </w:rPr>
            </w:pPr>
            <w:r>
              <w:rPr>
                <w:rFonts w:ascii="华文仿宋" w:hAnsi="华文仿宋" w:eastAsia="华文仿宋" w:cs="华文仿宋"/>
                <w:spacing w:val="-5"/>
                <w:sz w:val="18"/>
                <w:szCs w:val="18"/>
              </w:rPr>
              <w:t>合规</w:t>
            </w:r>
          </w:p>
        </w:tc>
        <w:tc>
          <w:tcPr>
            <w:tcW w:w="2171" w:type="dxa"/>
            <w:vAlign w:val="top"/>
          </w:tcPr>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before="65" w:line="290" w:lineRule="auto"/>
              <w:ind w:left="113" w:right="259" w:firstLine="4"/>
              <w:jc w:val="both"/>
              <w:rPr>
                <w:rFonts w:ascii="华文仿宋" w:hAnsi="华文仿宋" w:eastAsia="华文仿宋" w:cs="华文仿宋"/>
                <w:sz w:val="18"/>
                <w:szCs w:val="18"/>
              </w:rPr>
            </w:pPr>
            <w:r>
              <w:rPr>
                <w:rFonts w:ascii="华文仿宋" w:hAnsi="华文仿宋" w:eastAsia="华文仿宋" w:cs="华文仿宋"/>
                <w:spacing w:val="-2"/>
                <w:sz w:val="18"/>
                <w:szCs w:val="18"/>
              </w:rPr>
              <w:t>存量资金控制符合全部</w:t>
            </w:r>
            <w:r>
              <w:rPr>
                <w:rFonts w:ascii="华文仿宋" w:hAnsi="华文仿宋" w:eastAsia="华文仿宋" w:cs="华文仿宋"/>
                <w:spacing w:val="-4"/>
                <w:sz w:val="18"/>
                <w:szCs w:val="18"/>
              </w:rPr>
              <w:t>评价要点得2分，每一</w:t>
            </w:r>
            <w:r>
              <w:rPr>
                <w:rFonts w:ascii="华文仿宋" w:hAnsi="华文仿宋" w:eastAsia="华文仿宋" w:cs="华文仿宋"/>
                <w:spacing w:val="-3"/>
                <w:sz w:val="18"/>
                <w:szCs w:val="18"/>
              </w:rPr>
              <w:t>项不符合扣1分。</w:t>
            </w:r>
          </w:p>
        </w:tc>
        <w:tc>
          <w:tcPr>
            <w:tcW w:w="4007" w:type="dxa"/>
            <w:vAlign w:val="top"/>
          </w:tcPr>
          <w:p>
            <w:pPr>
              <w:spacing w:before="194" w:line="202" w:lineRule="auto"/>
              <w:ind w:left="141"/>
              <w:rPr>
                <w:rFonts w:ascii="华文仿宋" w:hAnsi="华文仿宋" w:eastAsia="华文仿宋" w:cs="华文仿宋"/>
                <w:sz w:val="18"/>
                <w:szCs w:val="18"/>
              </w:rPr>
            </w:pPr>
            <w:r>
              <w:rPr>
                <w:rFonts w:ascii="华文仿宋" w:hAnsi="华文仿宋" w:eastAsia="华文仿宋" w:cs="华文仿宋"/>
                <w:sz w:val="18"/>
                <w:szCs w:val="18"/>
              </w:rPr>
              <w:t>区民政局2024年财政拨款结转结余19</w:t>
            </w:r>
            <w:r>
              <w:rPr>
                <w:rFonts w:ascii="华文仿宋" w:hAnsi="华文仿宋" w:eastAsia="华文仿宋" w:cs="华文仿宋"/>
                <w:spacing w:val="-1"/>
                <w:sz w:val="18"/>
                <w:szCs w:val="18"/>
              </w:rPr>
              <w:t>0.77万</w:t>
            </w:r>
          </w:p>
          <w:p>
            <w:pPr>
              <w:spacing w:before="89" w:line="288" w:lineRule="auto"/>
              <w:ind w:left="117" w:right="114" w:firstLine="4"/>
              <w:rPr>
                <w:rFonts w:ascii="华文仿宋" w:hAnsi="华文仿宋" w:eastAsia="华文仿宋" w:cs="华文仿宋"/>
                <w:sz w:val="18"/>
                <w:szCs w:val="18"/>
              </w:rPr>
            </w:pPr>
            <w:r>
              <w:rPr>
                <w:rFonts w:ascii="华文仿宋" w:hAnsi="华文仿宋" w:eastAsia="华文仿宋" w:cs="华文仿宋"/>
                <w:spacing w:val="-2"/>
                <w:sz w:val="18"/>
                <w:szCs w:val="18"/>
              </w:rPr>
              <w:t>元，非财政拨款累计结转结余均为0万元，</w:t>
            </w:r>
            <w:r>
              <w:rPr>
                <w:rFonts w:ascii="华文仿宋" w:hAnsi="华文仿宋" w:eastAsia="华文仿宋" w:cs="华文仿宋"/>
                <w:spacing w:val="-3"/>
                <w:sz w:val="18"/>
                <w:szCs w:val="18"/>
              </w:rPr>
              <w:t>2025年底资金存在结余情况，财政拨款结转结余0万</w:t>
            </w:r>
            <w:r>
              <w:rPr>
                <w:rFonts w:ascii="华文仿宋" w:hAnsi="华文仿宋" w:eastAsia="华文仿宋" w:cs="华文仿宋"/>
                <w:spacing w:val="-5"/>
                <w:sz w:val="18"/>
                <w:szCs w:val="18"/>
              </w:rPr>
              <w:t>元，非财政拨款累计结转结余均为0万元。非财</w:t>
            </w:r>
            <w:r>
              <w:rPr>
                <w:rFonts w:ascii="华文仿宋" w:hAnsi="华文仿宋" w:eastAsia="华文仿宋" w:cs="华文仿宋"/>
                <w:spacing w:val="-3"/>
                <w:sz w:val="18"/>
                <w:szCs w:val="18"/>
              </w:rPr>
              <w:t>政拨款累计结转结余资金按照财政规定执行，部门无结余结转资金量，存量资金按财政规定年限</w:t>
            </w:r>
            <w:r>
              <w:rPr>
                <w:rFonts w:ascii="华文仿宋" w:hAnsi="华文仿宋" w:eastAsia="华文仿宋" w:cs="华文仿宋"/>
                <w:spacing w:val="-4"/>
                <w:sz w:val="18"/>
                <w:szCs w:val="18"/>
              </w:rPr>
              <w:t>消化。依据评价标准，该指标得2分。</w:t>
            </w:r>
          </w:p>
        </w:tc>
        <w:tc>
          <w:tcPr>
            <w:tcW w:w="684" w:type="dxa"/>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before="66" w:line="177" w:lineRule="auto"/>
              <w:ind w:left="304"/>
              <w:rPr>
                <w:rFonts w:ascii="华文仿宋" w:hAnsi="华文仿宋" w:eastAsia="华文仿宋" w:cs="华文仿宋"/>
                <w:sz w:val="18"/>
                <w:szCs w:val="18"/>
              </w:rPr>
            </w:pPr>
            <w:r>
              <w:rPr>
                <w:rFonts w:ascii="华文仿宋" w:hAnsi="华文仿宋" w:eastAsia="华文仿宋" w:cs="华文仿宋"/>
                <w:sz w:val="18"/>
                <w:szCs w:val="18"/>
              </w:rPr>
              <w:t>2</w:t>
            </w:r>
          </w:p>
        </w:tc>
        <w:tc>
          <w:tcPr>
            <w:tcW w:w="832" w:type="dxa"/>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line="272" w:lineRule="auto"/>
              <w:rPr>
                <w:rFonts w:ascii="Arial"/>
                <w:sz w:val="21"/>
              </w:rPr>
            </w:pPr>
          </w:p>
          <w:p>
            <w:pPr>
              <w:spacing w:before="66"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223" w:hRule="atLeast"/>
        </w:trPr>
        <w:tc>
          <w:tcPr>
            <w:tcW w:w="1091" w:type="dxa"/>
            <w:vMerge w:val="continue"/>
            <w:tcBorders>
              <w:top w:val="nil"/>
              <w:bottom w:val="nil"/>
            </w:tcBorders>
            <w:vAlign w:val="top"/>
          </w:tcPr>
          <w:p>
            <w:pPr>
              <w:rPr>
                <w:rFonts w:ascii="Arial"/>
                <w:sz w:val="21"/>
              </w:rPr>
            </w:pPr>
          </w:p>
        </w:tc>
        <w:tc>
          <w:tcPr>
            <w:tcW w:w="999" w:type="dxa"/>
            <w:vMerge w:val="continue"/>
            <w:tcBorders>
              <w:top w:val="nil"/>
              <w:bottom w:val="nil"/>
            </w:tcBorders>
            <w:vAlign w:val="top"/>
          </w:tcPr>
          <w:p>
            <w:pPr>
              <w:rPr>
                <w:rFonts w:ascii="Arial"/>
                <w:sz w:val="21"/>
              </w:rPr>
            </w:pPr>
          </w:p>
        </w:tc>
        <w:tc>
          <w:tcPr>
            <w:tcW w:w="1167" w:type="dxa"/>
            <w:vAlign w:val="top"/>
          </w:tcPr>
          <w:p>
            <w:pPr>
              <w:spacing w:line="266" w:lineRule="auto"/>
              <w:rPr>
                <w:rFonts w:ascii="Arial"/>
                <w:sz w:val="21"/>
              </w:rPr>
            </w:pPr>
          </w:p>
          <w:p>
            <w:pPr>
              <w:spacing w:line="266" w:lineRule="auto"/>
              <w:rPr>
                <w:rFonts w:ascii="Arial"/>
                <w:sz w:val="21"/>
              </w:rPr>
            </w:pPr>
          </w:p>
          <w:p>
            <w:pPr>
              <w:spacing w:line="267" w:lineRule="auto"/>
              <w:rPr>
                <w:rFonts w:ascii="Arial"/>
                <w:sz w:val="21"/>
              </w:rPr>
            </w:pPr>
          </w:p>
          <w:p>
            <w:pPr>
              <w:spacing w:before="65" w:line="291" w:lineRule="auto"/>
              <w:ind w:left="231" w:right="133" w:hanging="88"/>
              <w:rPr>
                <w:rFonts w:ascii="华文仿宋" w:hAnsi="华文仿宋" w:eastAsia="华文仿宋" w:cs="华文仿宋"/>
                <w:sz w:val="18"/>
                <w:szCs w:val="18"/>
              </w:rPr>
            </w:pPr>
            <w:r>
              <w:rPr>
                <w:rFonts w:ascii="华文仿宋" w:hAnsi="华文仿宋" w:eastAsia="华文仿宋" w:cs="华文仿宋"/>
                <w:spacing w:val="-3"/>
                <w:sz w:val="18"/>
                <w:szCs w:val="18"/>
              </w:rPr>
              <w:t>项目管理制度健全性</w:t>
            </w:r>
          </w:p>
        </w:tc>
        <w:tc>
          <w:tcPr>
            <w:tcW w:w="665"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before="65" w:line="177" w:lineRule="auto"/>
              <w:ind w:left="290"/>
              <w:rPr>
                <w:rFonts w:ascii="华文仿宋" w:hAnsi="华文仿宋" w:eastAsia="华文仿宋" w:cs="华文仿宋"/>
                <w:sz w:val="18"/>
                <w:szCs w:val="18"/>
              </w:rPr>
            </w:pPr>
            <w:r>
              <w:rPr>
                <w:rFonts w:ascii="华文仿宋" w:hAnsi="华文仿宋" w:eastAsia="华文仿宋" w:cs="华文仿宋"/>
                <w:sz w:val="18"/>
                <w:szCs w:val="18"/>
              </w:rPr>
              <w:t>2</w:t>
            </w:r>
          </w:p>
        </w:tc>
        <w:tc>
          <w:tcPr>
            <w:tcW w:w="3011" w:type="dxa"/>
            <w:vAlign w:val="top"/>
          </w:tcPr>
          <w:p>
            <w:pPr>
              <w:spacing w:before="88" w:line="286" w:lineRule="auto"/>
              <w:ind w:left="114" w:right="202"/>
              <w:jc w:val="both"/>
              <w:rPr>
                <w:rFonts w:ascii="华文仿宋" w:hAnsi="华文仿宋" w:eastAsia="华文仿宋" w:cs="华文仿宋"/>
                <w:sz w:val="18"/>
                <w:szCs w:val="18"/>
              </w:rPr>
            </w:pPr>
            <w:r>
              <w:rPr>
                <w:rFonts w:ascii="华文仿宋" w:hAnsi="华文仿宋" w:eastAsia="华文仿宋" w:cs="华文仿宋"/>
                <w:spacing w:val="-3"/>
                <w:sz w:val="18"/>
                <w:szCs w:val="18"/>
              </w:rPr>
              <w:t>反映作为部门主要职能，为社会提</w:t>
            </w:r>
            <w:r>
              <w:rPr>
                <w:rFonts w:ascii="华文仿宋" w:hAnsi="华文仿宋" w:eastAsia="华文仿宋" w:cs="华文仿宋"/>
                <w:spacing w:val="-1"/>
                <w:sz w:val="18"/>
                <w:szCs w:val="18"/>
              </w:rPr>
              <w:t>供公共产品与服务的项目管理制度</w:t>
            </w:r>
            <w:r>
              <w:rPr>
                <w:rFonts w:ascii="华文仿宋" w:hAnsi="华文仿宋" w:eastAsia="华文仿宋" w:cs="华文仿宋"/>
                <w:spacing w:val="-2"/>
                <w:sz w:val="18"/>
                <w:szCs w:val="18"/>
              </w:rPr>
              <w:t>是否建立健全。</w:t>
            </w:r>
          </w:p>
          <w:p>
            <w:pPr>
              <w:spacing w:before="1" w:line="285" w:lineRule="auto"/>
              <w:ind w:left="116" w:right="257"/>
              <w:rPr>
                <w:rFonts w:ascii="华文仿宋" w:hAnsi="华文仿宋" w:eastAsia="华文仿宋" w:cs="华文仿宋"/>
                <w:sz w:val="18"/>
                <w:szCs w:val="18"/>
              </w:rPr>
            </w:pPr>
            <w:r>
              <w:rPr>
                <w:rFonts w:ascii="华文仿宋" w:hAnsi="华文仿宋" w:eastAsia="华文仿宋" w:cs="华文仿宋"/>
                <w:spacing w:val="-1"/>
                <w:sz w:val="18"/>
                <w:szCs w:val="18"/>
              </w:rPr>
              <w:t>1.是否已制定或具有相应的项目管</w:t>
            </w:r>
            <w:r>
              <w:rPr>
                <w:rFonts w:ascii="华文仿宋" w:hAnsi="华文仿宋" w:eastAsia="华文仿宋" w:cs="华文仿宋"/>
                <w:spacing w:val="-4"/>
                <w:sz w:val="18"/>
                <w:szCs w:val="18"/>
              </w:rPr>
              <w:t>理制度；</w:t>
            </w:r>
          </w:p>
          <w:p>
            <w:pPr>
              <w:spacing w:line="258" w:lineRule="auto"/>
              <w:ind w:left="121" w:right="294" w:hanging="14"/>
              <w:rPr>
                <w:rFonts w:ascii="华文仿宋" w:hAnsi="华文仿宋" w:eastAsia="华文仿宋" w:cs="华文仿宋"/>
                <w:sz w:val="18"/>
                <w:szCs w:val="18"/>
              </w:rPr>
            </w:pPr>
            <w:r>
              <w:rPr>
                <w:rFonts w:ascii="华文仿宋" w:hAnsi="华文仿宋" w:eastAsia="华文仿宋" w:cs="华文仿宋"/>
                <w:spacing w:val="-4"/>
                <w:sz w:val="18"/>
                <w:szCs w:val="18"/>
              </w:rPr>
              <w:t>2.项目管理制度是否合法、合规、</w:t>
            </w:r>
            <w:r>
              <w:rPr>
                <w:rFonts w:ascii="华文仿宋" w:hAnsi="华文仿宋" w:eastAsia="华文仿宋" w:cs="华文仿宋"/>
                <w:spacing w:val="-7"/>
                <w:sz w:val="18"/>
                <w:szCs w:val="18"/>
              </w:rPr>
              <w:t>完整。</w:t>
            </w:r>
          </w:p>
        </w:tc>
        <w:tc>
          <w:tcPr>
            <w:tcW w:w="918" w:type="dxa"/>
            <w:vAlign w:val="top"/>
          </w:tcPr>
          <w:p>
            <w:pPr>
              <w:spacing w:line="318" w:lineRule="auto"/>
              <w:rPr>
                <w:rFonts w:ascii="Arial"/>
                <w:sz w:val="21"/>
              </w:rPr>
            </w:pPr>
          </w:p>
          <w:p>
            <w:pPr>
              <w:spacing w:line="318" w:lineRule="auto"/>
              <w:rPr>
                <w:rFonts w:ascii="Arial"/>
                <w:sz w:val="21"/>
              </w:rPr>
            </w:pPr>
          </w:p>
          <w:p>
            <w:pPr>
              <w:spacing w:line="318" w:lineRule="auto"/>
              <w:rPr>
                <w:rFonts w:ascii="Arial"/>
                <w:sz w:val="21"/>
              </w:rPr>
            </w:pPr>
          </w:p>
          <w:p>
            <w:pPr>
              <w:spacing w:before="65" w:line="199" w:lineRule="auto"/>
              <w:ind w:left="288"/>
              <w:rPr>
                <w:rFonts w:ascii="华文仿宋" w:hAnsi="华文仿宋" w:eastAsia="华文仿宋" w:cs="华文仿宋"/>
                <w:sz w:val="18"/>
                <w:szCs w:val="18"/>
              </w:rPr>
            </w:pPr>
            <w:r>
              <w:rPr>
                <w:rFonts w:ascii="华文仿宋" w:hAnsi="华文仿宋" w:eastAsia="华文仿宋" w:cs="华文仿宋"/>
                <w:spacing w:val="-6"/>
                <w:sz w:val="18"/>
                <w:szCs w:val="18"/>
              </w:rPr>
              <w:t>健全</w:t>
            </w:r>
          </w:p>
        </w:tc>
        <w:tc>
          <w:tcPr>
            <w:tcW w:w="2171" w:type="dxa"/>
            <w:vAlign w:val="top"/>
          </w:tcPr>
          <w:p>
            <w:pPr>
              <w:spacing w:before="246" w:line="285" w:lineRule="auto"/>
              <w:ind w:left="116" w:right="259" w:firstLine="4"/>
              <w:rPr>
                <w:rFonts w:ascii="华文仿宋" w:hAnsi="华文仿宋" w:eastAsia="华文仿宋" w:cs="华文仿宋"/>
                <w:sz w:val="18"/>
                <w:szCs w:val="18"/>
              </w:rPr>
            </w:pPr>
            <w:r>
              <w:rPr>
                <w:rFonts w:ascii="华文仿宋" w:hAnsi="华文仿宋" w:eastAsia="华文仿宋" w:cs="华文仿宋"/>
                <w:spacing w:val="-7"/>
                <w:sz w:val="18"/>
                <w:szCs w:val="18"/>
              </w:rPr>
              <w:t>项目管理制度健全、内</w:t>
            </w:r>
            <w:r>
              <w:rPr>
                <w:rFonts w:ascii="华文仿宋" w:hAnsi="华文仿宋" w:eastAsia="华文仿宋" w:cs="华文仿宋"/>
                <w:spacing w:val="-1"/>
                <w:sz w:val="18"/>
                <w:szCs w:val="18"/>
              </w:rPr>
              <w:t>容合规完整得2分；制</w:t>
            </w:r>
            <w:r>
              <w:rPr>
                <w:rFonts w:ascii="华文仿宋" w:hAnsi="华文仿宋" w:eastAsia="华文仿宋" w:cs="华文仿宋"/>
                <w:spacing w:val="-2"/>
                <w:sz w:val="18"/>
                <w:szCs w:val="18"/>
              </w:rPr>
              <w:t>度有缺失或制度存在明显缺陷的每个项目扣</w:t>
            </w:r>
          </w:p>
          <w:p>
            <w:pPr>
              <w:spacing w:line="292" w:lineRule="auto"/>
              <w:ind w:left="120" w:right="283" w:hanging="8"/>
              <w:rPr>
                <w:rFonts w:ascii="华文仿宋" w:hAnsi="华文仿宋" w:eastAsia="华文仿宋" w:cs="华文仿宋"/>
                <w:sz w:val="18"/>
                <w:szCs w:val="18"/>
              </w:rPr>
            </w:pPr>
            <w:r>
              <w:rPr>
                <w:rFonts w:ascii="华文仿宋" w:hAnsi="华文仿宋" w:eastAsia="华文仿宋" w:cs="华文仿宋"/>
                <w:spacing w:val="-4"/>
                <w:sz w:val="18"/>
                <w:szCs w:val="18"/>
              </w:rPr>
              <w:t>0.50分，扣完为止；无</w:t>
            </w:r>
            <w:r>
              <w:rPr>
                <w:rFonts w:ascii="华文仿宋" w:hAnsi="华文仿宋" w:eastAsia="华文仿宋" w:cs="华文仿宋"/>
                <w:spacing w:val="-3"/>
                <w:sz w:val="18"/>
                <w:szCs w:val="18"/>
              </w:rPr>
              <w:t>制度不得分。</w:t>
            </w:r>
          </w:p>
        </w:tc>
        <w:tc>
          <w:tcPr>
            <w:tcW w:w="4007" w:type="dxa"/>
            <w:vAlign w:val="top"/>
          </w:tcPr>
          <w:p>
            <w:pPr>
              <w:spacing w:line="333" w:lineRule="auto"/>
              <w:rPr>
                <w:rFonts w:ascii="Arial"/>
                <w:sz w:val="21"/>
              </w:rPr>
            </w:pPr>
          </w:p>
          <w:p>
            <w:pPr>
              <w:spacing w:before="65" w:line="200" w:lineRule="auto"/>
              <w:ind w:left="116"/>
              <w:rPr>
                <w:rFonts w:ascii="华文仿宋" w:hAnsi="华文仿宋" w:eastAsia="华文仿宋" w:cs="华文仿宋"/>
                <w:sz w:val="18"/>
                <w:szCs w:val="18"/>
              </w:rPr>
            </w:pPr>
            <w:r>
              <w:rPr>
                <w:rFonts w:ascii="华文仿宋" w:hAnsi="华文仿宋" w:eastAsia="华文仿宋" w:cs="华文仿宋"/>
                <w:spacing w:val="-1"/>
                <w:sz w:val="18"/>
                <w:szCs w:val="18"/>
              </w:rPr>
              <w:t>根据区民政局提供的部门单位项目管理各项制</w:t>
            </w:r>
          </w:p>
          <w:p>
            <w:pPr>
              <w:spacing w:before="91" w:line="289" w:lineRule="auto"/>
              <w:ind w:left="119" w:right="114" w:hanging="1"/>
              <w:rPr>
                <w:rFonts w:ascii="华文仿宋" w:hAnsi="华文仿宋" w:eastAsia="华文仿宋" w:cs="华文仿宋"/>
                <w:sz w:val="18"/>
                <w:szCs w:val="18"/>
              </w:rPr>
            </w:pPr>
            <w:r>
              <w:rPr>
                <w:rFonts w:ascii="华文仿宋" w:hAnsi="华文仿宋" w:eastAsia="华文仿宋" w:cs="华文仿宋"/>
                <w:spacing w:val="-3"/>
                <w:sz w:val="18"/>
                <w:szCs w:val="18"/>
              </w:rPr>
              <w:t>度，单位制定了财务管理制度、相关行业项目管理制度或办法，确定项目前期立项程序、实</w:t>
            </w:r>
            <w:r>
              <w:rPr>
                <w:rFonts w:ascii="华文仿宋" w:hAnsi="华文仿宋" w:eastAsia="华文仿宋" w:cs="华文仿宋"/>
                <w:spacing w:val="-4"/>
                <w:sz w:val="18"/>
                <w:szCs w:val="18"/>
              </w:rPr>
              <w:t>施监管、资金申请和批复程序等要求，项目管理</w:t>
            </w:r>
            <w:r>
              <w:rPr>
                <w:rFonts w:ascii="华文仿宋" w:hAnsi="华文仿宋" w:eastAsia="华文仿宋" w:cs="华文仿宋"/>
                <w:spacing w:val="-5"/>
                <w:sz w:val="18"/>
                <w:szCs w:val="18"/>
              </w:rPr>
              <w:t>制度</w:t>
            </w:r>
            <w:r>
              <w:rPr>
                <w:rFonts w:ascii="华文仿宋" w:hAnsi="华文仿宋" w:eastAsia="华文仿宋" w:cs="华文仿宋"/>
                <w:spacing w:val="-4"/>
                <w:sz w:val="18"/>
                <w:szCs w:val="18"/>
              </w:rPr>
              <w:t>部健全。依据评价标准，该指标得2分。</w:t>
            </w:r>
          </w:p>
        </w:tc>
        <w:tc>
          <w:tcPr>
            <w:tcW w:w="684"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before="65" w:line="177" w:lineRule="auto"/>
              <w:ind w:left="304"/>
              <w:rPr>
                <w:rFonts w:ascii="华文仿宋" w:hAnsi="华文仿宋" w:eastAsia="华文仿宋" w:cs="华文仿宋"/>
                <w:sz w:val="18"/>
                <w:szCs w:val="18"/>
              </w:rPr>
            </w:pPr>
            <w:r>
              <w:rPr>
                <w:rFonts w:ascii="华文仿宋" w:hAnsi="华文仿宋" w:eastAsia="华文仿宋" w:cs="华文仿宋"/>
                <w:sz w:val="18"/>
                <w:szCs w:val="18"/>
              </w:rPr>
              <w:t>2</w:t>
            </w:r>
          </w:p>
        </w:tc>
        <w:tc>
          <w:tcPr>
            <w:tcW w:w="832"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before="65"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21" w:hRule="atLeast"/>
        </w:trPr>
        <w:tc>
          <w:tcPr>
            <w:tcW w:w="1091" w:type="dxa"/>
            <w:vMerge w:val="continue"/>
            <w:tcBorders>
              <w:top w:val="nil"/>
            </w:tcBorders>
            <w:vAlign w:val="top"/>
          </w:tcPr>
          <w:p>
            <w:pPr>
              <w:rPr>
                <w:rFonts w:ascii="Arial"/>
                <w:sz w:val="21"/>
              </w:rPr>
            </w:pPr>
          </w:p>
        </w:tc>
        <w:tc>
          <w:tcPr>
            <w:tcW w:w="999" w:type="dxa"/>
            <w:vMerge w:val="continue"/>
            <w:tcBorders>
              <w:top w:val="nil"/>
            </w:tcBorders>
            <w:vAlign w:val="top"/>
          </w:tcPr>
          <w:p>
            <w:pPr>
              <w:rPr>
                <w:rFonts w:ascii="Arial"/>
                <w:sz w:val="21"/>
              </w:rPr>
            </w:pPr>
          </w:p>
        </w:tc>
        <w:tc>
          <w:tcPr>
            <w:tcW w:w="1167" w:type="dxa"/>
            <w:vAlign w:val="top"/>
          </w:tcPr>
          <w:p>
            <w:pPr>
              <w:spacing w:line="263" w:lineRule="auto"/>
              <w:rPr>
                <w:rFonts w:ascii="Arial"/>
                <w:sz w:val="21"/>
              </w:rPr>
            </w:pPr>
          </w:p>
          <w:p>
            <w:pPr>
              <w:spacing w:line="264" w:lineRule="auto"/>
              <w:rPr>
                <w:rFonts w:ascii="Arial"/>
                <w:sz w:val="21"/>
              </w:rPr>
            </w:pPr>
          </w:p>
          <w:p>
            <w:pPr>
              <w:spacing w:line="264" w:lineRule="auto"/>
              <w:rPr>
                <w:rFonts w:ascii="Arial"/>
                <w:sz w:val="21"/>
              </w:rPr>
            </w:pPr>
          </w:p>
          <w:p>
            <w:pPr>
              <w:spacing w:before="65" w:line="199" w:lineRule="auto"/>
              <w:ind w:left="143"/>
              <w:rPr>
                <w:rFonts w:ascii="华文仿宋" w:hAnsi="华文仿宋" w:eastAsia="华文仿宋" w:cs="华文仿宋"/>
                <w:sz w:val="18"/>
                <w:szCs w:val="18"/>
              </w:rPr>
            </w:pPr>
            <w:r>
              <w:rPr>
                <w:rFonts w:ascii="华文仿宋" w:hAnsi="华文仿宋" w:eastAsia="华文仿宋" w:cs="华文仿宋"/>
                <w:spacing w:val="-3"/>
                <w:sz w:val="18"/>
                <w:szCs w:val="18"/>
              </w:rPr>
              <w:t>项目管理制</w:t>
            </w:r>
          </w:p>
          <w:p>
            <w:pPr>
              <w:spacing w:before="94" w:line="199" w:lineRule="auto"/>
              <w:ind w:left="140"/>
              <w:rPr>
                <w:rFonts w:ascii="华文仿宋" w:hAnsi="华文仿宋" w:eastAsia="华文仿宋" w:cs="华文仿宋"/>
                <w:sz w:val="18"/>
                <w:szCs w:val="18"/>
              </w:rPr>
            </w:pPr>
            <w:r>
              <w:rPr>
                <w:rFonts w:ascii="华文仿宋" w:hAnsi="华文仿宋" w:eastAsia="华文仿宋" w:cs="华文仿宋"/>
                <w:spacing w:val="-3"/>
                <w:sz w:val="18"/>
                <w:szCs w:val="18"/>
              </w:rPr>
              <w:t>度执行有效</w:t>
            </w:r>
          </w:p>
          <w:p>
            <w:pPr>
              <w:spacing w:before="93" w:line="200" w:lineRule="auto"/>
              <w:ind w:left="506"/>
              <w:rPr>
                <w:rFonts w:ascii="华文仿宋" w:hAnsi="华文仿宋" w:eastAsia="华文仿宋" w:cs="华文仿宋"/>
                <w:sz w:val="18"/>
                <w:szCs w:val="18"/>
              </w:rPr>
            </w:pPr>
            <w:r>
              <w:rPr>
                <w:rFonts w:ascii="华文仿宋" w:hAnsi="华文仿宋" w:eastAsia="华文仿宋" w:cs="华文仿宋"/>
                <w:sz w:val="18"/>
                <w:szCs w:val="18"/>
              </w:rPr>
              <w:t>性</w:t>
            </w:r>
          </w:p>
        </w:tc>
        <w:tc>
          <w:tcPr>
            <w:tcW w:w="665" w:type="dxa"/>
            <w:vAlign w:val="top"/>
          </w:tcPr>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line="282" w:lineRule="auto"/>
              <w:rPr>
                <w:rFonts w:ascii="Arial"/>
                <w:sz w:val="21"/>
              </w:rPr>
            </w:pPr>
          </w:p>
          <w:p>
            <w:pPr>
              <w:spacing w:before="65" w:line="177" w:lineRule="auto"/>
              <w:ind w:left="290"/>
              <w:rPr>
                <w:rFonts w:ascii="华文仿宋" w:hAnsi="华文仿宋" w:eastAsia="华文仿宋" w:cs="华文仿宋"/>
                <w:sz w:val="18"/>
                <w:szCs w:val="18"/>
              </w:rPr>
            </w:pPr>
            <w:r>
              <w:rPr>
                <w:rFonts w:ascii="华文仿宋" w:hAnsi="华文仿宋" w:eastAsia="华文仿宋" w:cs="华文仿宋"/>
                <w:sz w:val="18"/>
                <w:szCs w:val="18"/>
              </w:rPr>
              <w:t>2</w:t>
            </w:r>
          </w:p>
        </w:tc>
        <w:tc>
          <w:tcPr>
            <w:tcW w:w="3011" w:type="dxa"/>
            <w:vAlign w:val="top"/>
          </w:tcPr>
          <w:p>
            <w:pPr>
              <w:spacing w:line="324" w:lineRule="auto"/>
              <w:rPr>
                <w:rFonts w:ascii="Arial"/>
                <w:sz w:val="21"/>
              </w:rPr>
            </w:pPr>
          </w:p>
          <w:p>
            <w:pPr>
              <w:spacing w:before="66" w:line="286" w:lineRule="auto"/>
              <w:ind w:left="119" w:right="202" w:hanging="5"/>
              <w:rPr>
                <w:rFonts w:ascii="华文仿宋" w:hAnsi="华文仿宋" w:eastAsia="华文仿宋" w:cs="华文仿宋"/>
                <w:sz w:val="18"/>
                <w:szCs w:val="18"/>
              </w:rPr>
            </w:pPr>
            <w:r>
              <w:rPr>
                <w:rFonts w:ascii="华文仿宋" w:hAnsi="华文仿宋" w:eastAsia="华文仿宋" w:cs="华文仿宋"/>
                <w:spacing w:val="-1"/>
                <w:sz w:val="18"/>
                <w:szCs w:val="18"/>
              </w:rPr>
              <w:t>反映部门是否按照项目管理制度有</w:t>
            </w:r>
            <w:r>
              <w:rPr>
                <w:rFonts w:ascii="华文仿宋" w:hAnsi="华文仿宋" w:eastAsia="华文仿宋" w:cs="华文仿宋"/>
                <w:spacing w:val="-5"/>
                <w:sz w:val="18"/>
                <w:szCs w:val="18"/>
              </w:rPr>
              <w:t>效执行。</w:t>
            </w:r>
          </w:p>
          <w:p>
            <w:pPr>
              <w:spacing w:before="2" w:line="284" w:lineRule="auto"/>
              <w:ind w:left="114" w:right="437" w:firstLine="3"/>
              <w:rPr>
                <w:rFonts w:ascii="华文仿宋" w:hAnsi="华文仿宋" w:eastAsia="华文仿宋" w:cs="华文仿宋"/>
                <w:sz w:val="18"/>
                <w:szCs w:val="18"/>
              </w:rPr>
            </w:pPr>
            <w:r>
              <w:rPr>
                <w:rFonts w:ascii="华文仿宋" w:hAnsi="华文仿宋" w:eastAsia="华文仿宋" w:cs="华文仿宋"/>
                <w:spacing w:val="-1"/>
                <w:sz w:val="18"/>
                <w:szCs w:val="18"/>
              </w:rPr>
              <w:t>1.是否按照项目管理制度有效执</w:t>
            </w:r>
            <w:r>
              <w:rPr>
                <w:rFonts w:ascii="华文仿宋" w:hAnsi="华文仿宋" w:eastAsia="华文仿宋" w:cs="华文仿宋"/>
                <w:spacing w:val="-6"/>
                <w:sz w:val="18"/>
                <w:szCs w:val="18"/>
              </w:rPr>
              <w:t>行；</w:t>
            </w:r>
          </w:p>
          <w:p>
            <w:pPr>
              <w:spacing w:line="291" w:lineRule="auto"/>
              <w:ind w:left="118" w:right="257" w:hanging="11"/>
              <w:rPr>
                <w:rFonts w:ascii="华文仿宋" w:hAnsi="华文仿宋" w:eastAsia="华文仿宋" w:cs="华文仿宋"/>
                <w:sz w:val="18"/>
                <w:szCs w:val="18"/>
              </w:rPr>
            </w:pPr>
            <w:r>
              <w:rPr>
                <w:rFonts w:ascii="华文仿宋" w:hAnsi="华文仿宋" w:eastAsia="华文仿宋" w:cs="华文仿宋"/>
                <w:spacing w:val="-1"/>
                <w:sz w:val="18"/>
                <w:szCs w:val="18"/>
              </w:rPr>
              <w:t>2.在执行过程中相关管理记录是否</w:t>
            </w:r>
            <w:r>
              <w:rPr>
                <w:rFonts w:ascii="华文仿宋" w:hAnsi="华文仿宋" w:eastAsia="华文仿宋" w:cs="华文仿宋"/>
                <w:spacing w:val="-4"/>
                <w:sz w:val="18"/>
                <w:szCs w:val="18"/>
              </w:rPr>
              <w:t>清晰完整。</w:t>
            </w:r>
          </w:p>
        </w:tc>
        <w:tc>
          <w:tcPr>
            <w:tcW w:w="918" w:type="dxa"/>
            <w:vAlign w:val="top"/>
          </w:tcPr>
          <w:p>
            <w:pPr>
              <w:spacing w:line="315" w:lineRule="auto"/>
              <w:rPr>
                <w:rFonts w:ascii="Arial"/>
                <w:sz w:val="21"/>
              </w:rPr>
            </w:pPr>
          </w:p>
          <w:p>
            <w:pPr>
              <w:spacing w:line="316" w:lineRule="auto"/>
              <w:rPr>
                <w:rFonts w:ascii="Arial"/>
                <w:sz w:val="21"/>
              </w:rPr>
            </w:pPr>
          </w:p>
          <w:p>
            <w:pPr>
              <w:spacing w:line="316" w:lineRule="auto"/>
              <w:rPr>
                <w:rFonts w:ascii="Arial"/>
                <w:sz w:val="21"/>
              </w:rPr>
            </w:pPr>
          </w:p>
          <w:p>
            <w:pPr>
              <w:spacing w:before="66" w:line="294" w:lineRule="auto"/>
              <w:ind w:left="290" w:right="186" w:hanging="91"/>
              <w:rPr>
                <w:rFonts w:hint="eastAsia" w:ascii="华文仿宋" w:hAnsi="华文仿宋" w:eastAsia="华文仿宋" w:cs="华文仿宋"/>
                <w:sz w:val="18"/>
                <w:szCs w:val="18"/>
                <w:lang w:eastAsia="zh-CN"/>
              </w:rPr>
            </w:pPr>
            <w:r>
              <w:rPr>
                <w:rFonts w:hint="eastAsia" w:ascii="华文仿宋" w:hAnsi="华文仿宋" w:eastAsia="华文仿宋" w:cs="华文仿宋"/>
                <w:spacing w:val="-5"/>
                <w:sz w:val="18"/>
                <w:szCs w:val="18"/>
                <w:lang w:eastAsia="zh-CN"/>
              </w:rPr>
              <w:t>执行且有效</w:t>
            </w:r>
          </w:p>
        </w:tc>
        <w:tc>
          <w:tcPr>
            <w:tcW w:w="2171" w:type="dxa"/>
            <w:vAlign w:val="top"/>
          </w:tcPr>
          <w:p>
            <w:pPr>
              <w:spacing w:line="325" w:lineRule="auto"/>
              <w:rPr>
                <w:rFonts w:ascii="Arial"/>
                <w:sz w:val="21"/>
              </w:rPr>
            </w:pPr>
          </w:p>
          <w:p>
            <w:pPr>
              <w:spacing w:before="65" w:line="200" w:lineRule="auto"/>
              <w:ind w:left="116"/>
              <w:rPr>
                <w:rFonts w:ascii="华文仿宋" w:hAnsi="华文仿宋" w:eastAsia="华文仿宋" w:cs="华文仿宋"/>
                <w:sz w:val="18"/>
                <w:szCs w:val="18"/>
              </w:rPr>
            </w:pPr>
            <w:r>
              <w:rPr>
                <w:rFonts w:ascii="华文仿宋" w:hAnsi="华文仿宋" w:eastAsia="华文仿宋" w:cs="华文仿宋"/>
                <w:spacing w:val="-2"/>
                <w:sz w:val="18"/>
                <w:szCs w:val="18"/>
              </w:rPr>
              <w:t>按照管理制度有效执</w:t>
            </w:r>
          </w:p>
          <w:p>
            <w:pPr>
              <w:spacing w:before="94" w:line="287" w:lineRule="auto"/>
              <w:ind w:left="116" w:right="238"/>
              <w:rPr>
                <w:rFonts w:ascii="华文仿宋" w:hAnsi="华文仿宋" w:eastAsia="华文仿宋" w:cs="华文仿宋"/>
                <w:sz w:val="18"/>
                <w:szCs w:val="18"/>
              </w:rPr>
            </w:pPr>
            <w:r>
              <w:rPr>
                <w:rFonts w:ascii="华文仿宋" w:hAnsi="华文仿宋" w:eastAsia="华文仿宋" w:cs="华文仿宋"/>
                <w:spacing w:val="-3"/>
                <w:sz w:val="18"/>
                <w:szCs w:val="18"/>
              </w:rPr>
              <w:t>行、管理记录清晰完整</w:t>
            </w:r>
            <w:r>
              <w:rPr>
                <w:rFonts w:ascii="华文仿宋" w:hAnsi="华文仿宋" w:eastAsia="华文仿宋" w:cs="华文仿宋"/>
                <w:spacing w:val="-2"/>
                <w:sz w:val="18"/>
                <w:szCs w:val="18"/>
              </w:rPr>
              <w:t>得2分；未按制度执行或管理记录缺失每发现</w:t>
            </w:r>
            <w:r>
              <w:rPr>
                <w:rFonts w:ascii="华文仿宋" w:hAnsi="华文仿宋" w:eastAsia="华文仿宋" w:cs="华文仿宋"/>
                <w:spacing w:val="-5"/>
                <w:sz w:val="18"/>
                <w:szCs w:val="18"/>
              </w:rPr>
              <w:t>一项扣0.50分，扣完为</w:t>
            </w:r>
            <w:r>
              <w:rPr>
                <w:rFonts w:ascii="华文仿宋" w:hAnsi="华文仿宋" w:eastAsia="华文仿宋" w:cs="华文仿宋"/>
                <w:spacing w:val="-6"/>
                <w:sz w:val="18"/>
                <w:szCs w:val="18"/>
              </w:rPr>
              <w:t>止。</w:t>
            </w:r>
          </w:p>
        </w:tc>
        <w:tc>
          <w:tcPr>
            <w:tcW w:w="4007" w:type="dxa"/>
            <w:vAlign w:val="top"/>
          </w:tcPr>
          <w:p>
            <w:pPr>
              <w:spacing w:line="322" w:lineRule="auto"/>
              <w:rPr>
                <w:rFonts w:ascii="Arial"/>
                <w:sz w:val="21"/>
              </w:rPr>
            </w:pPr>
          </w:p>
          <w:p>
            <w:pPr>
              <w:spacing w:before="66" w:line="202" w:lineRule="auto"/>
              <w:ind w:left="122"/>
              <w:rPr>
                <w:rFonts w:ascii="华文仿宋" w:hAnsi="华文仿宋" w:eastAsia="华文仿宋" w:cs="华文仿宋"/>
                <w:sz w:val="18"/>
                <w:szCs w:val="18"/>
              </w:rPr>
            </w:pPr>
            <w:r>
              <w:rPr>
                <w:rFonts w:ascii="华文仿宋" w:hAnsi="华文仿宋" w:eastAsia="华文仿宋" w:cs="华文仿宋"/>
                <w:spacing w:val="1"/>
                <w:sz w:val="18"/>
                <w:szCs w:val="18"/>
              </w:rPr>
              <w:t>经评价组抽查部门2025年项目相关审批单据、</w:t>
            </w:r>
          </w:p>
          <w:p>
            <w:pPr>
              <w:spacing w:before="93" w:line="288" w:lineRule="auto"/>
              <w:ind w:left="121" w:right="114"/>
              <w:rPr>
                <w:rFonts w:ascii="华文仿宋" w:hAnsi="华文仿宋" w:eastAsia="华文仿宋" w:cs="华文仿宋"/>
                <w:sz w:val="18"/>
                <w:szCs w:val="18"/>
              </w:rPr>
            </w:pPr>
            <w:r>
              <w:rPr>
                <w:rFonts w:ascii="华文仿宋" w:hAnsi="华文仿宋" w:eastAsia="华文仿宋" w:cs="华文仿宋"/>
                <w:spacing w:val="-4"/>
                <w:sz w:val="18"/>
                <w:szCs w:val="18"/>
              </w:rPr>
              <w:t>项目立项依据、项目拨付名单等资料，部门各项</w:t>
            </w:r>
            <w:r>
              <w:rPr>
                <w:rFonts w:ascii="华文仿宋" w:hAnsi="华文仿宋" w:eastAsia="华文仿宋" w:cs="华文仿宋"/>
                <w:spacing w:val="-3"/>
                <w:sz w:val="18"/>
                <w:szCs w:val="18"/>
              </w:rPr>
              <w:t>目管理按照上位法及财务管理制度进行管理，项目执行过程中项目立项、项目前期准备、项目实施、项目拨付等环节资料完整清晰。依据评价标</w:t>
            </w:r>
            <w:r>
              <w:rPr>
                <w:rFonts w:ascii="华文仿宋" w:hAnsi="华文仿宋" w:eastAsia="华文仿宋" w:cs="华文仿宋"/>
                <w:spacing w:val="-6"/>
                <w:sz w:val="18"/>
                <w:szCs w:val="18"/>
              </w:rPr>
              <w:t>准，该指标得2分。</w:t>
            </w:r>
          </w:p>
        </w:tc>
        <w:tc>
          <w:tcPr>
            <w:tcW w:w="684" w:type="dxa"/>
            <w:vAlign w:val="top"/>
          </w:tcPr>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line="282" w:lineRule="auto"/>
              <w:rPr>
                <w:rFonts w:ascii="Arial"/>
                <w:sz w:val="21"/>
              </w:rPr>
            </w:pPr>
          </w:p>
          <w:p>
            <w:pPr>
              <w:spacing w:before="65" w:line="177" w:lineRule="auto"/>
              <w:ind w:left="304"/>
              <w:rPr>
                <w:rFonts w:ascii="华文仿宋" w:hAnsi="华文仿宋" w:eastAsia="华文仿宋" w:cs="华文仿宋"/>
                <w:sz w:val="18"/>
                <w:szCs w:val="18"/>
              </w:rPr>
            </w:pPr>
            <w:r>
              <w:rPr>
                <w:rFonts w:ascii="华文仿宋" w:hAnsi="华文仿宋" w:eastAsia="华文仿宋" w:cs="华文仿宋"/>
                <w:sz w:val="18"/>
                <w:szCs w:val="18"/>
              </w:rPr>
              <w:t>2</w:t>
            </w:r>
          </w:p>
        </w:tc>
        <w:tc>
          <w:tcPr>
            <w:tcW w:w="832" w:type="dxa"/>
            <w:vAlign w:val="top"/>
          </w:tcPr>
          <w:p>
            <w:pPr>
              <w:spacing w:line="281" w:lineRule="auto"/>
              <w:rPr>
                <w:rFonts w:ascii="Arial"/>
                <w:sz w:val="21"/>
              </w:rPr>
            </w:pPr>
          </w:p>
          <w:p>
            <w:pPr>
              <w:spacing w:line="281" w:lineRule="auto"/>
              <w:rPr>
                <w:rFonts w:ascii="Arial"/>
                <w:sz w:val="21"/>
              </w:rPr>
            </w:pPr>
          </w:p>
          <w:p>
            <w:pPr>
              <w:spacing w:line="281" w:lineRule="auto"/>
              <w:rPr>
                <w:rFonts w:ascii="Arial"/>
                <w:sz w:val="21"/>
              </w:rPr>
            </w:pPr>
          </w:p>
          <w:p>
            <w:pPr>
              <w:spacing w:line="282" w:lineRule="auto"/>
              <w:rPr>
                <w:rFonts w:ascii="Arial"/>
                <w:sz w:val="21"/>
              </w:rPr>
            </w:pPr>
          </w:p>
          <w:p>
            <w:pPr>
              <w:spacing w:before="65"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bl>
    <w:p>
      <w:pPr>
        <w:pStyle w:val="2"/>
      </w:pPr>
    </w:p>
    <w:p>
      <w:pPr>
        <w:sectPr>
          <w:footerReference r:id="rId14" w:type="default"/>
          <w:pgSz w:w="16839" w:h="11906"/>
          <w:pgMar w:top="1012" w:right="595" w:bottom="1575" w:left="692" w:header="0" w:footer="1289" w:gutter="0"/>
          <w:pgNumType w:fmt="decimal"/>
          <w:cols w:space="720" w:num="1"/>
        </w:sectPr>
      </w:pPr>
    </w:p>
    <w:p>
      <w:pPr>
        <w:pStyle w:val="2"/>
        <w:spacing w:line="287" w:lineRule="auto"/>
      </w:pPr>
    </w:p>
    <w:p>
      <w:pPr>
        <w:spacing w:before="102" w:line="201" w:lineRule="auto"/>
        <w:ind w:left="140" w:firstLine="231" w:firstLineChars="100"/>
        <w:rPr>
          <w:rFonts w:ascii="华文仿宋" w:hAnsi="华文仿宋" w:eastAsia="华文仿宋" w:cs="华文仿宋"/>
          <w:sz w:val="28"/>
          <w:szCs w:val="28"/>
        </w:rPr>
      </w:pPr>
      <w:r>
        <w:rPr>
          <w:rFonts w:hint="eastAsia" w:ascii="仿宋" w:hAnsi="仿宋" w:eastAsia="仿宋" w:cs="仿宋"/>
          <w:b/>
          <w:bCs/>
          <w:spacing w:val="-5"/>
          <w:sz w:val="24"/>
          <w:szCs w:val="24"/>
        </w:rPr>
        <w:t>附件一：部门整体绩效评价指标体系评分表</w:t>
      </w:r>
    </w:p>
    <w:p>
      <w:pPr>
        <w:spacing w:line="109" w:lineRule="exact"/>
      </w:pPr>
    </w:p>
    <w:tbl>
      <w:tblPr>
        <w:tblStyle w:val="7"/>
        <w:tblW w:w="155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999"/>
        <w:gridCol w:w="1167"/>
        <w:gridCol w:w="665"/>
        <w:gridCol w:w="3011"/>
        <w:gridCol w:w="918"/>
        <w:gridCol w:w="2171"/>
        <w:gridCol w:w="4007"/>
        <w:gridCol w:w="684"/>
        <w:gridCol w:w="8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6" w:hRule="atLeast"/>
        </w:trPr>
        <w:tc>
          <w:tcPr>
            <w:tcW w:w="1091" w:type="dxa"/>
            <w:vAlign w:val="top"/>
          </w:tcPr>
          <w:p>
            <w:pPr>
              <w:spacing w:before="112" w:line="199" w:lineRule="auto"/>
              <w:ind w:left="201"/>
              <w:rPr>
                <w:rFonts w:ascii="华文仿宋" w:hAnsi="华文仿宋" w:eastAsia="华文仿宋" w:cs="华文仿宋"/>
                <w:sz w:val="18"/>
                <w:szCs w:val="18"/>
              </w:rPr>
            </w:pPr>
            <w:r>
              <w:rPr>
                <w:rFonts w:ascii="华文仿宋" w:hAnsi="华文仿宋" w:eastAsia="华文仿宋" w:cs="华文仿宋"/>
                <w:b/>
                <w:bCs/>
                <w:spacing w:val="-7"/>
                <w:sz w:val="18"/>
                <w:szCs w:val="18"/>
              </w:rPr>
              <w:t>一级指标</w:t>
            </w:r>
          </w:p>
        </w:tc>
        <w:tc>
          <w:tcPr>
            <w:tcW w:w="999" w:type="dxa"/>
            <w:vAlign w:val="top"/>
          </w:tcPr>
          <w:p>
            <w:pPr>
              <w:spacing w:before="112" w:line="199" w:lineRule="auto"/>
              <w:ind w:left="152"/>
              <w:rPr>
                <w:rFonts w:ascii="华文仿宋" w:hAnsi="华文仿宋" w:eastAsia="华文仿宋" w:cs="华文仿宋"/>
                <w:sz w:val="18"/>
                <w:szCs w:val="18"/>
              </w:rPr>
            </w:pPr>
            <w:r>
              <w:rPr>
                <w:rFonts w:ascii="华文仿宋" w:hAnsi="华文仿宋" w:eastAsia="华文仿宋" w:cs="华文仿宋"/>
                <w:b/>
                <w:bCs/>
                <w:spacing w:val="-7"/>
                <w:sz w:val="18"/>
                <w:szCs w:val="18"/>
              </w:rPr>
              <w:t>二级指标</w:t>
            </w:r>
          </w:p>
        </w:tc>
        <w:tc>
          <w:tcPr>
            <w:tcW w:w="1167" w:type="dxa"/>
            <w:vAlign w:val="top"/>
          </w:tcPr>
          <w:p>
            <w:pPr>
              <w:spacing w:before="112" w:line="199" w:lineRule="auto"/>
              <w:ind w:left="241"/>
              <w:rPr>
                <w:rFonts w:ascii="华文仿宋" w:hAnsi="华文仿宋" w:eastAsia="华文仿宋" w:cs="华文仿宋"/>
                <w:sz w:val="18"/>
                <w:szCs w:val="18"/>
              </w:rPr>
            </w:pPr>
            <w:r>
              <w:rPr>
                <w:rFonts w:ascii="华文仿宋" w:hAnsi="华文仿宋" w:eastAsia="华文仿宋" w:cs="华文仿宋"/>
                <w:b/>
                <w:bCs/>
                <w:spacing w:val="-8"/>
                <w:sz w:val="18"/>
                <w:szCs w:val="18"/>
              </w:rPr>
              <w:t>三级指标</w:t>
            </w:r>
          </w:p>
        </w:tc>
        <w:tc>
          <w:tcPr>
            <w:tcW w:w="665" w:type="dxa"/>
            <w:vAlign w:val="top"/>
          </w:tcPr>
          <w:p>
            <w:pPr>
              <w:spacing w:before="113" w:line="198" w:lineRule="auto"/>
              <w:ind w:left="159"/>
              <w:rPr>
                <w:rFonts w:ascii="华文仿宋" w:hAnsi="华文仿宋" w:eastAsia="华文仿宋" w:cs="华文仿宋"/>
                <w:sz w:val="18"/>
                <w:szCs w:val="18"/>
              </w:rPr>
            </w:pPr>
            <w:r>
              <w:rPr>
                <w:rFonts w:ascii="华文仿宋" w:hAnsi="华文仿宋" w:eastAsia="华文仿宋" w:cs="华文仿宋"/>
                <w:b/>
                <w:bCs/>
                <w:spacing w:val="-7"/>
                <w:sz w:val="18"/>
                <w:szCs w:val="18"/>
              </w:rPr>
              <w:t>权重</w:t>
            </w:r>
          </w:p>
        </w:tc>
        <w:tc>
          <w:tcPr>
            <w:tcW w:w="3011" w:type="dxa"/>
            <w:vAlign w:val="top"/>
          </w:tcPr>
          <w:p>
            <w:pPr>
              <w:spacing w:before="112" w:line="199" w:lineRule="auto"/>
              <w:ind w:left="705"/>
              <w:rPr>
                <w:rFonts w:ascii="华文仿宋" w:hAnsi="华文仿宋" w:eastAsia="华文仿宋" w:cs="华文仿宋"/>
                <w:sz w:val="18"/>
                <w:szCs w:val="18"/>
              </w:rPr>
            </w:pPr>
            <w:r>
              <w:rPr>
                <w:rFonts w:ascii="华文仿宋" w:hAnsi="华文仿宋" w:eastAsia="华文仿宋" w:cs="华文仿宋"/>
                <w:b/>
                <w:bCs/>
                <w:spacing w:val="-4"/>
                <w:sz w:val="18"/>
                <w:szCs w:val="18"/>
              </w:rPr>
              <w:t>指标解释及评价要点</w:t>
            </w:r>
          </w:p>
        </w:tc>
        <w:tc>
          <w:tcPr>
            <w:tcW w:w="918" w:type="dxa"/>
            <w:vAlign w:val="top"/>
          </w:tcPr>
          <w:p>
            <w:pPr>
              <w:spacing w:before="112" w:line="199" w:lineRule="auto"/>
              <w:ind w:left="197"/>
              <w:rPr>
                <w:rFonts w:ascii="华文仿宋" w:hAnsi="华文仿宋" w:eastAsia="华文仿宋" w:cs="华文仿宋"/>
                <w:sz w:val="18"/>
                <w:szCs w:val="18"/>
              </w:rPr>
            </w:pPr>
            <w:r>
              <w:rPr>
                <w:rFonts w:ascii="华文仿宋" w:hAnsi="华文仿宋" w:eastAsia="华文仿宋" w:cs="华文仿宋"/>
                <w:b/>
                <w:bCs/>
                <w:spacing w:val="-6"/>
                <w:sz w:val="18"/>
                <w:szCs w:val="18"/>
              </w:rPr>
              <w:t>标杆值</w:t>
            </w:r>
          </w:p>
        </w:tc>
        <w:tc>
          <w:tcPr>
            <w:tcW w:w="2171" w:type="dxa"/>
            <w:vAlign w:val="top"/>
          </w:tcPr>
          <w:p>
            <w:pPr>
              <w:spacing w:before="112" w:line="199" w:lineRule="auto"/>
              <w:ind w:left="730"/>
              <w:rPr>
                <w:rFonts w:ascii="华文仿宋" w:hAnsi="华文仿宋" w:eastAsia="华文仿宋" w:cs="华文仿宋"/>
                <w:sz w:val="18"/>
                <w:szCs w:val="18"/>
              </w:rPr>
            </w:pPr>
            <w:r>
              <w:rPr>
                <w:rFonts w:ascii="华文仿宋" w:hAnsi="华文仿宋" w:eastAsia="华文仿宋" w:cs="华文仿宋"/>
                <w:b/>
                <w:bCs/>
                <w:spacing w:val="-4"/>
                <w:sz w:val="18"/>
                <w:szCs w:val="18"/>
              </w:rPr>
              <w:t>评价标准</w:t>
            </w:r>
          </w:p>
        </w:tc>
        <w:tc>
          <w:tcPr>
            <w:tcW w:w="4007" w:type="dxa"/>
            <w:vAlign w:val="top"/>
          </w:tcPr>
          <w:p>
            <w:pPr>
              <w:spacing w:before="113" w:line="198" w:lineRule="auto"/>
              <w:ind w:left="1648"/>
              <w:rPr>
                <w:rFonts w:ascii="华文仿宋" w:hAnsi="华文仿宋" w:eastAsia="华文仿宋" w:cs="华文仿宋"/>
                <w:sz w:val="18"/>
                <w:szCs w:val="18"/>
              </w:rPr>
            </w:pPr>
            <w:r>
              <w:rPr>
                <w:rFonts w:ascii="华文仿宋" w:hAnsi="华文仿宋" w:eastAsia="华文仿宋" w:cs="华文仿宋"/>
                <w:b/>
                <w:bCs/>
                <w:spacing w:val="-4"/>
                <w:sz w:val="18"/>
                <w:szCs w:val="18"/>
              </w:rPr>
              <w:t>评分过程</w:t>
            </w:r>
          </w:p>
        </w:tc>
        <w:tc>
          <w:tcPr>
            <w:tcW w:w="684" w:type="dxa"/>
            <w:vAlign w:val="top"/>
          </w:tcPr>
          <w:p>
            <w:pPr>
              <w:spacing w:before="114" w:line="197" w:lineRule="auto"/>
              <w:ind w:left="172"/>
              <w:rPr>
                <w:rFonts w:ascii="华文仿宋" w:hAnsi="华文仿宋" w:eastAsia="华文仿宋" w:cs="华文仿宋"/>
                <w:sz w:val="18"/>
                <w:szCs w:val="18"/>
              </w:rPr>
            </w:pPr>
            <w:r>
              <w:rPr>
                <w:rFonts w:ascii="华文仿宋" w:hAnsi="华文仿宋" w:eastAsia="华文仿宋" w:cs="华文仿宋"/>
                <w:b/>
                <w:bCs/>
                <w:spacing w:val="-8"/>
                <w:sz w:val="18"/>
                <w:szCs w:val="18"/>
              </w:rPr>
              <w:t>得分</w:t>
            </w:r>
          </w:p>
        </w:tc>
        <w:tc>
          <w:tcPr>
            <w:tcW w:w="832" w:type="dxa"/>
            <w:vAlign w:val="top"/>
          </w:tcPr>
          <w:p>
            <w:pPr>
              <w:spacing w:before="111" w:line="200" w:lineRule="auto"/>
              <w:ind w:left="152"/>
              <w:rPr>
                <w:rFonts w:ascii="华文仿宋" w:hAnsi="华文仿宋" w:eastAsia="华文仿宋" w:cs="华文仿宋"/>
                <w:sz w:val="18"/>
                <w:szCs w:val="18"/>
              </w:rPr>
            </w:pPr>
            <w:r>
              <w:rPr>
                <w:rFonts w:ascii="华文仿宋" w:hAnsi="华文仿宋" w:eastAsia="华文仿宋" w:cs="华文仿宋"/>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99" w:hRule="atLeast"/>
        </w:trPr>
        <w:tc>
          <w:tcPr>
            <w:tcW w:w="1091" w:type="dxa"/>
            <w:vMerge w:val="restart"/>
            <w:tcBorders>
              <w:bottom w:val="nil"/>
            </w:tcBorders>
            <w:vAlign w:val="top"/>
          </w:tcPr>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6" w:line="288" w:lineRule="auto"/>
              <w:ind w:left="306" w:right="182" w:hanging="109"/>
              <w:rPr>
                <w:rFonts w:ascii="华文仿宋" w:hAnsi="华文仿宋" w:eastAsia="华文仿宋" w:cs="华文仿宋"/>
                <w:sz w:val="18"/>
                <w:szCs w:val="18"/>
              </w:rPr>
            </w:pPr>
            <w:r>
              <w:rPr>
                <w:rFonts w:ascii="华文仿宋" w:hAnsi="华文仿宋" w:eastAsia="华文仿宋" w:cs="华文仿宋"/>
                <w:spacing w:val="-4"/>
                <w:sz w:val="18"/>
                <w:szCs w:val="18"/>
              </w:rPr>
              <w:t>部门管理</w:t>
            </w:r>
            <w:r>
              <w:rPr>
                <w:rFonts w:ascii="华文仿宋" w:hAnsi="华文仿宋" w:eastAsia="华文仿宋" w:cs="华文仿宋"/>
                <w:spacing w:val="-7"/>
                <w:sz w:val="18"/>
                <w:szCs w:val="18"/>
              </w:rPr>
              <w:t>（35）</w:t>
            </w:r>
          </w:p>
        </w:tc>
        <w:tc>
          <w:tcPr>
            <w:tcW w:w="999" w:type="dxa"/>
            <w:vMerge w:val="restart"/>
            <w:tcBorders>
              <w:bottom w:val="nil"/>
            </w:tcBorders>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before="66" w:line="199" w:lineRule="auto"/>
              <w:ind w:left="166"/>
              <w:rPr>
                <w:rFonts w:ascii="华文仿宋" w:hAnsi="华文仿宋" w:eastAsia="华文仿宋" w:cs="华文仿宋"/>
                <w:sz w:val="18"/>
                <w:szCs w:val="18"/>
              </w:rPr>
            </w:pPr>
            <w:r>
              <w:rPr>
                <w:rFonts w:ascii="华文仿宋" w:hAnsi="华文仿宋" w:eastAsia="华文仿宋" w:cs="华文仿宋"/>
                <w:spacing w:val="-9"/>
                <w:sz w:val="18"/>
                <w:szCs w:val="18"/>
              </w:rPr>
              <w:t>内部制度</w:t>
            </w:r>
          </w:p>
          <w:p>
            <w:pPr>
              <w:spacing w:before="94" w:line="199" w:lineRule="auto"/>
              <w:ind w:left="328"/>
              <w:rPr>
                <w:rFonts w:ascii="华文仿宋" w:hAnsi="华文仿宋" w:eastAsia="华文仿宋" w:cs="华文仿宋"/>
                <w:sz w:val="18"/>
                <w:szCs w:val="18"/>
              </w:rPr>
            </w:pPr>
            <w:r>
              <w:rPr>
                <w:rFonts w:ascii="华文仿宋" w:hAnsi="华文仿宋" w:eastAsia="华文仿宋" w:cs="华文仿宋"/>
                <w:spacing w:val="-8"/>
                <w:sz w:val="18"/>
                <w:szCs w:val="18"/>
              </w:rPr>
              <w:t>管理</w:t>
            </w:r>
          </w:p>
          <w:p>
            <w:pPr>
              <w:spacing w:before="57" w:line="283" w:lineRule="exact"/>
              <w:ind w:left="256"/>
              <w:rPr>
                <w:rFonts w:ascii="华文仿宋" w:hAnsi="华文仿宋" w:eastAsia="华文仿宋" w:cs="华文仿宋"/>
                <w:sz w:val="18"/>
                <w:szCs w:val="18"/>
              </w:rPr>
            </w:pPr>
            <w:r>
              <w:rPr>
                <w:rFonts w:ascii="华文仿宋" w:hAnsi="华文仿宋" w:eastAsia="华文仿宋" w:cs="华文仿宋"/>
                <w:spacing w:val="-7"/>
                <w:position w:val="3"/>
                <w:sz w:val="18"/>
                <w:szCs w:val="18"/>
              </w:rPr>
              <w:t>（21）</w:t>
            </w:r>
          </w:p>
        </w:tc>
        <w:tc>
          <w:tcPr>
            <w:tcW w:w="1167" w:type="dxa"/>
            <w:vAlign w:val="top"/>
          </w:tcPr>
          <w:p>
            <w:pPr>
              <w:spacing w:line="311" w:lineRule="auto"/>
              <w:rPr>
                <w:rFonts w:ascii="Arial"/>
                <w:sz w:val="21"/>
              </w:rPr>
            </w:pPr>
          </w:p>
          <w:p>
            <w:pPr>
              <w:spacing w:line="312" w:lineRule="auto"/>
              <w:rPr>
                <w:rFonts w:ascii="Arial"/>
                <w:sz w:val="21"/>
              </w:rPr>
            </w:pPr>
          </w:p>
          <w:p>
            <w:pPr>
              <w:spacing w:line="312" w:lineRule="auto"/>
              <w:rPr>
                <w:rFonts w:ascii="Arial"/>
                <w:sz w:val="21"/>
              </w:rPr>
            </w:pPr>
          </w:p>
          <w:p>
            <w:pPr>
              <w:spacing w:before="66" w:line="291" w:lineRule="auto"/>
              <w:ind w:left="231" w:right="133" w:hanging="92"/>
              <w:rPr>
                <w:rFonts w:ascii="华文仿宋" w:hAnsi="华文仿宋" w:eastAsia="华文仿宋" w:cs="华文仿宋"/>
                <w:sz w:val="18"/>
                <w:szCs w:val="18"/>
              </w:rPr>
            </w:pPr>
            <w:r>
              <w:rPr>
                <w:rFonts w:ascii="华文仿宋" w:hAnsi="华文仿宋" w:eastAsia="华文仿宋" w:cs="华文仿宋"/>
                <w:spacing w:val="-3"/>
                <w:sz w:val="18"/>
                <w:szCs w:val="18"/>
              </w:rPr>
              <w:t>财务管理制度健全性</w:t>
            </w:r>
          </w:p>
        </w:tc>
        <w:tc>
          <w:tcPr>
            <w:tcW w:w="665" w:type="dxa"/>
            <w:vAlign w:val="top"/>
          </w:tcPr>
          <w:p>
            <w:pPr>
              <w:spacing w:line="278"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before="65" w:line="177" w:lineRule="auto"/>
              <w:ind w:left="290"/>
              <w:rPr>
                <w:rFonts w:ascii="华文仿宋" w:hAnsi="华文仿宋" w:eastAsia="华文仿宋" w:cs="华文仿宋"/>
                <w:sz w:val="18"/>
                <w:szCs w:val="18"/>
              </w:rPr>
            </w:pPr>
            <w:r>
              <w:rPr>
                <w:rFonts w:ascii="华文仿宋" w:hAnsi="华文仿宋" w:eastAsia="华文仿宋" w:cs="华文仿宋"/>
                <w:sz w:val="18"/>
                <w:szCs w:val="18"/>
              </w:rPr>
              <w:t>2</w:t>
            </w:r>
          </w:p>
        </w:tc>
        <w:tc>
          <w:tcPr>
            <w:tcW w:w="3011" w:type="dxa"/>
            <w:vAlign w:val="top"/>
          </w:tcPr>
          <w:p>
            <w:pPr>
              <w:spacing w:line="314" w:lineRule="auto"/>
              <w:rPr>
                <w:rFonts w:ascii="Arial"/>
                <w:sz w:val="21"/>
              </w:rPr>
            </w:pPr>
          </w:p>
          <w:p>
            <w:pPr>
              <w:spacing w:before="65" w:line="286" w:lineRule="auto"/>
              <w:ind w:left="118" w:right="202" w:hanging="4"/>
              <w:rPr>
                <w:rFonts w:ascii="华文仿宋" w:hAnsi="华文仿宋" w:eastAsia="华文仿宋" w:cs="华文仿宋"/>
                <w:sz w:val="18"/>
                <w:szCs w:val="18"/>
              </w:rPr>
            </w:pPr>
            <w:r>
              <w:rPr>
                <w:rFonts w:ascii="华文仿宋" w:hAnsi="华文仿宋" w:eastAsia="华文仿宋" w:cs="华文仿宋"/>
                <w:spacing w:val="-1"/>
                <w:sz w:val="18"/>
                <w:szCs w:val="18"/>
              </w:rPr>
              <w:t>反映部门财务相关管理制度是否建</w:t>
            </w:r>
            <w:r>
              <w:rPr>
                <w:rFonts w:ascii="华文仿宋" w:hAnsi="华文仿宋" w:eastAsia="华文仿宋" w:cs="华文仿宋"/>
                <w:spacing w:val="-4"/>
                <w:sz w:val="18"/>
                <w:szCs w:val="18"/>
              </w:rPr>
              <w:t>立健全。</w:t>
            </w:r>
          </w:p>
          <w:p>
            <w:pPr>
              <w:spacing w:before="1" w:line="285" w:lineRule="auto"/>
              <w:ind w:left="116" w:right="257"/>
              <w:rPr>
                <w:rFonts w:ascii="华文仿宋" w:hAnsi="华文仿宋" w:eastAsia="华文仿宋" w:cs="华文仿宋"/>
                <w:sz w:val="18"/>
                <w:szCs w:val="18"/>
              </w:rPr>
            </w:pPr>
            <w:r>
              <w:rPr>
                <w:rFonts w:ascii="华文仿宋" w:hAnsi="华文仿宋" w:eastAsia="华文仿宋" w:cs="华文仿宋"/>
                <w:spacing w:val="-1"/>
                <w:sz w:val="18"/>
                <w:szCs w:val="18"/>
              </w:rPr>
              <w:t>1.是否已制定或具有相应的财务管</w:t>
            </w:r>
            <w:r>
              <w:rPr>
                <w:rFonts w:ascii="华文仿宋" w:hAnsi="华文仿宋" w:eastAsia="华文仿宋" w:cs="华文仿宋"/>
                <w:spacing w:val="-4"/>
                <w:sz w:val="18"/>
                <w:szCs w:val="18"/>
              </w:rPr>
              <w:t>理制度；</w:t>
            </w:r>
          </w:p>
          <w:p>
            <w:pPr>
              <w:spacing w:line="291" w:lineRule="auto"/>
              <w:ind w:left="121" w:right="294" w:hanging="14"/>
              <w:rPr>
                <w:rFonts w:ascii="华文仿宋" w:hAnsi="华文仿宋" w:eastAsia="华文仿宋" w:cs="华文仿宋"/>
                <w:sz w:val="18"/>
                <w:szCs w:val="18"/>
              </w:rPr>
            </w:pPr>
            <w:r>
              <w:rPr>
                <w:rFonts w:ascii="华文仿宋" w:hAnsi="华文仿宋" w:eastAsia="华文仿宋" w:cs="华文仿宋"/>
                <w:spacing w:val="-4"/>
                <w:sz w:val="18"/>
                <w:szCs w:val="18"/>
              </w:rPr>
              <w:t>2.财务管理制度是否合法、合规、</w:t>
            </w:r>
            <w:r>
              <w:rPr>
                <w:rFonts w:ascii="华文仿宋" w:hAnsi="华文仿宋" w:eastAsia="华文仿宋" w:cs="华文仿宋"/>
                <w:spacing w:val="-7"/>
                <w:sz w:val="18"/>
                <w:szCs w:val="18"/>
              </w:rPr>
              <w:t>完整。</w:t>
            </w:r>
          </w:p>
        </w:tc>
        <w:tc>
          <w:tcPr>
            <w:tcW w:w="918" w:type="dxa"/>
            <w:vAlign w:val="top"/>
          </w:tcPr>
          <w:p>
            <w:pPr>
              <w:spacing w:line="272"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before="65" w:line="199" w:lineRule="auto"/>
              <w:ind w:left="288"/>
              <w:rPr>
                <w:rFonts w:ascii="华文仿宋" w:hAnsi="华文仿宋" w:eastAsia="华文仿宋" w:cs="华文仿宋"/>
                <w:sz w:val="18"/>
                <w:szCs w:val="18"/>
              </w:rPr>
            </w:pPr>
            <w:r>
              <w:rPr>
                <w:rFonts w:ascii="华文仿宋" w:hAnsi="华文仿宋" w:eastAsia="华文仿宋" w:cs="华文仿宋"/>
                <w:spacing w:val="-6"/>
                <w:sz w:val="18"/>
                <w:szCs w:val="18"/>
              </w:rPr>
              <w:t>健全</w:t>
            </w:r>
          </w:p>
        </w:tc>
        <w:tc>
          <w:tcPr>
            <w:tcW w:w="2171" w:type="dxa"/>
            <w:vAlign w:val="top"/>
          </w:tcPr>
          <w:p>
            <w:pPr>
              <w:spacing w:before="67" w:line="286" w:lineRule="auto"/>
              <w:ind w:left="117" w:right="259" w:hanging="1"/>
              <w:rPr>
                <w:rFonts w:ascii="华文仿宋" w:hAnsi="华文仿宋" w:eastAsia="华文仿宋" w:cs="华文仿宋"/>
                <w:sz w:val="18"/>
                <w:szCs w:val="18"/>
              </w:rPr>
            </w:pPr>
            <w:r>
              <w:rPr>
                <w:rFonts w:ascii="华文仿宋" w:hAnsi="华文仿宋" w:eastAsia="华文仿宋" w:cs="华文仿宋"/>
                <w:spacing w:val="-5"/>
                <w:sz w:val="18"/>
                <w:szCs w:val="18"/>
              </w:rPr>
              <w:t>财务管理制度健全，包</w:t>
            </w:r>
            <w:r>
              <w:rPr>
                <w:rFonts w:ascii="华文仿宋" w:hAnsi="华文仿宋" w:eastAsia="华文仿宋" w:cs="华文仿宋"/>
                <w:spacing w:val="-2"/>
                <w:sz w:val="18"/>
                <w:szCs w:val="18"/>
              </w:rPr>
              <w:t>括但不限于资金使用审</w:t>
            </w:r>
            <w:r>
              <w:rPr>
                <w:rFonts w:ascii="华文仿宋" w:hAnsi="华文仿宋" w:eastAsia="华文仿宋" w:cs="华文仿宋"/>
                <w:spacing w:val="-3"/>
                <w:sz w:val="18"/>
                <w:szCs w:val="18"/>
              </w:rPr>
              <w:t>核管理制度、会计核算</w:t>
            </w:r>
            <w:r>
              <w:rPr>
                <w:rFonts w:ascii="华文仿宋" w:hAnsi="华文仿宋" w:eastAsia="华文仿宋" w:cs="华文仿宋"/>
                <w:spacing w:val="-4"/>
                <w:sz w:val="18"/>
                <w:szCs w:val="18"/>
              </w:rPr>
              <w:t>管理制度，得2分；制</w:t>
            </w:r>
            <w:r>
              <w:rPr>
                <w:rFonts w:ascii="华文仿宋" w:hAnsi="华文仿宋" w:eastAsia="华文仿宋" w:cs="华文仿宋"/>
                <w:spacing w:val="-2"/>
                <w:sz w:val="18"/>
                <w:szCs w:val="18"/>
              </w:rPr>
              <w:t>度有缺失或制度存在明显缺陷每项目扣0.50</w:t>
            </w:r>
          </w:p>
          <w:p>
            <w:pPr>
              <w:spacing w:before="1" w:line="250" w:lineRule="auto"/>
              <w:ind w:left="121" w:right="259" w:hanging="6"/>
              <w:rPr>
                <w:rFonts w:ascii="华文仿宋" w:hAnsi="华文仿宋" w:eastAsia="华文仿宋" w:cs="华文仿宋"/>
                <w:sz w:val="18"/>
                <w:szCs w:val="18"/>
              </w:rPr>
            </w:pPr>
            <w:r>
              <w:rPr>
                <w:rFonts w:ascii="华文仿宋" w:hAnsi="华文仿宋" w:eastAsia="华文仿宋" w:cs="华文仿宋"/>
                <w:spacing w:val="-5"/>
                <w:sz w:val="18"/>
                <w:szCs w:val="18"/>
              </w:rPr>
              <w:t>分，扣完为止；无制度</w:t>
            </w:r>
            <w:r>
              <w:rPr>
                <w:rFonts w:ascii="华文仿宋" w:hAnsi="华文仿宋" w:eastAsia="华文仿宋" w:cs="华文仿宋"/>
                <w:spacing w:val="-4"/>
                <w:sz w:val="18"/>
                <w:szCs w:val="18"/>
              </w:rPr>
              <w:t>不得分。</w:t>
            </w:r>
          </w:p>
        </w:tc>
        <w:tc>
          <w:tcPr>
            <w:tcW w:w="4007" w:type="dxa"/>
            <w:vAlign w:val="top"/>
          </w:tcPr>
          <w:p>
            <w:pPr>
              <w:spacing w:before="223" w:line="287" w:lineRule="auto"/>
              <w:ind w:left="116" w:right="114"/>
              <w:rPr>
                <w:rFonts w:ascii="华文仿宋" w:hAnsi="华文仿宋" w:eastAsia="华文仿宋" w:cs="华文仿宋"/>
                <w:sz w:val="18"/>
                <w:szCs w:val="18"/>
              </w:rPr>
            </w:pPr>
            <w:r>
              <w:rPr>
                <w:rFonts w:ascii="华文仿宋" w:hAnsi="华文仿宋" w:eastAsia="华文仿宋" w:cs="华文仿宋"/>
                <w:spacing w:val="-3"/>
                <w:sz w:val="18"/>
                <w:szCs w:val="18"/>
              </w:rPr>
              <w:t>根据区民政局提供的财务管理制度文件，区民政</w:t>
            </w:r>
            <w:r>
              <w:rPr>
                <w:rFonts w:ascii="华文仿宋" w:hAnsi="华文仿宋" w:eastAsia="华文仿宋" w:cs="华文仿宋"/>
                <w:spacing w:val="-2"/>
                <w:sz w:val="18"/>
                <w:szCs w:val="18"/>
              </w:rPr>
              <w:t>局制定了详细的财务管理制度，主要包含预算管</w:t>
            </w:r>
            <w:r>
              <w:rPr>
                <w:rFonts w:ascii="华文仿宋" w:hAnsi="华文仿宋" w:eastAsia="华文仿宋" w:cs="华文仿宋"/>
                <w:spacing w:val="-6"/>
                <w:sz w:val="18"/>
                <w:szCs w:val="18"/>
              </w:rPr>
              <w:t>理、收入管理、支出管理等事项，对财务审核、</w:t>
            </w:r>
            <w:r>
              <w:rPr>
                <w:rFonts w:ascii="华文仿宋" w:hAnsi="华文仿宋" w:eastAsia="华文仿宋" w:cs="华文仿宋"/>
                <w:spacing w:val="-5"/>
                <w:sz w:val="18"/>
                <w:szCs w:val="18"/>
              </w:rPr>
              <w:t>监督、不相容岗位、预算管理、收入管理、支出</w:t>
            </w:r>
            <w:r>
              <w:rPr>
                <w:rFonts w:ascii="华文仿宋" w:hAnsi="华文仿宋" w:eastAsia="华文仿宋" w:cs="华文仿宋"/>
                <w:spacing w:val="-4"/>
                <w:sz w:val="18"/>
                <w:szCs w:val="18"/>
              </w:rPr>
              <w:t>管理、资金申请流程等内容作出明确规定，部门</w:t>
            </w:r>
            <w:r>
              <w:rPr>
                <w:rFonts w:ascii="华文仿宋" w:hAnsi="华文仿宋" w:eastAsia="华文仿宋" w:cs="华文仿宋"/>
                <w:spacing w:val="-3"/>
                <w:sz w:val="18"/>
                <w:szCs w:val="18"/>
              </w:rPr>
              <w:t>财务管理制度健全。依据评价标准，该指标得2</w:t>
            </w:r>
            <w:r>
              <w:rPr>
                <w:rFonts w:ascii="华文仿宋" w:hAnsi="华文仿宋" w:eastAsia="华文仿宋" w:cs="华文仿宋"/>
                <w:spacing w:val="-5"/>
                <w:sz w:val="18"/>
                <w:szCs w:val="18"/>
              </w:rPr>
              <w:t>分。</w:t>
            </w:r>
          </w:p>
        </w:tc>
        <w:tc>
          <w:tcPr>
            <w:tcW w:w="684" w:type="dxa"/>
            <w:vAlign w:val="top"/>
          </w:tcPr>
          <w:p>
            <w:pPr>
              <w:spacing w:line="278"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before="65" w:line="177" w:lineRule="auto"/>
              <w:ind w:left="304"/>
              <w:rPr>
                <w:rFonts w:ascii="华文仿宋" w:hAnsi="华文仿宋" w:eastAsia="华文仿宋" w:cs="华文仿宋"/>
                <w:sz w:val="18"/>
                <w:szCs w:val="18"/>
              </w:rPr>
            </w:pPr>
            <w:r>
              <w:rPr>
                <w:rFonts w:ascii="华文仿宋" w:hAnsi="华文仿宋" w:eastAsia="华文仿宋" w:cs="华文仿宋"/>
                <w:sz w:val="18"/>
                <w:szCs w:val="18"/>
              </w:rPr>
              <w:t>2</w:t>
            </w:r>
          </w:p>
        </w:tc>
        <w:tc>
          <w:tcPr>
            <w:tcW w:w="832" w:type="dxa"/>
            <w:vAlign w:val="top"/>
          </w:tcPr>
          <w:p>
            <w:pPr>
              <w:spacing w:line="278"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before="65"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83" w:hRule="atLeast"/>
        </w:trPr>
        <w:tc>
          <w:tcPr>
            <w:tcW w:w="1091" w:type="dxa"/>
            <w:vMerge w:val="continue"/>
            <w:tcBorders>
              <w:top w:val="nil"/>
              <w:bottom w:val="nil"/>
            </w:tcBorders>
            <w:vAlign w:val="top"/>
          </w:tcPr>
          <w:p>
            <w:pPr>
              <w:rPr>
                <w:rFonts w:ascii="Arial"/>
                <w:sz w:val="21"/>
              </w:rPr>
            </w:pPr>
          </w:p>
        </w:tc>
        <w:tc>
          <w:tcPr>
            <w:tcW w:w="999" w:type="dxa"/>
            <w:vMerge w:val="continue"/>
            <w:tcBorders>
              <w:top w:val="nil"/>
              <w:bottom w:val="nil"/>
            </w:tcBorders>
            <w:vAlign w:val="top"/>
          </w:tcPr>
          <w:p>
            <w:pPr>
              <w:rPr>
                <w:rFonts w:ascii="Arial"/>
                <w:sz w:val="21"/>
              </w:rPr>
            </w:pPr>
          </w:p>
        </w:tc>
        <w:tc>
          <w:tcPr>
            <w:tcW w:w="1167" w:type="dxa"/>
            <w:vAlign w:val="top"/>
          </w:tcPr>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before="65" w:line="200" w:lineRule="auto"/>
              <w:ind w:left="139"/>
              <w:rPr>
                <w:rFonts w:ascii="华文仿宋" w:hAnsi="华文仿宋" w:eastAsia="华文仿宋" w:cs="华文仿宋"/>
                <w:sz w:val="18"/>
                <w:szCs w:val="18"/>
              </w:rPr>
            </w:pPr>
            <w:r>
              <w:rPr>
                <w:rFonts w:ascii="华文仿宋" w:hAnsi="华文仿宋" w:eastAsia="华文仿宋" w:cs="华文仿宋"/>
                <w:spacing w:val="-3"/>
                <w:sz w:val="18"/>
                <w:szCs w:val="18"/>
              </w:rPr>
              <w:t>财务管理制</w:t>
            </w:r>
          </w:p>
          <w:p>
            <w:pPr>
              <w:spacing w:before="94" w:line="199" w:lineRule="auto"/>
              <w:ind w:left="140"/>
              <w:rPr>
                <w:rFonts w:ascii="华文仿宋" w:hAnsi="华文仿宋" w:eastAsia="华文仿宋" w:cs="华文仿宋"/>
                <w:sz w:val="18"/>
                <w:szCs w:val="18"/>
              </w:rPr>
            </w:pPr>
            <w:r>
              <w:rPr>
                <w:rFonts w:ascii="华文仿宋" w:hAnsi="华文仿宋" w:eastAsia="华文仿宋" w:cs="华文仿宋"/>
                <w:spacing w:val="-3"/>
                <w:sz w:val="18"/>
                <w:szCs w:val="18"/>
              </w:rPr>
              <w:t>度执行有效</w:t>
            </w:r>
          </w:p>
          <w:p>
            <w:pPr>
              <w:spacing w:before="93" w:line="200" w:lineRule="auto"/>
              <w:ind w:left="506"/>
              <w:rPr>
                <w:rFonts w:ascii="华文仿宋" w:hAnsi="华文仿宋" w:eastAsia="华文仿宋" w:cs="华文仿宋"/>
                <w:sz w:val="18"/>
                <w:szCs w:val="18"/>
              </w:rPr>
            </w:pPr>
            <w:r>
              <w:rPr>
                <w:rFonts w:ascii="华文仿宋" w:hAnsi="华文仿宋" w:eastAsia="华文仿宋" w:cs="华文仿宋"/>
                <w:sz w:val="18"/>
                <w:szCs w:val="18"/>
              </w:rPr>
              <w:t>性</w:t>
            </w:r>
          </w:p>
        </w:tc>
        <w:tc>
          <w:tcPr>
            <w:tcW w:w="665" w:type="dxa"/>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66" w:line="177" w:lineRule="auto"/>
              <w:ind w:left="290"/>
              <w:rPr>
                <w:rFonts w:ascii="华文仿宋" w:hAnsi="华文仿宋" w:eastAsia="华文仿宋" w:cs="华文仿宋"/>
                <w:sz w:val="18"/>
                <w:szCs w:val="18"/>
              </w:rPr>
            </w:pPr>
            <w:r>
              <w:rPr>
                <w:rFonts w:ascii="华文仿宋" w:hAnsi="华文仿宋" w:eastAsia="华文仿宋" w:cs="华文仿宋"/>
                <w:sz w:val="18"/>
                <w:szCs w:val="18"/>
              </w:rPr>
              <w:t>2</w:t>
            </w:r>
          </w:p>
        </w:tc>
        <w:tc>
          <w:tcPr>
            <w:tcW w:w="3011" w:type="dxa"/>
            <w:vAlign w:val="top"/>
          </w:tcPr>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before="66" w:line="286" w:lineRule="auto"/>
              <w:ind w:left="114" w:right="202"/>
              <w:rPr>
                <w:rFonts w:ascii="华文仿宋" w:hAnsi="华文仿宋" w:eastAsia="华文仿宋" w:cs="华文仿宋"/>
                <w:sz w:val="18"/>
                <w:szCs w:val="18"/>
              </w:rPr>
            </w:pPr>
            <w:r>
              <w:rPr>
                <w:rFonts w:ascii="华文仿宋" w:hAnsi="华文仿宋" w:eastAsia="华文仿宋" w:cs="华文仿宋"/>
                <w:spacing w:val="-1"/>
                <w:sz w:val="18"/>
                <w:szCs w:val="18"/>
              </w:rPr>
              <w:t>反映部门日常财务处理是否按照财务相关管理制度有效执行。</w:t>
            </w:r>
          </w:p>
          <w:p>
            <w:pPr>
              <w:spacing w:line="285" w:lineRule="auto"/>
              <w:ind w:left="114" w:right="437" w:firstLine="3"/>
              <w:rPr>
                <w:rFonts w:ascii="华文仿宋" w:hAnsi="华文仿宋" w:eastAsia="华文仿宋" w:cs="华文仿宋"/>
                <w:sz w:val="18"/>
                <w:szCs w:val="18"/>
              </w:rPr>
            </w:pPr>
            <w:r>
              <w:rPr>
                <w:rFonts w:ascii="华文仿宋" w:hAnsi="华文仿宋" w:eastAsia="华文仿宋" w:cs="华文仿宋"/>
                <w:spacing w:val="-1"/>
                <w:sz w:val="18"/>
                <w:szCs w:val="18"/>
              </w:rPr>
              <w:t>1.是否按照财务管理制度有效执</w:t>
            </w:r>
            <w:r>
              <w:rPr>
                <w:rFonts w:ascii="华文仿宋" w:hAnsi="华文仿宋" w:eastAsia="华文仿宋" w:cs="华文仿宋"/>
                <w:spacing w:val="-6"/>
                <w:sz w:val="18"/>
                <w:szCs w:val="18"/>
              </w:rPr>
              <w:t>行；</w:t>
            </w:r>
          </w:p>
          <w:p>
            <w:pPr>
              <w:spacing w:line="200" w:lineRule="auto"/>
              <w:ind w:left="107"/>
              <w:rPr>
                <w:rFonts w:ascii="华文仿宋" w:hAnsi="华文仿宋" w:eastAsia="华文仿宋" w:cs="华文仿宋"/>
                <w:sz w:val="18"/>
                <w:szCs w:val="18"/>
              </w:rPr>
            </w:pPr>
            <w:r>
              <w:rPr>
                <w:rFonts w:ascii="华文仿宋" w:hAnsi="华文仿宋" w:eastAsia="华文仿宋" w:cs="华文仿宋"/>
                <w:spacing w:val="-1"/>
                <w:sz w:val="18"/>
                <w:szCs w:val="18"/>
              </w:rPr>
              <w:t>2.相关佐证资料是否完整规范。</w:t>
            </w:r>
          </w:p>
        </w:tc>
        <w:tc>
          <w:tcPr>
            <w:tcW w:w="918" w:type="dxa"/>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before="66" w:line="294" w:lineRule="auto"/>
              <w:ind w:left="290" w:right="186" w:hanging="91"/>
              <w:rPr>
                <w:rFonts w:hint="eastAsia" w:ascii="华文仿宋" w:hAnsi="华文仿宋" w:eastAsia="华文仿宋" w:cs="华文仿宋"/>
                <w:sz w:val="18"/>
                <w:szCs w:val="18"/>
                <w:lang w:eastAsia="zh-CN"/>
              </w:rPr>
            </w:pPr>
            <w:r>
              <w:rPr>
                <w:rFonts w:hint="eastAsia" w:ascii="华文仿宋" w:hAnsi="华文仿宋" w:eastAsia="华文仿宋" w:cs="华文仿宋"/>
                <w:spacing w:val="-5"/>
                <w:sz w:val="18"/>
                <w:szCs w:val="18"/>
                <w:lang w:eastAsia="zh-CN"/>
              </w:rPr>
              <w:t>执行且有效</w:t>
            </w:r>
          </w:p>
        </w:tc>
        <w:tc>
          <w:tcPr>
            <w:tcW w:w="2171" w:type="dxa"/>
            <w:vAlign w:val="top"/>
          </w:tcPr>
          <w:p>
            <w:pPr>
              <w:spacing w:line="326" w:lineRule="auto"/>
              <w:rPr>
                <w:rFonts w:ascii="Arial"/>
                <w:sz w:val="21"/>
              </w:rPr>
            </w:pPr>
          </w:p>
          <w:p>
            <w:pPr>
              <w:spacing w:line="326" w:lineRule="auto"/>
              <w:rPr>
                <w:rFonts w:ascii="Arial"/>
                <w:sz w:val="21"/>
              </w:rPr>
            </w:pPr>
          </w:p>
          <w:p>
            <w:pPr>
              <w:spacing w:before="65" w:line="288" w:lineRule="auto"/>
              <w:ind w:left="115" w:right="238" w:firstLine="1"/>
              <w:jc w:val="both"/>
              <w:rPr>
                <w:rFonts w:ascii="华文仿宋" w:hAnsi="华文仿宋" w:eastAsia="华文仿宋" w:cs="华文仿宋"/>
                <w:sz w:val="18"/>
                <w:szCs w:val="18"/>
              </w:rPr>
            </w:pPr>
            <w:r>
              <w:rPr>
                <w:rFonts w:ascii="华文仿宋" w:hAnsi="华文仿宋" w:eastAsia="华文仿宋" w:cs="华文仿宋"/>
                <w:spacing w:val="-2"/>
                <w:sz w:val="18"/>
                <w:szCs w:val="18"/>
              </w:rPr>
              <w:t>按照财务管理制度有效</w:t>
            </w:r>
            <w:r>
              <w:rPr>
                <w:rFonts w:ascii="华文仿宋" w:hAnsi="华文仿宋" w:eastAsia="华文仿宋" w:cs="华文仿宋"/>
                <w:spacing w:val="-4"/>
                <w:sz w:val="18"/>
                <w:szCs w:val="18"/>
              </w:rPr>
              <w:t>执行且资料完整，得2</w:t>
            </w:r>
            <w:r>
              <w:rPr>
                <w:rFonts w:ascii="华文仿宋" w:hAnsi="华文仿宋" w:eastAsia="华文仿宋" w:cs="华文仿宋"/>
                <w:spacing w:val="-1"/>
                <w:sz w:val="18"/>
                <w:szCs w:val="18"/>
              </w:rPr>
              <w:t>分；执行过程中未按照制度执行或资料不完整</w:t>
            </w:r>
            <w:r>
              <w:rPr>
                <w:rFonts w:ascii="华文仿宋" w:hAnsi="华文仿宋" w:eastAsia="华文仿宋" w:cs="华文仿宋"/>
                <w:spacing w:val="-4"/>
                <w:sz w:val="18"/>
                <w:szCs w:val="18"/>
              </w:rPr>
              <w:t>的每项扣0.50分，扣完</w:t>
            </w:r>
            <w:r>
              <w:rPr>
                <w:rFonts w:ascii="华文仿宋" w:hAnsi="华文仿宋" w:eastAsia="华文仿宋" w:cs="华文仿宋"/>
                <w:spacing w:val="-3"/>
                <w:sz w:val="18"/>
                <w:szCs w:val="18"/>
              </w:rPr>
              <w:t>为止。</w:t>
            </w:r>
          </w:p>
        </w:tc>
        <w:tc>
          <w:tcPr>
            <w:tcW w:w="4007" w:type="dxa"/>
            <w:vAlign w:val="top"/>
          </w:tcPr>
          <w:p>
            <w:pPr>
              <w:spacing w:before="104" w:line="281" w:lineRule="auto"/>
              <w:ind w:left="117" w:right="114" w:firstLine="4"/>
              <w:rPr>
                <w:rFonts w:ascii="华文仿宋" w:hAnsi="华文仿宋" w:eastAsia="华文仿宋" w:cs="华文仿宋"/>
                <w:sz w:val="18"/>
                <w:szCs w:val="18"/>
              </w:rPr>
            </w:pPr>
            <w:r>
              <w:rPr>
                <w:rFonts w:ascii="华文仿宋" w:hAnsi="华文仿宋" w:eastAsia="华文仿宋" w:cs="华文仿宋"/>
                <w:spacing w:val="-3"/>
                <w:sz w:val="18"/>
                <w:szCs w:val="18"/>
              </w:rPr>
              <w:t>经评价组现场抽查部门全年凭证及附件内容，区民政局支出会计信息记录完整，符合国家财政、</w:t>
            </w:r>
            <w:r>
              <w:rPr>
                <w:rFonts w:ascii="华文仿宋" w:hAnsi="华文仿宋" w:eastAsia="华文仿宋" w:cs="华文仿宋"/>
                <w:spacing w:val="-2"/>
                <w:sz w:val="18"/>
                <w:szCs w:val="18"/>
              </w:rPr>
              <w:t>财务管理相关规定规范使用资金，资金的使用履</w:t>
            </w:r>
            <w:r>
              <w:rPr>
                <w:rFonts w:ascii="华文仿宋" w:hAnsi="华文仿宋" w:eastAsia="华文仿宋" w:cs="华文仿宋"/>
                <w:spacing w:val="-6"/>
                <w:sz w:val="18"/>
                <w:szCs w:val="18"/>
              </w:rPr>
              <w:t>行相关的申请、审核、审批手续，重大资金支出</w:t>
            </w:r>
            <w:r>
              <w:rPr>
                <w:rFonts w:ascii="华文仿宋" w:hAnsi="华文仿宋" w:eastAsia="华文仿宋" w:cs="华文仿宋"/>
                <w:spacing w:val="-4"/>
                <w:sz w:val="18"/>
                <w:szCs w:val="18"/>
              </w:rPr>
              <w:t>具有“三重一大”会议纪要，按规定履行了集体</w:t>
            </w:r>
            <w:r>
              <w:rPr>
                <w:rFonts w:ascii="华文仿宋" w:hAnsi="华文仿宋" w:eastAsia="华文仿宋" w:cs="华文仿宋"/>
                <w:spacing w:val="-3"/>
                <w:sz w:val="18"/>
                <w:szCs w:val="18"/>
              </w:rPr>
              <w:t>决策程序，各环节财务管理资料齐全，资金</w:t>
            </w:r>
            <w:r>
              <w:rPr>
                <w:rFonts w:ascii="华文仿宋" w:hAnsi="华文仿宋" w:eastAsia="华文仿宋" w:cs="华文仿宋"/>
                <w:spacing w:val="-4"/>
                <w:sz w:val="18"/>
                <w:szCs w:val="18"/>
              </w:rPr>
              <w:t>执行</w:t>
            </w:r>
            <w:r>
              <w:rPr>
                <w:rFonts w:ascii="华文仿宋" w:hAnsi="华文仿宋" w:eastAsia="华文仿宋" w:cs="华文仿宋"/>
                <w:spacing w:val="-2"/>
                <w:sz w:val="18"/>
                <w:szCs w:val="18"/>
              </w:rPr>
              <w:t>程序规范。各项资金使用用途与年初预算批复相</w:t>
            </w:r>
            <w:r>
              <w:rPr>
                <w:rFonts w:ascii="华文仿宋" w:hAnsi="华文仿宋" w:eastAsia="华文仿宋" w:cs="华文仿宋"/>
                <w:spacing w:val="-5"/>
                <w:sz w:val="18"/>
                <w:szCs w:val="18"/>
              </w:rPr>
              <w:t>符，评价期间未发现资金截留、挤占、挪用、虚</w:t>
            </w:r>
            <w:r>
              <w:rPr>
                <w:rFonts w:ascii="华文仿宋" w:hAnsi="华文仿宋" w:eastAsia="华文仿宋" w:cs="华文仿宋"/>
                <w:spacing w:val="-4"/>
                <w:sz w:val="18"/>
                <w:szCs w:val="18"/>
              </w:rPr>
              <w:t>列支出等情况，部门财务管理制度执行有效。依</w:t>
            </w:r>
            <w:r>
              <w:rPr>
                <w:rFonts w:ascii="华文仿宋" w:hAnsi="华文仿宋" w:eastAsia="华文仿宋" w:cs="华文仿宋"/>
                <w:spacing w:val="-3"/>
                <w:sz w:val="18"/>
                <w:szCs w:val="18"/>
              </w:rPr>
              <w:t>据评价标准，该指标得2分。</w:t>
            </w:r>
          </w:p>
        </w:tc>
        <w:tc>
          <w:tcPr>
            <w:tcW w:w="684" w:type="dxa"/>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66" w:line="177" w:lineRule="auto"/>
              <w:ind w:left="304"/>
              <w:rPr>
                <w:rFonts w:ascii="华文仿宋" w:hAnsi="华文仿宋" w:eastAsia="华文仿宋" w:cs="华文仿宋"/>
                <w:sz w:val="18"/>
                <w:szCs w:val="18"/>
              </w:rPr>
            </w:pPr>
            <w:r>
              <w:rPr>
                <w:rFonts w:ascii="华文仿宋" w:hAnsi="华文仿宋" w:eastAsia="华文仿宋" w:cs="华文仿宋"/>
                <w:sz w:val="18"/>
                <w:szCs w:val="18"/>
              </w:rPr>
              <w:t>2</w:t>
            </w:r>
          </w:p>
        </w:tc>
        <w:tc>
          <w:tcPr>
            <w:tcW w:w="832" w:type="dxa"/>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66"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7" w:hRule="atLeast"/>
        </w:trPr>
        <w:tc>
          <w:tcPr>
            <w:tcW w:w="1091" w:type="dxa"/>
            <w:vMerge w:val="continue"/>
            <w:tcBorders>
              <w:top w:val="nil"/>
            </w:tcBorders>
            <w:vAlign w:val="top"/>
          </w:tcPr>
          <w:p>
            <w:pPr>
              <w:rPr>
                <w:rFonts w:ascii="Arial"/>
                <w:sz w:val="21"/>
              </w:rPr>
            </w:pPr>
          </w:p>
        </w:tc>
        <w:tc>
          <w:tcPr>
            <w:tcW w:w="999" w:type="dxa"/>
            <w:vMerge w:val="continue"/>
            <w:tcBorders>
              <w:top w:val="nil"/>
            </w:tcBorders>
            <w:vAlign w:val="top"/>
          </w:tcPr>
          <w:p>
            <w:pPr>
              <w:rPr>
                <w:rFonts w:ascii="Arial"/>
                <w:sz w:val="21"/>
              </w:rPr>
            </w:pPr>
          </w:p>
        </w:tc>
        <w:tc>
          <w:tcPr>
            <w:tcW w:w="1167" w:type="dxa"/>
            <w:vAlign w:val="top"/>
          </w:tcPr>
          <w:p>
            <w:pPr>
              <w:spacing w:line="471" w:lineRule="auto"/>
              <w:rPr>
                <w:rFonts w:ascii="Arial"/>
                <w:sz w:val="21"/>
              </w:rPr>
            </w:pPr>
          </w:p>
          <w:p>
            <w:pPr>
              <w:spacing w:before="66" w:line="292" w:lineRule="auto"/>
              <w:ind w:left="231" w:right="133" w:hanging="82"/>
              <w:rPr>
                <w:rFonts w:ascii="华文仿宋" w:hAnsi="华文仿宋" w:eastAsia="华文仿宋" w:cs="华文仿宋"/>
                <w:sz w:val="18"/>
                <w:szCs w:val="18"/>
              </w:rPr>
            </w:pPr>
            <w:r>
              <w:rPr>
                <w:rFonts w:ascii="华文仿宋" w:hAnsi="华文仿宋" w:eastAsia="华文仿宋" w:cs="华文仿宋"/>
                <w:spacing w:val="-5"/>
                <w:sz w:val="18"/>
                <w:szCs w:val="18"/>
              </w:rPr>
              <w:t>资产管理制</w:t>
            </w:r>
            <w:r>
              <w:rPr>
                <w:rFonts w:ascii="华文仿宋" w:hAnsi="华文仿宋" w:eastAsia="华文仿宋" w:cs="华文仿宋"/>
                <w:spacing w:val="-3"/>
                <w:sz w:val="18"/>
                <w:szCs w:val="18"/>
              </w:rPr>
              <w:t>度健全性</w:t>
            </w:r>
          </w:p>
        </w:tc>
        <w:tc>
          <w:tcPr>
            <w:tcW w:w="665" w:type="dxa"/>
            <w:vAlign w:val="top"/>
          </w:tcPr>
          <w:p>
            <w:pPr>
              <w:spacing w:line="326" w:lineRule="auto"/>
              <w:rPr>
                <w:rFonts w:ascii="Arial"/>
                <w:sz w:val="21"/>
              </w:rPr>
            </w:pPr>
          </w:p>
          <w:p>
            <w:pPr>
              <w:spacing w:line="327" w:lineRule="auto"/>
              <w:rPr>
                <w:rFonts w:ascii="Arial"/>
                <w:sz w:val="21"/>
              </w:rPr>
            </w:pPr>
          </w:p>
          <w:p>
            <w:pPr>
              <w:spacing w:before="65" w:line="177" w:lineRule="auto"/>
              <w:ind w:left="290"/>
              <w:rPr>
                <w:rFonts w:ascii="华文仿宋" w:hAnsi="华文仿宋" w:eastAsia="华文仿宋" w:cs="华文仿宋"/>
                <w:sz w:val="18"/>
                <w:szCs w:val="18"/>
              </w:rPr>
            </w:pPr>
            <w:r>
              <w:rPr>
                <w:rFonts w:ascii="华文仿宋" w:hAnsi="华文仿宋" w:eastAsia="华文仿宋" w:cs="华文仿宋"/>
                <w:sz w:val="18"/>
                <w:szCs w:val="18"/>
              </w:rPr>
              <w:t>2</w:t>
            </w:r>
          </w:p>
        </w:tc>
        <w:tc>
          <w:tcPr>
            <w:tcW w:w="3011" w:type="dxa"/>
            <w:vAlign w:val="top"/>
          </w:tcPr>
          <w:p>
            <w:pPr>
              <w:spacing w:before="228" w:line="286" w:lineRule="auto"/>
              <w:ind w:left="118" w:right="202" w:hanging="4"/>
              <w:rPr>
                <w:rFonts w:ascii="华文仿宋" w:hAnsi="华文仿宋" w:eastAsia="华文仿宋" w:cs="华文仿宋"/>
                <w:sz w:val="18"/>
                <w:szCs w:val="18"/>
              </w:rPr>
            </w:pPr>
            <w:r>
              <w:rPr>
                <w:rFonts w:ascii="华文仿宋" w:hAnsi="华文仿宋" w:eastAsia="华文仿宋" w:cs="华文仿宋"/>
                <w:spacing w:val="-1"/>
                <w:sz w:val="18"/>
                <w:szCs w:val="18"/>
              </w:rPr>
              <w:t>反映部门资产相关管理制度是否建</w:t>
            </w:r>
            <w:r>
              <w:rPr>
                <w:rFonts w:ascii="华文仿宋" w:hAnsi="华文仿宋" w:eastAsia="华文仿宋" w:cs="华文仿宋"/>
                <w:spacing w:val="-4"/>
                <w:sz w:val="18"/>
                <w:szCs w:val="18"/>
              </w:rPr>
              <w:t>立健全。</w:t>
            </w:r>
          </w:p>
          <w:p>
            <w:pPr>
              <w:spacing w:before="2" w:line="291" w:lineRule="auto"/>
              <w:ind w:left="116" w:right="257"/>
              <w:rPr>
                <w:rFonts w:ascii="华文仿宋" w:hAnsi="华文仿宋" w:eastAsia="华文仿宋" w:cs="华文仿宋"/>
                <w:sz w:val="18"/>
                <w:szCs w:val="18"/>
              </w:rPr>
            </w:pPr>
            <w:r>
              <w:rPr>
                <w:rFonts w:ascii="华文仿宋" w:hAnsi="华文仿宋" w:eastAsia="华文仿宋" w:cs="华文仿宋"/>
                <w:spacing w:val="-1"/>
                <w:sz w:val="18"/>
                <w:szCs w:val="18"/>
              </w:rPr>
              <w:t>1.是否已制定或具有相应的资产管</w:t>
            </w:r>
            <w:r>
              <w:rPr>
                <w:rFonts w:ascii="华文仿宋" w:hAnsi="华文仿宋" w:eastAsia="华文仿宋" w:cs="华文仿宋"/>
                <w:spacing w:val="-4"/>
                <w:sz w:val="18"/>
                <w:szCs w:val="18"/>
              </w:rPr>
              <w:t>理制度；</w:t>
            </w:r>
          </w:p>
        </w:tc>
        <w:tc>
          <w:tcPr>
            <w:tcW w:w="918" w:type="dxa"/>
            <w:vAlign w:val="top"/>
          </w:tcPr>
          <w:p>
            <w:pPr>
              <w:spacing w:line="314" w:lineRule="auto"/>
              <w:rPr>
                <w:rFonts w:ascii="Arial"/>
                <w:sz w:val="21"/>
              </w:rPr>
            </w:pPr>
          </w:p>
          <w:p>
            <w:pPr>
              <w:spacing w:line="315" w:lineRule="auto"/>
              <w:rPr>
                <w:rFonts w:ascii="Arial"/>
                <w:sz w:val="21"/>
              </w:rPr>
            </w:pPr>
          </w:p>
          <w:p>
            <w:pPr>
              <w:spacing w:before="65" w:line="199" w:lineRule="auto"/>
              <w:ind w:left="288"/>
              <w:rPr>
                <w:rFonts w:ascii="华文仿宋" w:hAnsi="华文仿宋" w:eastAsia="华文仿宋" w:cs="华文仿宋"/>
                <w:sz w:val="18"/>
                <w:szCs w:val="18"/>
              </w:rPr>
            </w:pPr>
            <w:r>
              <w:rPr>
                <w:rFonts w:ascii="华文仿宋" w:hAnsi="华文仿宋" w:eastAsia="华文仿宋" w:cs="华文仿宋"/>
                <w:spacing w:val="-6"/>
                <w:sz w:val="18"/>
                <w:szCs w:val="18"/>
              </w:rPr>
              <w:t>健全</w:t>
            </w:r>
          </w:p>
        </w:tc>
        <w:tc>
          <w:tcPr>
            <w:tcW w:w="2171" w:type="dxa"/>
            <w:vAlign w:val="top"/>
          </w:tcPr>
          <w:p>
            <w:pPr>
              <w:spacing w:before="71" w:line="272" w:lineRule="auto"/>
              <w:ind w:left="118" w:right="259" w:firstLine="8"/>
              <w:rPr>
                <w:rFonts w:ascii="华文仿宋" w:hAnsi="华文仿宋" w:eastAsia="华文仿宋" w:cs="华文仿宋"/>
                <w:sz w:val="18"/>
                <w:szCs w:val="18"/>
              </w:rPr>
            </w:pPr>
            <w:r>
              <w:rPr>
                <w:rFonts w:ascii="华文仿宋" w:hAnsi="华文仿宋" w:eastAsia="华文仿宋" w:cs="华文仿宋"/>
                <w:spacing w:val="-6"/>
                <w:sz w:val="18"/>
                <w:szCs w:val="18"/>
              </w:rPr>
              <w:t>资产管理制度健全，包</w:t>
            </w:r>
            <w:r>
              <w:rPr>
                <w:rFonts w:ascii="华文仿宋" w:hAnsi="华文仿宋" w:eastAsia="华文仿宋" w:cs="华文仿宋"/>
                <w:spacing w:val="-4"/>
                <w:sz w:val="18"/>
                <w:szCs w:val="18"/>
              </w:rPr>
              <w:t>括但不限于专人负责、</w:t>
            </w:r>
            <w:r>
              <w:rPr>
                <w:rFonts w:ascii="华文仿宋" w:hAnsi="华文仿宋" w:eastAsia="华文仿宋" w:cs="华文仿宋"/>
                <w:spacing w:val="-5"/>
                <w:sz w:val="18"/>
                <w:szCs w:val="18"/>
              </w:rPr>
              <w:t>验收入库、领用登记、</w:t>
            </w:r>
            <w:r>
              <w:rPr>
                <w:rFonts w:ascii="华文仿宋" w:hAnsi="华文仿宋" w:eastAsia="华文仿宋" w:cs="华文仿宋"/>
                <w:spacing w:val="-4"/>
                <w:sz w:val="18"/>
                <w:szCs w:val="18"/>
              </w:rPr>
              <w:t>资产盘点、清理报废等事项，得2分；制度缺</w:t>
            </w:r>
          </w:p>
        </w:tc>
        <w:tc>
          <w:tcPr>
            <w:tcW w:w="4007" w:type="dxa"/>
            <w:vAlign w:val="top"/>
          </w:tcPr>
          <w:p>
            <w:pPr>
              <w:spacing w:before="71" w:line="272" w:lineRule="auto"/>
              <w:ind w:left="117" w:right="114" w:firstLine="4"/>
              <w:rPr>
                <w:rFonts w:ascii="华文仿宋" w:hAnsi="华文仿宋" w:eastAsia="华文仿宋" w:cs="华文仿宋"/>
                <w:sz w:val="18"/>
                <w:szCs w:val="18"/>
              </w:rPr>
            </w:pPr>
            <w:r>
              <w:rPr>
                <w:rFonts w:ascii="华文仿宋" w:hAnsi="华文仿宋" w:eastAsia="华文仿宋" w:cs="华文仿宋"/>
                <w:spacing w:val="-3"/>
                <w:sz w:val="18"/>
                <w:szCs w:val="18"/>
              </w:rPr>
              <w:t>经审阅部门提供的各项管理制度等相关资料，区</w:t>
            </w:r>
            <w:r>
              <w:rPr>
                <w:rFonts w:ascii="华文仿宋" w:hAnsi="华文仿宋" w:eastAsia="华文仿宋" w:cs="华文仿宋"/>
                <w:sz w:val="18"/>
                <w:szCs w:val="18"/>
              </w:rPr>
              <w:t>民政局2025年制定了固定资产管理制度，资产</w:t>
            </w:r>
            <w:r>
              <w:rPr>
                <w:rFonts w:ascii="华文仿宋" w:hAnsi="华文仿宋" w:eastAsia="华文仿宋" w:cs="华文仿宋"/>
                <w:spacing w:val="-3"/>
                <w:sz w:val="18"/>
                <w:szCs w:val="18"/>
              </w:rPr>
              <w:t>管理制度健全，包括但不限于专人负责、验收入</w:t>
            </w:r>
            <w:r>
              <w:rPr>
                <w:rFonts w:ascii="华文仿宋" w:hAnsi="华文仿宋" w:eastAsia="华文仿宋" w:cs="华文仿宋"/>
                <w:spacing w:val="-6"/>
                <w:sz w:val="18"/>
                <w:szCs w:val="18"/>
              </w:rPr>
              <w:t>库、领用登记、资产盘点、清理报废等事项。依</w:t>
            </w:r>
            <w:r>
              <w:rPr>
                <w:rFonts w:ascii="华文仿宋" w:hAnsi="华文仿宋" w:eastAsia="华文仿宋" w:cs="华文仿宋"/>
                <w:spacing w:val="-3"/>
                <w:sz w:val="18"/>
                <w:szCs w:val="18"/>
              </w:rPr>
              <w:t>据评价标准，该指标得2分。</w:t>
            </w:r>
          </w:p>
        </w:tc>
        <w:tc>
          <w:tcPr>
            <w:tcW w:w="684" w:type="dxa"/>
            <w:vAlign w:val="top"/>
          </w:tcPr>
          <w:p>
            <w:pPr>
              <w:spacing w:line="326" w:lineRule="auto"/>
              <w:rPr>
                <w:rFonts w:ascii="Arial"/>
                <w:sz w:val="21"/>
              </w:rPr>
            </w:pPr>
          </w:p>
          <w:p>
            <w:pPr>
              <w:spacing w:line="327" w:lineRule="auto"/>
              <w:rPr>
                <w:rFonts w:ascii="Arial"/>
                <w:sz w:val="21"/>
              </w:rPr>
            </w:pPr>
          </w:p>
          <w:p>
            <w:pPr>
              <w:spacing w:before="65" w:line="177" w:lineRule="auto"/>
              <w:ind w:left="304"/>
              <w:rPr>
                <w:rFonts w:ascii="华文仿宋" w:hAnsi="华文仿宋" w:eastAsia="华文仿宋" w:cs="华文仿宋"/>
                <w:sz w:val="18"/>
                <w:szCs w:val="18"/>
              </w:rPr>
            </w:pPr>
            <w:r>
              <w:rPr>
                <w:rFonts w:ascii="华文仿宋" w:hAnsi="华文仿宋" w:eastAsia="华文仿宋" w:cs="华文仿宋"/>
                <w:sz w:val="18"/>
                <w:szCs w:val="18"/>
              </w:rPr>
              <w:t>2</w:t>
            </w:r>
          </w:p>
        </w:tc>
        <w:tc>
          <w:tcPr>
            <w:tcW w:w="832" w:type="dxa"/>
            <w:vAlign w:val="top"/>
          </w:tcPr>
          <w:p>
            <w:pPr>
              <w:spacing w:line="326" w:lineRule="auto"/>
              <w:rPr>
                <w:rFonts w:ascii="Arial"/>
                <w:sz w:val="21"/>
              </w:rPr>
            </w:pPr>
          </w:p>
          <w:p>
            <w:pPr>
              <w:spacing w:line="327" w:lineRule="auto"/>
              <w:rPr>
                <w:rFonts w:ascii="Arial"/>
                <w:sz w:val="21"/>
              </w:rPr>
            </w:pPr>
          </w:p>
          <w:p>
            <w:pPr>
              <w:spacing w:before="65"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bl>
    <w:p>
      <w:pPr>
        <w:pStyle w:val="2"/>
        <w:spacing w:line="218" w:lineRule="exact"/>
        <w:rPr>
          <w:sz w:val="19"/>
        </w:rPr>
      </w:pPr>
    </w:p>
    <w:p>
      <w:pPr>
        <w:spacing w:line="218" w:lineRule="exact"/>
        <w:rPr>
          <w:sz w:val="19"/>
          <w:szCs w:val="19"/>
        </w:rPr>
        <w:sectPr>
          <w:footerReference r:id="rId15" w:type="default"/>
          <w:pgSz w:w="16839" w:h="11906"/>
          <w:pgMar w:top="1012" w:right="595" w:bottom="1575" w:left="692" w:header="0" w:footer="1289" w:gutter="0"/>
          <w:pgNumType w:fmt="decimal"/>
          <w:cols w:space="720" w:num="1"/>
        </w:sectPr>
      </w:pPr>
    </w:p>
    <w:p>
      <w:pPr>
        <w:pStyle w:val="2"/>
        <w:spacing w:line="287" w:lineRule="auto"/>
      </w:pPr>
    </w:p>
    <w:p>
      <w:pPr>
        <w:spacing w:before="102" w:line="201" w:lineRule="auto"/>
        <w:ind w:left="140" w:firstLine="231" w:firstLineChars="100"/>
        <w:rPr>
          <w:rFonts w:hint="eastAsia" w:ascii="仿宋" w:hAnsi="仿宋" w:eastAsia="仿宋" w:cs="仿宋"/>
          <w:sz w:val="24"/>
          <w:szCs w:val="24"/>
        </w:rPr>
      </w:pPr>
      <w:r>
        <w:rPr>
          <w:rFonts w:hint="eastAsia" w:ascii="仿宋" w:hAnsi="仿宋" w:eastAsia="仿宋" w:cs="仿宋"/>
          <w:b/>
          <w:bCs/>
          <w:spacing w:val="-5"/>
          <w:sz w:val="24"/>
          <w:szCs w:val="24"/>
        </w:rPr>
        <w:t>附件一：部门整体绩效评价指标体系评分表</w:t>
      </w:r>
    </w:p>
    <w:p>
      <w:pPr>
        <w:spacing w:line="109" w:lineRule="exact"/>
      </w:pPr>
    </w:p>
    <w:tbl>
      <w:tblPr>
        <w:tblStyle w:val="7"/>
        <w:tblW w:w="155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999"/>
        <w:gridCol w:w="1167"/>
        <w:gridCol w:w="665"/>
        <w:gridCol w:w="3011"/>
        <w:gridCol w:w="918"/>
        <w:gridCol w:w="2171"/>
        <w:gridCol w:w="4007"/>
        <w:gridCol w:w="684"/>
        <w:gridCol w:w="8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6" w:hRule="atLeast"/>
        </w:trPr>
        <w:tc>
          <w:tcPr>
            <w:tcW w:w="1091" w:type="dxa"/>
            <w:vAlign w:val="top"/>
          </w:tcPr>
          <w:p>
            <w:pPr>
              <w:spacing w:before="112" w:line="199" w:lineRule="auto"/>
              <w:ind w:left="201"/>
              <w:rPr>
                <w:rFonts w:ascii="华文仿宋" w:hAnsi="华文仿宋" w:eastAsia="华文仿宋" w:cs="华文仿宋"/>
                <w:sz w:val="18"/>
                <w:szCs w:val="18"/>
              </w:rPr>
            </w:pPr>
            <w:r>
              <w:rPr>
                <w:rFonts w:ascii="华文仿宋" w:hAnsi="华文仿宋" w:eastAsia="华文仿宋" w:cs="华文仿宋"/>
                <w:b/>
                <w:bCs/>
                <w:spacing w:val="-7"/>
                <w:sz w:val="18"/>
                <w:szCs w:val="18"/>
              </w:rPr>
              <w:t>一级指标</w:t>
            </w:r>
          </w:p>
        </w:tc>
        <w:tc>
          <w:tcPr>
            <w:tcW w:w="999" w:type="dxa"/>
            <w:vAlign w:val="top"/>
          </w:tcPr>
          <w:p>
            <w:pPr>
              <w:spacing w:before="112" w:line="199" w:lineRule="auto"/>
              <w:ind w:left="152"/>
              <w:rPr>
                <w:rFonts w:ascii="华文仿宋" w:hAnsi="华文仿宋" w:eastAsia="华文仿宋" w:cs="华文仿宋"/>
                <w:sz w:val="18"/>
                <w:szCs w:val="18"/>
              </w:rPr>
            </w:pPr>
            <w:r>
              <w:rPr>
                <w:rFonts w:ascii="华文仿宋" w:hAnsi="华文仿宋" w:eastAsia="华文仿宋" w:cs="华文仿宋"/>
                <w:b/>
                <w:bCs/>
                <w:spacing w:val="-7"/>
                <w:sz w:val="18"/>
                <w:szCs w:val="18"/>
              </w:rPr>
              <w:t>二级指标</w:t>
            </w:r>
          </w:p>
        </w:tc>
        <w:tc>
          <w:tcPr>
            <w:tcW w:w="1167" w:type="dxa"/>
            <w:vAlign w:val="top"/>
          </w:tcPr>
          <w:p>
            <w:pPr>
              <w:spacing w:before="112" w:line="199" w:lineRule="auto"/>
              <w:ind w:left="241"/>
              <w:rPr>
                <w:rFonts w:ascii="华文仿宋" w:hAnsi="华文仿宋" w:eastAsia="华文仿宋" w:cs="华文仿宋"/>
                <w:sz w:val="18"/>
                <w:szCs w:val="18"/>
              </w:rPr>
            </w:pPr>
            <w:r>
              <w:rPr>
                <w:rFonts w:ascii="华文仿宋" w:hAnsi="华文仿宋" w:eastAsia="华文仿宋" w:cs="华文仿宋"/>
                <w:b/>
                <w:bCs/>
                <w:spacing w:val="-8"/>
                <w:sz w:val="18"/>
                <w:szCs w:val="18"/>
              </w:rPr>
              <w:t>三级指标</w:t>
            </w:r>
          </w:p>
        </w:tc>
        <w:tc>
          <w:tcPr>
            <w:tcW w:w="665" w:type="dxa"/>
            <w:vAlign w:val="top"/>
          </w:tcPr>
          <w:p>
            <w:pPr>
              <w:spacing w:before="113" w:line="198" w:lineRule="auto"/>
              <w:ind w:left="159"/>
              <w:rPr>
                <w:rFonts w:ascii="华文仿宋" w:hAnsi="华文仿宋" w:eastAsia="华文仿宋" w:cs="华文仿宋"/>
                <w:sz w:val="18"/>
                <w:szCs w:val="18"/>
              </w:rPr>
            </w:pPr>
            <w:r>
              <w:rPr>
                <w:rFonts w:ascii="华文仿宋" w:hAnsi="华文仿宋" w:eastAsia="华文仿宋" w:cs="华文仿宋"/>
                <w:b/>
                <w:bCs/>
                <w:spacing w:val="-7"/>
                <w:sz w:val="18"/>
                <w:szCs w:val="18"/>
              </w:rPr>
              <w:t>权重</w:t>
            </w:r>
          </w:p>
        </w:tc>
        <w:tc>
          <w:tcPr>
            <w:tcW w:w="3011" w:type="dxa"/>
            <w:vAlign w:val="top"/>
          </w:tcPr>
          <w:p>
            <w:pPr>
              <w:spacing w:before="112" w:line="199" w:lineRule="auto"/>
              <w:ind w:left="705"/>
              <w:rPr>
                <w:rFonts w:ascii="华文仿宋" w:hAnsi="华文仿宋" w:eastAsia="华文仿宋" w:cs="华文仿宋"/>
                <w:sz w:val="18"/>
                <w:szCs w:val="18"/>
              </w:rPr>
            </w:pPr>
            <w:r>
              <w:rPr>
                <w:rFonts w:ascii="华文仿宋" w:hAnsi="华文仿宋" w:eastAsia="华文仿宋" w:cs="华文仿宋"/>
                <w:b/>
                <w:bCs/>
                <w:spacing w:val="-4"/>
                <w:sz w:val="18"/>
                <w:szCs w:val="18"/>
              </w:rPr>
              <w:t>指标解释及评价要点</w:t>
            </w:r>
          </w:p>
        </w:tc>
        <w:tc>
          <w:tcPr>
            <w:tcW w:w="918" w:type="dxa"/>
            <w:vAlign w:val="top"/>
          </w:tcPr>
          <w:p>
            <w:pPr>
              <w:spacing w:before="112" w:line="199" w:lineRule="auto"/>
              <w:ind w:left="197"/>
              <w:rPr>
                <w:rFonts w:ascii="华文仿宋" w:hAnsi="华文仿宋" w:eastAsia="华文仿宋" w:cs="华文仿宋"/>
                <w:sz w:val="18"/>
                <w:szCs w:val="18"/>
              </w:rPr>
            </w:pPr>
            <w:r>
              <w:rPr>
                <w:rFonts w:ascii="华文仿宋" w:hAnsi="华文仿宋" w:eastAsia="华文仿宋" w:cs="华文仿宋"/>
                <w:b/>
                <w:bCs/>
                <w:spacing w:val="-6"/>
                <w:sz w:val="18"/>
                <w:szCs w:val="18"/>
              </w:rPr>
              <w:t>标杆值</w:t>
            </w:r>
          </w:p>
        </w:tc>
        <w:tc>
          <w:tcPr>
            <w:tcW w:w="2171" w:type="dxa"/>
            <w:vAlign w:val="top"/>
          </w:tcPr>
          <w:p>
            <w:pPr>
              <w:spacing w:before="112" w:line="199" w:lineRule="auto"/>
              <w:ind w:left="730"/>
              <w:rPr>
                <w:rFonts w:ascii="华文仿宋" w:hAnsi="华文仿宋" w:eastAsia="华文仿宋" w:cs="华文仿宋"/>
                <w:sz w:val="18"/>
                <w:szCs w:val="18"/>
              </w:rPr>
            </w:pPr>
            <w:r>
              <w:rPr>
                <w:rFonts w:ascii="华文仿宋" w:hAnsi="华文仿宋" w:eastAsia="华文仿宋" w:cs="华文仿宋"/>
                <w:b/>
                <w:bCs/>
                <w:spacing w:val="-4"/>
                <w:sz w:val="18"/>
                <w:szCs w:val="18"/>
              </w:rPr>
              <w:t>评价标准</w:t>
            </w:r>
          </w:p>
        </w:tc>
        <w:tc>
          <w:tcPr>
            <w:tcW w:w="4007" w:type="dxa"/>
            <w:vAlign w:val="top"/>
          </w:tcPr>
          <w:p>
            <w:pPr>
              <w:spacing w:before="113" w:line="198" w:lineRule="auto"/>
              <w:ind w:left="1648"/>
              <w:rPr>
                <w:rFonts w:ascii="华文仿宋" w:hAnsi="华文仿宋" w:eastAsia="华文仿宋" w:cs="华文仿宋"/>
                <w:sz w:val="18"/>
                <w:szCs w:val="18"/>
              </w:rPr>
            </w:pPr>
            <w:r>
              <w:rPr>
                <w:rFonts w:ascii="华文仿宋" w:hAnsi="华文仿宋" w:eastAsia="华文仿宋" w:cs="华文仿宋"/>
                <w:b/>
                <w:bCs/>
                <w:spacing w:val="-4"/>
                <w:sz w:val="18"/>
                <w:szCs w:val="18"/>
              </w:rPr>
              <w:t>评分过程</w:t>
            </w:r>
          </w:p>
        </w:tc>
        <w:tc>
          <w:tcPr>
            <w:tcW w:w="684" w:type="dxa"/>
            <w:vAlign w:val="top"/>
          </w:tcPr>
          <w:p>
            <w:pPr>
              <w:spacing w:before="114" w:line="197" w:lineRule="auto"/>
              <w:ind w:left="172"/>
              <w:rPr>
                <w:rFonts w:ascii="华文仿宋" w:hAnsi="华文仿宋" w:eastAsia="华文仿宋" w:cs="华文仿宋"/>
                <w:sz w:val="18"/>
                <w:szCs w:val="18"/>
              </w:rPr>
            </w:pPr>
            <w:r>
              <w:rPr>
                <w:rFonts w:ascii="华文仿宋" w:hAnsi="华文仿宋" w:eastAsia="华文仿宋" w:cs="华文仿宋"/>
                <w:b/>
                <w:bCs/>
                <w:spacing w:val="-8"/>
                <w:sz w:val="18"/>
                <w:szCs w:val="18"/>
              </w:rPr>
              <w:t>得分</w:t>
            </w:r>
          </w:p>
        </w:tc>
        <w:tc>
          <w:tcPr>
            <w:tcW w:w="832" w:type="dxa"/>
            <w:vAlign w:val="top"/>
          </w:tcPr>
          <w:p>
            <w:pPr>
              <w:spacing w:before="111" w:line="200" w:lineRule="auto"/>
              <w:ind w:left="152"/>
              <w:rPr>
                <w:rFonts w:ascii="华文仿宋" w:hAnsi="华文仿宋" w:eastAsia="华文仿宋" w:cs="华文仿宋"/>
                <w:sz w:val="18"/>
                <w:szCs w:val="18"/>
              </w:rPr>
            </w:pPr>
            <w:r>
              <w:rPr>
                <w:rFonts w:ascii="华文仿宋" w:hAnsi="华文仿宋" w:eastAsia="华文仿宋" w:cs="华文仿宋"/>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0" w:hRule="atLeast"/>
        </w:trPr>
        <w:tc>
          <w:tcPr>
            <w:tcW w:w="1091" w:type="dxa"/>
            <w:vAlign w:val="top"/>
          </w:tcPr>
          <w:p>
            <w:pPr>
              <w:rPr>
                <w:rFonts w:ascii="Arial"/>
                <w:sz w:val="21"/>
              </w:rPr>
            </w:pPr>
          </w:p>
        </w:tc>
        <w:tc>
          <w:tcPr>
            <w:tcW w:w="999" w:type="dxa"/>
            <w:vAlign w:val="top"/>
          </w:tcPr>
          <w:p>
            <w:pPr>
              <w:rPr>
                <w:rFonts w:ascii="Arial"/>
                <w:sz w:val="21"/>
              </w:rPr>
            </w:pPr>
          </w:p>
        </w:tc>
        <w:tc>
          <w:tcPr>
            <w:tcW w:w="1167" w:type="dxa"/>
            <w:vAlign w:val="top"/>
          </w:tcPr>
          <w:p>
            <w:pPr>
              <w:rPr>
                <w:rFonts w:ascii="Arial"/>
                <w:sz w:val="21"/>
              </w:rPr>
            </w:pPr>
          </w:p>
        </w:tc>
        <w:tc>
          <w:tcPr>
            <w:tcW w:w="665" w:type="dxa"/>
            <w:vAlign w:val="top"/>
          </w:tcPr>
          <w:p>
            <w:pPr>
              <w:rPr>
                <w:rFonts w:ascii="Arial"/>
                <w:sz w:val="21"/>
              </w:rPr>
            </w:pPr>
          </w:p>
        </w:tc>
        <w:tc>
          <w:tcPr>
            <w:tcW w:w="3011" w:type="dxa"/>
            <w:vAlign w:val="top"/>
          </w:tcPr>
          <w:p>
            <w:pPr>
              <w:spacing w:before="68" w:line="292" w:lineRule="auto"/>
              <w:ind w:left="121" w:right="294" w:hanging="14"/>
              <w:rPr>
                <w:rFonts w:ascii="华文仿宋" w:hAnsi="华文仿宋" w:eastAsia="华文仿宋" w:cs="华文仿宋"/>
                <w:sz w:val="18"/>
                <w:szCs w:val="18"/>
              </w:rPr>
            </w:pPr>
            <w:r>
              <w:rPr>
                <w:rFonts w:ascii="华文仿宋" w:hAnsi="华文仿宋" w:eastAsia="华文仿宋" w:cs="华文仿宋"/>
                <w:spacing w:val="-6"/>
                <w:sz w:val="18"/>
                <w:szCs w:val="18"/>
              </w:rPr>
              <w:t>2.资产管理制度是否合法、合规、</w:t>
            </w:r>
            <w:r>
              <w:rPr>
                <w:rFonts w:ascii="华文仿宋" w:hAnsi="华文仿宋" w:eastAsia="华文仿宋" w:cs="华文仿宋"/>
                <w:spacing w:val="-7"/>
                <w:sz w:val="18"/>
                <w:szCs w:val="18"/>
              </w:rPr>
              <w:t>完整。</w:t>
            </w:r>
          </w:p>
        </w:tc>
        <w:tc>
          <w:tcPr>
            <w:tcW w:w="918" w:type="dxa"/>
            <w:vAlign w:val="top"/>
          </w:tcPr>
          <w:p>
            <w:pPr>
              <w:rPr>
                <w:rFonts w:ascii="Arial"/>
                <w:sz w:val="21"/>
              </w:rPr>
            </w:pPr>
          </w:p>
        </w:tc>
        <w:tc>
          <w:tcPr>
            <w:tcW w:w="2171" w:type="dxa"/>
            <w:vAlign w:val="top"/>
          </w:tcPr>
          <w:p>
            <w:pPr>
              <w:spacing w:before="68" w:line="263" w:lineRule="auto"/>
              <w:ind w:left="119" w:right="238" w:firstLine="3"/>
              <w:jc w:val="both"/>
              <w:rPr>
                <w:rFonts w:ascii="华文仿宋" w:hAnsi="华文仿宋" w:eastAsia="华文仿宋" w:cs="华文仿宋"/>
                <w:sz w:val="18"/>
                <w:szCs w:val="18"/>
              </w:rPr>
            </w:pPr>
            <w:r>
              <w:rPr>
                <w:rFonts w:ascii="华文仿宋" w:hAnsi="华文仿宋" w:eastAsia="华文仿宋" w:cs="华文仿宋"/>
                <w:spacing w:val="-2"/>
                <w:sz w:val="18"/>
                <w:szCs w:val="18"/>
              </w:rPr>
              <w:t>失或制度存在明显缺陷</w:t>
            </w:r>
            <w:r>
              <w:rPr>
                <w:rFonts w:ascii="华文仿宋" w:hAnsi="华文仿宋" w:eastAsia="华文仿宋" w:cs="华文仿宋"/>
                <w:spacing w:val="-5"/>
                <w:sz w:val="18"/>
                <w:szCs w:val="18"/>
              </w:rPr>
              <w:t>每项扣0.50分，扣完为</w:t>
            </w:r>
            <w:r>
              <w:rPr>
                <w:rFonts w:ascii="华文仿宋" w:hAnsi="华文仿宋" w:eastAsia="华文仿宋" w:cs="华文仿宋"/>
                <w:spacing w:val="-2"/>
                <w:sz w:val="18"/>
                <w:szCs w:val="18"/>
              </w:rPr>
              <w:t>止；无制度不得分。</w:t>
            </w:r>
          </w:p>
        </w:tc>
        <w:tc>
          <w:tcPr>
            <w:tcW w:w="4007" w:type="dxa"/>
            <w:vAlign w:val="top"/>
          </w:tcPr>
          <w:p>
            <w:pPr>
              <w:rPr>
                <w:rFonts w:ascii="Arial"/>
                <w:sz w:val="21"/>
              </w:rPr>
            </w:pPr>
          </w:p>
        </w:tc>
        <w:tc>
          <w:tcPr>
            <w:tcW w:w="684" w:type="dxa"/>
            <w:vAlign w:val="top"/>
          </w:tcPr>
          <w:p>
            <w:pPr>
              <w:rPr>
                <w:rFonts w:ascii="Arial"/>
                <w:sz w:val="21"/>
              </w:rPr>
            </w:pPr>
          </w:p>
        </w:tc>
        <w:tc>
          <w:tcPr>
            <w:tcW w:w="83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54" w:hRule="atLeast"/>
        </w:trPr>
        <w:tc>
          <w:tcPr>
            <w:tcW w:w="1091" w:type="dxa"/>
            <w:vMerge w:val="restart"/>
            <w:tcBorders>
              <w:bottom w:val="nil"/>
            </w:tcBorders>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before="65" w:line="288" w:lineRule="auto"/>
              <w:ind w:left="306" w:right="182" w:hanging="109"/>
              <w:rPr>
                <w:rFonts w:ascii="华文仿宋" w:hAnsi="华文仿宋" w:eastAsia="华文仿宋" w:cs="华文仿宋"/>
                <w:sz w:val="18"/>
                <w:szCs w:val="18"/>
              </w:rPr>
            </w:pPr>
            <w:r>
              <w:rPr>
                <w:rFonts w:ascii="华文仿宋" w:hAnsi="华文仿宋" w:eastAsia="华文仿宋" w:cs="华文仿宋"/>
                <w:spacing w:val="-4"/>
                <w:sz w:val="18"/>
                <w:szCs w:val="18"/>
              </w:rPr>
              <w:t>部门管理</w:t>
            </w:r>
            <w:r>
              <w:rPr>
                <w:rFonts w:ascii="华文仿宋" w:hAnsi="华文仿宋" w:eastAsia="华文仿宋" w:cs="华文仿宋"/>
                <w:spacing w:val="-7"/>
                <w:sz w:val="18"/>
                <w:szCs w:val="18"/>
              </w:rPr>
              <w:t>（35）</w:t>
            </w:r>
          </w:p>
        </w:tc>
        <w:tc>
          <w:tcPr>
            <w:tcW w:w="999" w:type="dxa"/>
            <w:vMerge w:val="restart"/>
            <w:tcBorders>
              <w:bottom w:val="nil"/>
            </w:tcBorders>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before="66" w:line="199" w:lineRule="auto"/>
              <w:ind w:left="166"/>
              <w:rPr>
                <w:rFonts w:ascii="华文仿宋" w:hAnsi="华文仿宋" w:eastAsia="华文仿宋" w:cs="华文仿宋"/>
                <w:sz w:val="18"/>
                <w:szCs w:val="18"/>
              </w:rPr>
            </w:pPr>
            <w:r>
              <w:rPr>
                <w:rFonts w:ascii="华文仿宋" w:hAnsi="华文仿宋" w:eastAsia="华文仿宋" w:cs="华文仿宋"/>
                <w:spacing w:val="-9"/>
                <w:sz w:val="18"/>
                <w:szCs w:val="18"/>
              </w:rPr>
              <w:t>内部制度</w:t>
            </w:r>
          </w:p>
          <w:p>
            <w:pPr>
              <w:spacing w:before="94" w:line="199" w:lineRule="auto"/>
              <w:ind w:left="328"/>
              <w:rPr>
                <w:rFonts w:ascii="华文仿宋" w:hAnsi="华文仿宋" w:eastAsia="华文仿宋" w:cs="华文仿宋"/>
                <w:sz w:val="18"/>
                <w:szCs w:val="18"/>
              </w:rPr>
            </w:pPr>
            <w:r>
              <w:rPr>
                <w:rFonts w:ascii="华文仿宋" w:hAnsi="华文仿宋" w:eastAsia="华文仿宋" w:cs="华文仿宋"/>
                <w:spacing w:val="-8"/>
                <w:sz w:val="18"/>
                <w:szCs w:val="18"/>
              </w:rPr>
              <w:t>管理</w:t>
            </w:r>
          </w:p>
          <w:p>
            <w:pPr>
              <w:spacing w:before="57" w:line="283" w:lineRule="exact"/>
              <w:ind w:left="256"/>
              <w:rPr>
                <w:rFonts w:ascii="华文仿宋" w:hAnsi="华文仿宋" w:eastAsia="华文仿宋" w:cs="华文仿宋"/>
                <w:sz w:val="18"/>
                <w:szCs w:val="18"/>
              </w:rPr>
            </w:pPr>
            <w:r>
              <w:rPr>
                <w:rFonts w:ascii="华文仿宋" w:hAnsi="华文仿宋" w:eastAsia="华文仿宋" w:cs="华文仿宋"/>
                <w:spacing w:val="-7"/>
                <w:position w:val="3"/>
                <w:sz w:val="18"/>
                <w:szCs w:val="18"/>
              </w:rPr>
              <w:t>（21）</w:t>
            </w:r>
          </w:p>
        </w:tc>
        <w:tc>
          <w:tcPr>
            <w:tcW w:w="1167" w:type="dxa"/>
            <w:vAlign w:val="top"/>
          </w:tcPr>
          <w:p>
            <w:pPr>
              <w:spacing w:line="303" w:lineRule="auto"/>
              <w:rPr>
                <w:rFonts w:ascii="Arial"/>
                <w:sz w:val="21"/>
              </w:rPr>
            </w:pPr>
          </w:p>
          <w:p>
            <w:pPr>
              <w:spacing w:line="304" w:lineRule="auto"/>
              <w:rPr>
                <w:rFonts w:ascii="Arial"/>
                <w:sz w:val="21"/>
              </w:rPr>
            </w:pPr>
          </w:p>
          <w:p>
            <w:pPr>
              <w:spacing w:line="304" w:lineRule="auto"/>
              <w:rPr>
                <w:rFonts w:ascii="Arial"/>
                <w:sz w:val="21"/>
              </w:rPr>
            </w:pPr>
          </w:p>
          <w:p>
            <w:pPr>
              <w:spacing w:before="65" w:line="294" w:lineRule="auto"/>
              <w:ind w:left="413" w:right="133" w:hanging="255"/>
              <w:rPr>
                <w:rFonts w:ascii="华文仿宋" w:hAnsi="华文仿宋" w:eastAsia="华文仿宋" w:cs="华文仿宋"/>
                <w:sz w:val="18"/>
                <w:szCs w:val="18"/>
              </w:rPr>
            </w:pPr>
            <w:r>
              <w:rPr>
                <w:rFonts w:ascii="华文仿宋" w:hAnsi="华文仿宋" w:eastAsia="华文仿宋" w:cs="华文仿宋"/>
                <w:spacing w:val="-6"/>
                <w:sz w:val="18"/>
                <w:szCs w:val="18"/>
              </w:rPr>
              <w:t>固定资产利</w:t>
            </w:r>
            <w:r>
              <w:rPr>
                <w:rFonts w:ascii="华文仿宋" w:hAnsi="华文仿宋" w:eastAsia="华文仿宋" w:cs="华文仿宋"/>
                <w:spacing w:val="-8"/>
                <w:sz w:val="18"/>
                <w:szCs w:val="18"/>
              </w:rPr>
              <w:t>用率</w:t>
            </w:r>
          </w:p>
        </w:tc>
        <w:tc>
          <w:tcPr>
            <w:tcW w:w="665" w:type="dxa"/>
            <w:vAlign w:val="top"/>
          </w:tcPr>
          <w:p>
            <w:pPr>
              <w:spacing w:line="272"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before="66" w:line="177" w:lineRule="auto"/>
              <w:ind w:left="290"/>
              <w:rPr>
                <w:rFonts w:ascii="华文仿宋" w:hAnsi="华文仿宋" w:eastAsia="华文仿宋" w:cs="华文仿宋"/>
                <w:sz w:val="18"/>
                <w:szCs w:val="18"/>
              </w:rPr>
            </w:pPr>
            <w:r>
              <w:rPr>
                <w:rFonts w:ascii="华文仿宋" w:hAnsi="华文仿宋" w:eastAsia="华文仿宋" w:cs="华文仿宋"/>
                <w:sz w:val="18"/>
                <w:szCs w:val="18"/>
              </w:rPr>
              <w:t>2</w:t>
            </w:r>
          </w:p>
        </w:tc>
        <w:tc>
          <w:tcPr>
            <w:tcW w:w="3011" w:type="dxa"/>
            <w:vAlign w:val="top"/>
          </w:tcPr>
          <w:p>
            <w:pPr>
              <w:spacing w:line="300" w:lineRule="auto"/>
              <w:rPr>
                <w:rFonts w:ascii="Arial"/>
                <w:sz w:val="21"/>
              </w:rPr>
            </w:pPr>
          </w:p>
          <w:p>
            <w:pPr>
              <w:spacing w:line="300" w:lineRule="auto"/>
              <w:rPr>
                <w:rFonts w:ascii="Arial"/>
                <w:sz w:val="21"/>
              </w:rPr>
            </w:pPr>
          </w:p>
          <w:p>
            <w:pPr>
              <w:spacing w:before="65" w:line="286" w:lineRule="auto"/>
              <w:ind w:left="117" w:right="202" w:hanging="3"/>
              <w:rPr>
                <w:rFonts w:ascii="华文仿宋" w:hAnsi="华文仿宋" w:eastAsia="华文仿宋" w:cs="华文仿宋"/>
                <w:sz w:val="18"/>
                <w:szCs w:val="18"/>
              </w:rPr>
            </w:pPr>
            <w:r>
              <w:rPr>
                <w:rFonts w:ascii="华文仿宋" w:hAnsi="华文仿宋" w:eastAsia="华文仿宋" w:cs="华文仿宋"/>
                <w:spacing w:val="-1"/>
                <w:sz w:val="18"/>
                <w:szCs w:val="18"/>
              </w:rPr>
              <w:t>反映部门固定资产是否得到有效利</w:t>
            </w:r>
            <w:r>
              <w:rPr>
                <w:rFonts w:ascii="华文仿宋" w:hAnsi="华文仿宋" w:eastAsia="华文仿宋" w:cs="华文仿宋"/>
                <w:spacing w:val="-8"/>
                <w:sz w:val="18"/>
                <w:szCs w:val="18"/>
              </w:rPr>
              <w:t>用。</w:t>
            </w:r>
          </w:p>
          <w:p>
            <w:pPr>
              <w:spacing w:line="290" w:lineRule="auto"/>
              <w:ind w:left="117" w:right="250" w:firstLine="16"/>
              <w:rPr>
                <w:rFonts w:ascii="华文仿宋" w:hAnsi="华文仿宋" w:eastAsia="华文仿宋" w:cs="华文仿宋"/>
                <w:sz w:val="18"/>
                <w:szCs w:val="18"/>
              </w:rPr>
            </w:pPr>
            <w:r>
              <w:rPr>
                <w:rFonts w:ascii="华文仿宋" w:hAnsi="华文仿宋" w:eastAsia="华文仿宋" w:cs="华文仿宋"/>
                <w:spacing w:val="-4"/>
                <w:sz w:val="18"/>
                <w:szCs w:val="18"/>
              </w:rPr>
              <w:t>固定资产利用率=实际在用固定资产总额/所有固定资产总额×100%</w:t>
            </w:r>
          </w:p>
        </w:tc>
        <w:tc>
          <w:tcPr>
            <w:tcW w:w="918" w:type="dxa"/>
            <w:vAlign w:val="top"/>
          </w:tcPr>
          <w:p>
            <w:pPr>
              <w:spacing w:line="272" w:lineRule="auto"/>
              <w:rPr>
                <w:rFonts w:ascii="Arial"/>
                <w:sz w:val="21"/>
              </w:rPr>
            </w:pPr>
          </w:p>
          <w:p>
            <w:pPr>
              <w:spacing w:line="272" w:lineRule="auto"/>
              <w:rPr>
                <w:rFonts w:ascii="Arial"/>
                <w:sz w:val="21"/>
              </w:rPr>
            </w:pPr>
          </w:p>
          <w:p>
            <w:pPr>
              <w:spacing w:line="273" w:lineRule="auto"/>
              <w:rPr>
                <w:rFonts w:ascii="Arial"/>
                <w:sz w:val="21"/>
              </w:rPr>
            </w:pPr>
          </w:p>
          <w:p>
            <w:pPr>
              <w:spacing w:line="273" w:lineRule="auto"/>
              <w:rPr>
                <w:rFonts w:ascii="Arial"/>
                <w:sz w:val="21"/>
              </w:rPr>
            </w:pPr>
          </w:p>
          <w:p>
            <w:pPr>
              <w:spacing w:before="66" w:line="178" w:lineRule="auto"/>
              <w:ind w:left="239"/>
              <w:rPr>
                <w:rFonts w:ascii="华文仿宋" w:hAnsi="华文仿宋" w:eastAsia="华文仿宋" w:cs="华文仿宋"/>
                <w:sz w:val="18"/>
                <w:szCs w:val="18"/>
              </w:rPr>
            </w:pPr>
            <w:r>
              <w:rPr>
                <w:rFonts w:ascii="华文仿宋" w:hAnsi="华文仿宋" w:eastAsia="华文仿宋" w:cs="华文仿宋"/>
                <w:spacing w:val="-9"/>
                <w:sz w:val="18"/>
                <w:szCs w:val="18"/>
              </w:rPr>
              <w:t>≥95%</w:t>
            </w:r>
          </w:p>
        </w:tc>
        <w:tc>
          <w:tcPr>
            <w:tcW w:w="2171" w:type="dxa"/>
            <w:vAlign w:val="top"/>
          </w:tcPr>
          <w:p>
            <w:pPr>
              <w:spacing w:line="290" w:lineRule="auto"/>
              <w:rPr>
                <w:rFonts w:ascii="Arial"/>
                <w:sz w:val="21"/>
              </w:rPr>
            </w:pPr>
          </w:p>
          <w:p>
            <w:pPr>
              <w:spacing w:before="65" w:line="288" w:lineRule="auto"/>
              <w:ind w:left="120" w:right="125" w:firstLine="15"/>
              <w:rPr>
                <w:rFonts w:ascii="华文仿宋" w:hAnsi="华文仿宋" w:eastAsia="华文仿宋" w:cs="华文仿宋"/>
                <w:sz w:val="18"/>
                <w:szCs w:val="18"/>
              </w:rPr>
            </w:pPr>
            <w:r>
              <w:rPr>
                <w:rFonts w:ascii="华文仿宋" w:hAnsi="华文仿宋" w:eastAsia="华文仿宋" w:cs="华文仿宋"/>
                <w:spacing w:val="-3"/>
                <w:sz w:val="18"/>
                <w:szCs w:val="18"/>
              </w:rPr>
              <w:t>固定资产利用率≥95%得</w:t>
            </w:r>
            <w:r>
              <w:rPr>
                <w:rFonts w:ascii="华文仿宋" w:hAnsi="华文仿宋" w:eastAsia="华文仿宋" w:cs="华文仿宋"/>
                <w:spacing w:val="-2"/>
                <w:sz w:val="18"/>
                <w:szCs w:val="18"/>
              </w:rPr>
              <w:t>满分；小于或等于</w:t>
            </w:r>
          </w:p>
          <w:p>
            <w:pPr>
              <w:spacing w:before="3" w:line="287" w:lineRule="auto"/>
              <w:ind w:left="114" w:right="118" w:firstLine="3"/>
              <w:rPr>
                <w:rFonts w:ascii="华文仿宋" w:hAnsi="华文仿宋" w:eastAsia="华文仿宋" w:cs="华文仿宋"/>
                <w:sz w:val="18"/>
                <w:szCs w:val="18"/>
              </w:rPr>
            </w:pPr>
            <w:r>
              <w:rPr>
                <w:rFonts w:ascii="华文仿宋" w:hAnsi="华文仿宋" w:eastAsia="华文仿宋" w:cs="华文仿宋"/>
                <w:spacing w:val="-4"/>
                <w:sz w:val="18"/>
                <w:szCs w:val="18"/>
              </w:rPr>
              <w:t>85%，得0分;85%-95%之</w:t>
            </w:r>
            <w:r>
              <w:rPr>
                <w:rFonts w:ascii="华文仿宋" w:hAnsi="华文仿宋" w:eastAsia="华文仿宋" w:cs="华文仿宋"/>
                <w:spacing w:val="-8"/>
                <w:sz w:val="18"/>
                <w:szCs w:val="18"/>
              </w:rPr>
              <w:t>间的，用公式计算，得</w:t>
            </w:r>
            <w:r>
              <w:rPr>
                <w:rFonts w:ascii="华文仿宋" w:hAnsi="华文仿宋" w:eastAsia="华文仿宋" w:cs="华文仿宋"/>
                <w:spacing w:val="-4"/>
                <w:sz w:val="18"/>
                <w:szCs w:val="18"/>
              </w:rPr>
              <w:t>分=固定资产利用率×分</w:t>
            </w:r>
            <w:r>
              <w:rPr>
                <w:rFonts w:ascii="华文仿宋" w:hAnsi="华文仿宋" w:eastAsia="华文仿宋" w:cs="华文仿宋"/>
                <w:spacing w:val="-5"/>
                <w:sz w:val="18"/>
                <w:szCs w:val="18"/>
              </w:rPr>
              <w:t>值。</w:t>
            </w:r>
          </w:p>
        </w:tc>
        <w:tc>
          <w:tcPr>
            <w:tcW w:w="4007" w:type="dxa"/>
            <w:vAlign w:val="top"/>
          </w:tcPr>
          <w:p>
            <w:pPr>
              <w:spacing w:line="288" w:lineRule="auto"/>
              <w:rPr>
                <w:rFonts w:ascii="Arial"/>
                <w:sz w:val="21"/>
              </w:rPr>
            </w:pPr>
          </w:p>
          <w:p>
            <w:pPr>
              <w:spacing w:before="65" w:line="288" w:lineRule="auto"/>
              <w:ind w:left="114" w:right="114" w:firstLine="7"/>
              <w:rPr>
                <w:rFonts w:ascii="华文仿宋" w:hAnsi="华文仿宋" w:eastAsia="华文仿宋" w:cs="华文仿宋"/>
                <w:sz w:val="18"/>
                <w:szCs w:val="18"/>
              </w:rPr>
            </w:pPr>
            <w:r>
              <w:rPr>
                <w:rFonts w:ascii="华文仿宋" w:hAnsi="华文仿宋" w:eastAsia="华文仿宋" w:cs="华文仿宋"/>
                <w:spacing w:val="-1"/>
                <w:sz w:val="18"/>
                <w:szCs w:val="18"/>
              </w:rPr>
              <w:t>经审阅部门提供的资产清查报告及资产年报等相</w:t>
            </w:r>
            <w:r>
              <w:rPr>
                <w:rFonts w:ascii="华文仿宋" w:hAnsi="华文仿宋" w:eastAsia="华文仿宋" w:cs="华文仿宋"/>
                <w:sz w:val="18"/>
                <w:szCs w:val="18"/>
              </w:rPr>
              <w:t>关资料，区民政局2025年固定资产期末账面原</w:t>
            </w:r>
            <w:r>
              <w:rPr>
                <w:rFonts w:ascii="华文仿宋" w:hAnsi="华文仿宋" w:eastAsia="华文仿宋" w:cs="华文仿宋"/>
                <w:spacing w:val="-3"/>
                <w:sz w:val="18"/>
                <w:szCs w:val="18"/>
              </w:rPr>
              <w:t>值共计3033.65万元，实际在用固定资产总额共</w:t>
            </w:r>
            <w:r>
              <w:rPr>
                <w:rFonts w:ascii="华文仿宋" w:hAnsi="华文仿宋" w:eastAsia="华文仿宋" w:cs="华文仿宋"/>
                <w:spacing w:val="-4"/>
                <w:sz w:val="18"/>
                <w:szCs w:val="18"/>
              </w:rPr>
              <w:t>计3844.48万元，差额为待处置资产价值，依据计算公式，部门固定资产利用率为126.73%，超</w:t>
            </w:r>
            <w:r>
              <w:rPr>
                <w:rFonts w:ascii="华文仿宋" w:hAnsi="华文仿宋" w:eastAsia="华文仿宋" w:cs="华文仿宋"/>
                <w:spacing w:val="-5"/>
                <w:sz w:val="18"/>
                <w:szCs w:val="18"/>
              </w:rPr>
              <w:t>额完成。依据评价标准，该指标扣1分。</w:t>
            </w:r>
          </w:p>
        </w:tc>
        <w:tc>
          <w:tcPr>
            <w:tcW w:w="684" w:type="dxa"/>
            <w:vAlign w:val="top"/>
          </w:tcPr>
          <w:p>
            <w:pPr>
              <w:spacing w:line="272" w:lineRule="auto"/>
              <w:rPr>
                <w:rFonts w:ascii="Arial"/>
                <w:sz w:val="21"/>
              </w:rPr>
            </w:pPr>
          </w:p>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before="66" w:line="177" w:lineRule="auto"/>
              <w:ind w:left="313"/>
              <w:rPr>
                <w:rFonts w:ascii="华文仿宋" w:hAnsi="华文仿宋" w:eastAsia="华文仿宋" w:cs="华文仿宋"/>
                <w:sz w:val="18"/>
                <w:szCs w:val="18"/>
              </w:rPr>
            </w:pPr>
            <w:r>
              <w:rPr>
                <w:rFonts w:ascii="华文仿宋" w:hAnsi="华文仿宋" w:eastAsia="华文仿宋" w:cs="华文仿宋"/>
                <w:sz w:val="18"/>
                <w:szCs w:val="18"/>
              </w:rPr>
              <w:t>1</w:t>
            </w:r>
          </w:p>
        </w:tc>
        <w:tc>
          <w:tcPr>
            <w:tcW w:w="832" w:type="dxa"/>
            <w:vAlign w:val="top"/>
          </w:tcPr>
          <w:p>
            <w:pPr>
              <w:spacing w:line="272" w:lineRule="auto"/>
              <w:rPr>
                <w:rFonts w:ascii="Arial"/>
                <w:sz w:val="21"/>
              </w:rPr>
            </w:pPr>
          </w:p>
          <w:p>
            <w:pPr>
              <w:spacing w:line="272" w:lineRule="auto"/>
              <w:rPr>
                <w:rFonts w:ascii="Arial"/>
                <w:sz w:val="21"/>
              </w:rPr>
            </w:pPr>
          </w:p>
          <w:p>
            <w:pPr>
              <w:spacing w:line="273" w:lineRule="auto"/>
              <w:rPr>
                <w:rFonts w:ascii="Arial"/>
                <w:sz w:val="21"/>
              </w:rPr>
            </w:pPr>
          </w:p>
          <w:p>
            <w:pPr>
              <w:spacing w:line="273" w:lineRule="auto"/>
              <w:rPr>
                <w:rFonts w:ascii="Arial"/>
                <w:sz w:val="21"/>
              </w:rPr>
            </w:pPr>
          </w:p>
          <w:p>
            <w:pPr>
              <w:spacing w:before="66" w:line="178" w:lineRule="auto"/>
              <w:ind w:left="265"/>
              <w:rPr>
                <w:rFonts w:ascii="华文仿宋" w:hAnsi="华文仿宋" w:eastAsia="华文仿宋" w:cs="华文仿宋"/>
                <w:sz w:val="18"/>
                <w:szCs w:val="18"/>
              </w:rPr>
            </w:pPr>
            <w:r>
              <w:rPr>
                <w:rFonts w:ascii="华文仿宋" w:hAnsi="华文仿宋" w:eastAsia="华文仿宋" w:cs="华文仿宋"/>
                <w:spacing w:val="-4"/>
                <w:sz w:val="18"/>
                <w:szCs w:val="18"/>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66" w:hRule="atLeast"/>
        </w:trPr>
        <w:tc>
          <w:tcPr>
            <w:tcW w:w="1091" w:type="dxa"/>
            <w:vMerge w:val="continue"/>
            <w:tcBorders>
              <w:top w:val="nil"/>
            </w:tcBorders>
            <w:vAlign w:val="top"/>
          </w:tcPr>
          <w:p>
            <w:pPr>
              <w:rPr>
                <w:rFonts w:ascii="Arial"/>
                <w:sz w:val="21"/>
              </w:rPr>
            </w:pPr>
          </w:p>
        </w:tc>
        <w:tc>
          <w:tcPr>
            <w:tcW w:w="999" w:type="dxa"/>
            <w:vMerge w:val="continue"/>
            <w:tcBorders>
              <w:top w:val="nil"/>
            </w:tcBorders>
            <w:vAlign w:val="top"/>
          </w:tcPr>
          <w:p>
            <w:pPr>
              <w:rPr>
                <w:rFonts w:ascii="Arial"/>
                <w:sz w:val="21"/>
              </w:rPr>
            </w:pPr>
          </w:p>
        </w:tc>
        <w:tc>
          <w:tcPr>
            <w:tcW w:w="1167" w:type="dxa"/>
            <w:vAlign w:val="top"/>
          </w:tcPr>
          <w:p>
            <w:pPr>
              <w:spacing w:line="277" w:lineRule="auto"/>
              <w:rPr>
                <w:rFonts w:ascii="Arial"/>
                <w:sz w:val="21"/>
              </w:rPr>
            </w:pP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before="66" w:line="199" w:lineRule="auto"/>
              <w:ind w:left="142"/>
              <w:rPr>
                <w:rFonts w:ascii="华文仿宋" w:hAnsi="华文仿宋" w:eastAsia="华文仿宋" w:cs="华文仿宋"/>
                <w:sz w:val="18"/>
                <w:szCs w:val="18"/>
              </w:rPr>
            </w:pPr>
            <w:r>
              <w:rPr>
                <w:rFonts w:ascii="华文仿宋" w:hAnsi="华文仿宋" w:eastAsia="华文仿宋" w:cs="华文仿宋"/>
                <w:spacing w:val="-3"/>
                <w:sz w:val="18"/>
                <w:szCs w:val="18"/>
              </w:rPr>
              <w:t>政府采购制</w:t>
            </w:r>
          </w:p>
          <w:p>
            <w:pPr>
              <w:spacing w:before="94" w:line="199" w:lineRule="auto"/>
              <w:ind w:left="140"/>
              <w:rPr>
                <w:rFonts w:ascii="华文仿宋" w:hAnsi="华文仿宋" w:eastAsia="华文仿宋" w:cs="华文仿宋"/>
                <w:sz w:val="18"/>
                <w:szCs w:val="18"/>
              </w:rPr>
            </w:pPr>
            <w:r>
              <w:rPr>
                <w:rFonts w:ascii="华文仿宋" w:hAnsi="华文仿宋" w:eastAsia="华文仿宋" w:cs="华文仿宋"/>
                <w:spacing w:val="-3"/>
                <w:sz w:val="18"/>
                <w:szCs w:val="18"/>
              </w:rPr>
              <w:t>度执行有效</w:t>
            </w:r>
          </w:p>
          <w:p>
            <w:pPr>
              <w:spacing w:before="93" w:line="200" w:lineRule="auto"/>
              <w:ind w:left="506"/>
              <w:rPr>
                <w:rFonts w:ascii="华文仿宋" w:hAnsi="华文仿宋" w:eastAsia="华文仿宋" w:cs="华文仿宋"/>
                <w:sz w:val="18"/>
                <w:szCs w:val="18"/>
              </w:rPr>
            </w:pPr>
            <w:r>
              <w:rPr>
                <w:rFonts w:ascii="华文仿宋" w:hAnsi="华文仿宋" w:eastAsia="华文仿宋" w:cs="华文仿宋"/>
                <w:sz w:val="18"/>
                <w:szCs w:val="18"/>
              </w:rPr>
              <w:t>性</w:t>
            </w:r>
          </w:p>
        </w:tc>
        <w:tc>
          <w:tcPr>
            <w:tcW w:w="665" w:type="dxa"/>
            <w:vAlign w:val="top"/>
          </w:tcPr>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6" w:line="177" w:lineRule="auto"/>
              <w:ind w:left="290"/>
              <w:rPr>
                <w:rFonts w:ascii="华文仿宋" w:hAnsi="华文仿宋" w:eastAsia="华文仿宋" w:cs="华文仿宋"/>
                <w:sz w:val="18"/>
                <w:szCs w:val="18"/>
              </w:rPr>
            </w:pPr>
            <w:r>
              <w:rPr>
                <w:rFonts w:ascii="华文仿宋" w:hAnsi="华文仿宋" w:eastAsia="华文仿宋" w:cs="华文仿宋"/>
                <w:sz w:val="18"/>
                <w:szCs w:val="18"/>
              </w:rPr>
              <w:t>2</w:t>
            </w:r>
          </w:p>
        </w:tc>
        <w:tc>
          <w:tcPr>
            <w:tcW w:w="3011" w:type="dxa"/>
            <w:vAlign w:val="top"/>
          </w:tcPr>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before="66" w:line="286" w:lineRule="auto"/>
              <w:ind w:left="119" w:right="202" w:hanging="5"/>
              <w:rPr>
                <w:rFonts w:ascii="华文仿宋" w:hAnsi="华文仿宋" w:eastAsia="华文仿宋" w:cs="华文仿宋"/>
                <w:sz w:val="18"/>
                <w:szCs w:val="18"/>
              </w:rPr>
            </w:pPr>
            <w:r>
              <w:rPr>
                <w:rFonts w:ascii="华文仿宋" w:hAnsi="华文仿宋" w:eastAsia="华文仿宋" w:cs="华文仿宋"/>
                <w:spacing w:val="-1"/>
                <w:sz w:val="18"/>
                <w:szCs w:val="18"/>
              </w:rPr>
              <w:t>反映部门政府采购制度执行是否有</w:t>
            </w:r>
            <w:r>
              <w:rPr>
                <w:rFonts w:ascii="华文仿宋" w:hAnsi="华文仿宋" w:eastAsia="华文仿宋" w:cs="华文仿宋"/>
                <w:spacing w:val="-9"/>
                <w:sz w:val="18"/>
                <w:szCs w:val="18"/>
              </w:rPr>
              <w:t>效。</w:t>
            </w:r>
          </w:p>
          <w:p>
            <w:pPr>
              <w:spacing w:line="199" w:lineRule="auto"/>
              <w:ind w:left="117"/>
              <w:rPr>
                <w:rFonts w:ascii="华文仿宋" w:hAnsi="华文仿宋" w:eastAsia="华文仿宋" w:cs="华文仿宋"/>
                <w:sz w:val="18"/>
                <w:szCs w:val="18"/>
              </w:rPr>
            </w:pPr>
            <w:r>
              <w:rPr>
                <w:rFonts w:ascii="华文仿宋" w:hAnsi="华文仿宋" w:eastAsia="华文仿宋" w:cs="华文仿宋"/>
                <w:spacing w:val="-1"/>
                <w:sz w:val="18"/>
                <w:szCs w:val="18"/>
              </w:rPr>
              <w:t>1.是否按照政府采购目录执行；</w:t>
            </w:r>
          </w:p>
          <w:p>
            <w:pPr>
              <w:spacing w:before="94" w:line="199" w:lineRule="auto"/>
              <w:ind w:left="107"/>
              <w:rPr>
                <w:rFonts w:ascii="华文仿宋" w:hAnsi="华文仿宋" w:eastAsia="华文仿宋" w:cs="华文仿宋"/>
                <w:sz w:val="18"/>
                <w:szCs w:val="18"/>
              </w:rPr>
            </w:pPr>
            <w:r>
              <w:rPr>
                <w:rFonts w:ascii="华文仿宋" w:hAnsi="华文仿宋" w:eastAsia="华文仿宋" w:cs="华文仿宋"/>
                <w:spacing w:val="-1"/>
                <w:sz w:val="18"/>
                <w:szCs w:val="18"/>
              </w:rPr>
              <w:t>2.采购程序是否规范；</w:t>
            </w:r>
          </w:p>
          <w:p>
            <w:pPr>
              <w:spacing w:before="94" w:line="199" w:lineRule="auto"/>
              <w:ind w:left="112"/>
              <w:rPr>
                <w:rFonts w:ascii="华文仿宋" w:hAnsi="华文仿宋" w:eastAsia="华文仿宋" w:cs="华文仿宋"/>
                <w:sz w:val="18"/>
                <w:szCs w:val="18"/>
              </w:rPr>
            </w:pPr>
            <w:r>
              <w:rPr>
                <w:rFonts w:ascii="华文仿宋" w:hAnsi="华文仿宋" w:eastAsia="华文仿宋" w:cs="华文仿宋"/>
                <w:spacing w:val="-1"/>
                <w:sz w:val="18"/>
                <w:szCs w:val="18"/>
              </w:rPr>
              <w:t>3.政府采购执行是否有效控制。</w:t>
            </w:r>
          </w:p>
        </w:tc>
        <w:tc>
          <w:tcPr>
            <w:tcW w:w="918" w:type="dxa"/>
            <w:vAlign w:val="top"/>
          </w:tcPr>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5" w:line="294" w:lineRule="auto"/>
              <w:ind w:left="290" w:right="186" w:hanging="91"/>
              <w:rPr>
                <w:rFonts w:hint="eastAsia" w:ascii="华文仿宋" w:hAnsi="华文仿宋" w:eastAsia="华文仿宋" w:cs="华文仿宋"/>
                <w:sz w:val="18"/>
                <w:szCs w:val="18"/>
                <w:lang w:eastAsia="zh-CN"/>
              </w:rPr>
            </w:pPr>
            <w:r>
              <w:rPr>
                <w:rFonts w:hint="eastAsia" w:ascii="华文仿宋" w:hAnsi="华文仿宋" w:eastAsia="华文仿宋" w:cs="华文仿宋"/>
                <w:spacing w:val="-5"/>
                <w:sz w:val="18"/>
                <w:szCs w:val="18"/>
                <w:lang w:eastAsia="zh-CN"/>
              </w:rPr>
              <w:t>执行且有效</w:t>
            </w:r>
          </w:p>
        </w:tc>
        <w:tc>
          <w:tcPr>
            <w:tcW w:w="2171" w:type="dxa"/>
            <w:vAlign w:val="top"/>
          </w:tcPr>
          <w:p>
            <w:pPr>
              <w:spacing w:line="318" w:lineRule="auto"/>
              <w:rPr>
                <w:rFonts w:ascii="Arial"/>
                <w:sz w:val="21"/>
              </w:rPr>
            </w:pPr>
          </w:p>
          <w:p>
            <w:pPr>
              <w:spacing w:line="318" w:lineRule="auto"/>
              <w:rPr>
                <w:rFonts w:ascii="Arial"/>
                <w:sz w:val="21"/>
              </w:rPr>
            </w:pPr>
          </w:p>
          <w:p>
            <w:pPr>
              <w:spacing w:line="319" w:lineRule="auto"/>
              <w:rPr>
                <w:rFonts w:ascii="Arial"/>
                <w:sz w:val="21"/>
              </w:rPr>
            </w:pPr>
          </w:p>
          <w:p>
            <w:pPr>
              <w:spacing w:before="65" w:line="288" w:lineRule="auto"/>
              <w:ind w:left="119" w:right="259"/>
              <w:rPr>
                <w:rFonts w:ascii="华文仿宋" w:hAnsi="华文仿宋" w:eastAsia="华文仿宋" w:cs="华文仿宋"/>
                <w:sz w:val="18"/>
                <w:szCs w:val="18"/>
              </w:rPr>
            </w:pPr>
            <w:r>
              <w:rPr>
                <w:rFonts w:ascii="华文仿宋" w:hAnsi="华文仿宋" w:eastAsia="华文仿宋" w:cs="华文仿宋"/>
                <w:spacing w:val="-2"/>
                <w:sz w:val="18"/>
                <w:szCs w:val="18"/>
              </w:rPr>
              <w:t>政府采购符合全部评价</w:t>
            </w:r>
            <w:r>
              <w:rPr>
                <w:rFonts w:ascii="华文仿宋" w:hAnsi="华文仿宋" w:eastAsia="华文仿宋" w:cs="华文仿宋"/>
                <w:spacing w:val="-5"/>
                <w:sz w:val="18"/>
                <w:szCs w:val="18"/>
              </w:rPr>
              <w:t>要点得2分，每一项不</w:t>
            </w:r>
            <w:r>
              <w:rPr>
                <w:rFonts w:ascii="华文仿宋" w:hAnsi="华文仿宋" w:eastAsia="华文仿宋" w:cs="华文仿宋"/>
                <w:spacing w:val="-7"/>
                <w:sz w:val="18"/>
                <w:szCs w:val="18"/>
              </w:rPr>
              <w:t>符合扣1分，扣完为</w:t>
            </w:r>
          </w:p>
          <w:p>
            <w:pPr>
              <w:spacing w:line="193" w:lineRule="auto"/>
              <w:ind w:left="120"/>
              <w:rPr>
                <w:rFonts w:ascii="华文仿宋" w:hAnsi="华文仿宋" w:eastAsia="华文仿宋" w:cs="华文仿宋"/>
                <w:sz w:val="18"/>
                <w:szCs w:val="18"/>
              </w:rPr>
            </w:pPr>
            <w:r>
              <w:rPr>
                <w:rFonts w:ascii="华文仿宋" w:hAnsi="华文仿宋" w:eastAsia="华文仿宋" w:cs="华文仿宋"/>
                <w:spacing w:val="-8"/>
                <w:sz w:val="18"/>
                <w:szCs w:val="18"/>
              </w:rPr>
              <w:t>止。</w:t>
            </w:r>
          </w:p>
        </w:tc>
        <w:tc>
          <w:tcPr>
            <w:tcW w:w="4007" w:type="dxa"/>
            <w:vAlign w:val="top"/>
          </w:tcPr>
          <w:p>
            <w:pPr>
              <w:spacing w:before="246" w:line="201" w:lineRule="auto"/>
              <w:ind w:left="122"/>
              <w:rPr>
                <w:rFonts w:ascii="华文仿宋" w:hAnsi="华文仿宋" w:eastAsia="华文仿宋" w:cs="华文仿宋"/>
                <w:sz w:val="18"/>
                <w:szCs w:val="18"/>
              </w:rPr>
            </w:pPr>
            <w:r>
              <w:rPr>
                <w:rFonts w:ascii="华文仿宋" w:hAnsi="华文仿宋" w:eastAsia="华文仿宋" w:cs="华文仿宋"/>
                <w:spacing w:val="-2"/>
                <w:sz w:val="18"/>
                <w:szCs w:val="18"/>
              </w:rPr>
              <w:t>经审阅区财政局提供的政府采购申请、采购计</w:t>
            </w:r>
          </w:p>
          <w:p>
            <w:pPr>
              <w:spacing w:before="91" w:line="286" w:lineRule="auto"/>
              <w:ind w:left="119" w:right="114" w:firstLine="7"/>
              <w:rPr>
                <w:rFonts w:ascii="华文仿宋" w:hAnsi="华文仿宋" w:eastAsia="华文仿宋" w:cs="华文仿宋"/>
                <w:sz w:val="18"/>
                <w:szCs w:val="18"/>
              </w:rPr>
            </w:pPr>
            <w:r>
              <w:rPr>
                <w:rFonts w:ascii="华文仿宋" w:hAnsi="华文仿宋" w:eastAsia="华文仿宋" w:cs="华文仿宋"/>
                <w:spacing w:val="-4"/>
                <w:sz w:val="18"/>
                <w:szCs w:val="18"/>
              </w:rPr>
              <w:t>划、招标公示等相关资料，区民政局已按政府采购管理要求执行，且采购业务具有完整资料，包</w:t>
            </w:r>
            <w:r>
              <w:rPr>
                <w:rFonts w:ascii="华文仿宋" w:hAnsi="华文仿宋" w:eastAsia="华文仿宋" w:cs="华文仿宋"/>
                <w:spacing w:val="-3"/>
                <w:sz w:val="18"/>
                <w:szCs w:val="18"/>
              </w:rPr>
              <w:t>括采购申请单、政府采购计划审批单、会议纪</w:t>
            </w:r>
          </w:p>
          <w:p>
            <w:pPr>
              <w:spacing w:before="2" w:line="285" w:lineRule="auto"/>
              <w:ind w:left="117" w:right="114" w:firstLine="3"/>
              <w:rPr>
                <w:rFonts w:ascii="华文仿宋" w:hAnsi="华文仿宋" w:eastAsia="华文仿宋" w:cs="华文仿宋"/>
                <w:sz w:val="18"/>
                <w:szCs w:val="18"/>
              </w:rPr>
            </w:pPr>
            <w:r>
              <w:rPr>
                <w:rFonts w:ascii="华文仿宋" w:hAnsi="华文仿宋" w:eastAsia="华文仿宋" w:cs="华文仿宋"/>
                <w:spacing w:val="-6"/>
                <w:sz w:val="18"/>
                <w:szCs w:val="18"/>
              </w:rPr>
              <w:t>要、招标公示、中标通知、采购合同、采购验收</w:t>
            </w:r>
            <w:r>
              <w:rPr>
                <w:rFonts w:ascii="华文仿宋" w:hAnsi="华文仿宋" w:eastAsia="华文仿宋" w:cs="华文仿宋"/>
                <w:spacing w:val="-3"/>
                <w:sz w:val="18"/>
                <w:szCs w:val="18"/>
              </w:rPr>
              <w:t>单、采购备案登记表等，部门政府采购制度执行有效。2025年区民政局全年政府采购执行金额</w:t>
            </w:r>
          </w:p>
          <w:p>
            <w:pPr>
              <w:spacing w:before="1" w:line="291" w:lineRule="auto"/>
              <w:ind w:left="117" w:right="148"/>
              <w:rPr>
                <w:rFonts w:ascii="华文仿宋" w:hAnsi="华文仿宋" w:eastAsia="华文仿宋" w:cs="华文仿宋"/>
                <w:sz w:val="18"/>
                <w:szCs w:val="18"/>
              </w:rPr>
            </w:pPr>
            <w:r>
              <w:rPr>
                <w:rFonts w:ascii="华文仿宋" w:hAnsi="华文仿宋" w:eastAsia="华文仿宋" w:cs="华文仿宋"/>
                <w:spacing w:val="-4"/>
                <w:sz w:val="18"/>
                <w:szCs w:val="18"/>
              </w:rPr>
              <w:t>500.74万元，未超出政府采购计划，政府采购执行控制良好。依据评价标准，该指标得2分。</w:t>
            </w:r>
          </w:p>
        </w:tc>
        <w:tc>
          <w:tcPr>
            <w:tcW w:w="684" w:type="dxa"/>
            <w:vAlign w:val="top"/>
          </w:tcPr>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6" w:line="177" w:lineRule="auto"/>
              <w:ind w:left="304"/>
              <w:rPr>
                <w:rFonts w:ascii="华文仿宋" w:hAnsi="华文仿宋" w:eastAsia="华文仿宋" w:cs="华文仿宋"/>
                <w:sz w:val="18"/>
                <w:szCs w:val="18"/>
              </w:rPr>
            </w:pPr>
            <w:r>
              <w:rPr>
                <w:rFonts w:ascii="华文仿宋" w:hAnsi="华文仿宋" w:eastAsia="华文仿宋" w:cs="华文仿宋"/>
                <w:sz w:val="18"/>
                <w:szCs w:val="18"/>
              </w:rPr>
              <w:t>2</w:t>
            </w:r>
          </w:p>
        </w:tc>
        <w:tc>
          <w:tcPr>
            <w:tcW w:w="832" w:type="dxa"/>
            <w:vAlign w:val="top"/>
          </w:tcPr>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6"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bl>
    <w:p>
      <w:pPr>
        <w:pStyle w:val="2"/>
      </w:pPr>
    </w:p>
    <w:p>
      <w:pPr>
        <w:sectPr>
          <w:footerReference r:id="rId16" w:type="default"/>
          <w:pgSz w:w="16839" w:h="11906"/>
          <w:pgMar w:top="1012" w:right="595" w:bottom="1575" w:left="692" w:header="0" w:footer="1289" w:gutter="0"/>
          <w:pgNumType w:fmt="decimal"/>
          <w:cols w:space="720" w:num="1"/>
        </w:sectPr>
      </w:pPr>
    </w:p>
    <w:p>
      <w:pPr>
        <w:pStyle w:val="2"/>
        <w:spacing w:line="287" w:lineRule="auto"/>
      </w:pPr>
    </w:p>
    <w:p>
      <w:pPr>
        <w:spacing w:before="102" w:line="201" w:lineRule="auto"/>
        <w:ind w:left="140" w:firstLine="231" w:firstLineChars="100"/>
        <w:rPr>
          <w:rFonts w:hint="eastAsia" w:ascii="仿宋" w:hAnsi="仿宋" w:eastAsia="仿宋" w:cs="仿宋"/>
          <w:sz w:val="24"/>
          <w:szCs w:val="24"/>
        </w:rPr>
      </w:pPr>
      <w:r>
        <w:rPr>
          <w:rFonts w:hint="eastAsia" w:ascii="仿宋" w:hAnsi="仿宋" w:eastAsia="仿宋" w:cs="仿宋"/>
          <w:b/>
          <w:bCs/>
          <w:spacing w:val="-5"/>
          <w:sz w:val="24"/>
          <w:szCs w:val="24"/>
        </w:rPr>
        <w:t>附件一：部门整体绩效评价指标体系评分表</w:t>
      </w:r>
    </w:p>
    <w:p>
      <w:pPr>
        <w:spacing w:line="109" w:lineRule="exact"/>
      </w:pPr>
    </w:p>
    <w:tbl>
      <w:tblPr>
        <w:tblStyle w:val="7"/>
        <w:tblW w:w="155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999"/>
        <w:gridCol w:w="1167"/>
        <w:gridCol w:w="665"/>
        <w:gridCol w:w="3011"/>
        <w:gridCol w:w="918"/>
        <w:gridCol w:w="2171"/>
        <w:gridCol w:w="4007"/>
        <w:gridCol w:w="684"/>
        <w:gridCol w:w="8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6" w:hRule="atLeast"/>
        </w:trPr>
        <w:tc>
          <w:tcPr>
            <w:tcW w:w="1091" w:type="dxa"/>
            <w:vAlign w:val="top"/>
          </w:tcPr>
          <w:p>
            <w:pPr>
              <w:spacing w:before="112" w:line="199" w:lineRule="auto"/>
              <w:ind w:left="201"/>
              <w:rPr>
                <w:rFonts w:ascii="华文仿宋" w:hAnsi="华文仿宋" w:eastAsia="华文仿宋" w:cs="华文仿宋"/>
                <w:sz w:val="18"/>
                <w:szCs w:val="18"/>
              </w:rPr>
            </w:pPr>
            <w:r>
              <w:rPr>
                <w:rFonts w:ascii="华文仿宋" w:hAnsi="华文仿宋" w:eastAsia="华文仿宋" w:cs="华文仿宋"/>
                <w:b/>
                <w:bCs/>
                <w:spacing w:val="-7"/>
                <w:sz w:val="18"/>
                <w:szCs w:val="18"/>
              </w:rPr>
              <w:t>一级指标</w:t>
            </w:r>
          </w:p>
        </w:tc>
        <w:tc>
          <w:tcPr>
            <w:tcW w:w="999" w:type="dxa"/>
            <w:vAlign w:val="top"/>
          </w:tcPr>
          <w:p>
            <w:pPr>
              <w:spacing w:before="112" w:line="199" w:lineRule="auto"/>
              <w:ind w:left="152"/>
              <w:rPr>
                <w:rFonts w:ascii="华文仿宋" w:hAnsi="华文仿宋" w:eastAsia="华文仿宋" w:cs="华文仿宋"/>
                <w:sz w:val="18"/>
                <w:szCs w:val="18"/>
              </w:rPr>
            </w:pPr>
            <w:r>
              <w:rPr>
                <w:rFonts w:ascii="华文仿宋" w:hAnsi="华文仿宋" w:eastAsia="华文仿宋" w:cs="华文仿宋"/>
                <w:b/>
                <w:bCs/>
                <w:spacing w:val="-7"/>
                <w:sz w:val="18"/>
                <w:szCs w:val="18"/>
              </w:rPr>
              <w:t>二级指标</w:t>
            </w:r>
          </w:p>
        </w:tc>
        <w:tc>
          <w:tcPr>
            <w:tcW w:w="1167" w:type="dxa"/>
            <w:vAlign w:val="top"/>
          </w:tcPr>
          <w:p>
            <w:pPr>
              <w:spacing w:before="112" w:line="199" w:lineRule="auto"/>
              <w:ind w:left="241"/>
              <w:rPr>
                <w:rFonts w:ascii="华文仿宋" w:hAnsi="华文仿宋" w:eastAsia="华文仿宋" w:cs="华文仿宋"/>
                <w:sz w:val="18"/>
                <w:szCs w:val="18"/>
              </w:rPr>
            </w:pPr>
            <w:r>
              <w:rPr>
                <w:rFonts w:ascii="华文仿宋" w:hAnsi="华文仿宋" w:eastAsia="华文仿宋" w:cs="华文仿宋"/>
                <w:b/>
                <w:bCs/>
                <w:spacing w:val="-8"/>
                <w:sz w:val="18"/>
                <w:szCs w:val="18"/>
              </w:rPr>
              <w:t>三级指标</w:t>
            </w:r>
          </w:p>
        </w:tc>
        <w:tc>
          <w:tcPr>
            <w:tcW w:w="665" w:type="dxa"/>
            <w:vAlign w:val="top"/>
          </w:tcPr>
          <w:p>
            <w:pPr>
              <w:spacing w:before="113" w:line="198" w:lineRule="auto"/>
              <w:ind w:left="159"/>
              <w:rPr>
                <w:rFonts w:ascii="华文仿宋" w:hAnsi="华文仿宋" w:eastAsia="华文仿宋" w:cs="华文仿宋"/>
                <w:sz w:val="18"/>
                <w:szCs w:val="18"/>
              </w:rPr>
            </w:pPr>
            <w:r>
              <w:rPr>
                <w:rFonts w:ascii="华文仿宋" w:hAnsi="华文仿宋" w:eastAsia="华文仿宋" w:cs="华文仿宋"/>
                <w:b/>
                <w:bCs/>
                <w:spacing w:val="-7"/>
                <w:sz w:val="18"/>
                <w:szCs w:val="18"/>
              </w:rPr>
              <w:t>权重</w:t>
            </w:r>
          </w:p>
        </w:tc>
        <w:tc>
          <w:tcPr>
            <w:tcW w:w="3011" w:type="dxa"/>
            <w:vAlign w:val="top"/>
          </w:tcPr>
          <w:p>
            <w:pPr>
              <w:spacing w:before="112" w:line="199" w:lineRule="auto"/>
              <w:ind w:left="705"/>
              <w:rPr>
                <w:rFonts w:ascii="华文仿宋" w:hAnsi="华文仿宋" w:eastAsia="华文仿宋" w:cs="华文仿宋"/>
                <w:sz w:val="18"/>
                <w:szCs w:val="18"/>
              </w:rPr>
            </w:pPr>
            <w:r>
              <w:rPr>
                <w:rFonts w:ascii="华文仿宋" w:hAnsi="华文仿宋" w:eastAsia="华文仿宋" w:cs="华文仿宋"/>
                <w:b/>
                <w:bCs/>
                <w:spacing w:val="-4"/>
                <w:sz w:val="18"/>
                <w:szCs w:val="18"/>
              </w:rPr>
              <w:t>指标解释及评价要点</w:t>
            </w:r>
          </w:p>
        </w:tc>
        <w:tc>
          <w:tcPr>
            <w:tcW w:w="918" w:type="dxa"/>
            <w:vAlign w:val="top"/>
          </w:tcPr>
          <w:p>
            <w:pPr>
              <w:spacing w:before="112" w:line="199" w:lineRule="auto"/>
              <w:ind w:left="197"/>
              <w:rPr>
                <w:rFonts w:ascii="华文仿宋" w:hAnsi="华文仿宋" w:eastAsia="华文仿宋" w:cs="华文仿宋"/>
                <w:sz w:val="18"/>
                <w:szCs w:val="18"/>
              </w:rPr>
            </w:pPr>
            <w:r>
              <w:rPr>
                <w:rFonts w:ascii="华文仿宋" w:hAnsi="华文仿宋" w:eastAsia="华文仿宋" w:cs="华文仿宋"/>
                <w:b/>
                <w:bCs/>
                <w:spacing w:val="-6"/>
                <w:sz w:val="18"/>
                <w:szCs w:val="18"/>
              </w:rPr>
              <w:t>标杆值</w:t>
            </w:r>
          </w:p>
        </w:tc>
        <w:tc>
          <w:tcPr>
            <w:tcW w:w="2171" w:type="dxa"/>
            <w:vAlign w:val="top"/>
          </w:tcPr>
          <w:p>
            <w:pPr>
              <w:spacing w:before="112" w:line="199" w:lineRule="auto"/>
              <w:ind w:left="730"/>
              <w:rPr>
                <w:rFonts w:ascii="华文仿宋" w:hAnsi="华文仿宋" w:eastAsia="华文仿宋" w:cs="华文仿宋"/>
                <w:sz w:val="18"/>
                <w:szCs w:val="18"/>
              </w:rPr>
            </w:pPr>
            <w:r>
              <w:rPr>
                <w:rFonts w:ascii="华文仿宋" w:hAnsi="华文仿宋" w:eastAsia="华文仿宋" w:cs="华文仿宋"/>
                <w:b/>
                <w:bCs/>
                <w:spacing w:val="-4"/>
                <w:sz w:val="18"/>
                <w:szCs w:val="18"/>
              </w:rPr>
              <w:t>评价标准</w:t>
            </w:r>
          </w:p>
        </w:tc>
        <w:tc>
          <w:tcPr>
            <w:tcW w:w="4007" w:type="dxa"/>
            <w:vAlign w:val="top"/>
          </w:tcPr>
          <w:p>
            <w:pPr>
              <w:spacing w:before="113" w:line="198" w:lineRule="auto"/>
              <w:ind w:left="1648"/>
              <w:rPr>
                <w:rFonts w:ascii="华文仿宋" w:hAnsi="华文仿宋" w:eastAsia="华文仿宋" w:cs="华文仿宋"/>
                <w:sz w:val="18"/>
                <w:szCs w:val="18"/>
              </w:rPr>
            </w:pPr>
            <w:r>
              <w:rPr>
                <w:rFonts w:ascii="华文仿宋" w:hAnsi="华文仿宋" w:eastAsia="华文仿宋" w:cs="华文仿宋"/>
                <w:b/>
                <w:bCs/>
                <w:spacing w:val="-4"/>
                <w:sz w:val="18"/>
                <w:szCs w:val="18"/>
              </w:rPr>
              <w:t>评分过程</w:t>
            </w:r>
          </w:p>
        </w:tc>
        <w:tc>
          <w:tcPr>
            <w:tcW w:w="684" w:type="dxa"/>
            <w:vAlign w:val="top"/>
          </w:tcPr>
          <w:p>
            <w:pPr>
              <w:spacing w:before="114" w:line="197" w:lineRule="auto"/>
              <w:ind w:left="172"/>
              <w:rPr>
                <w:rFonts w:ascii="华文仿宋" w:hAnsi="华文仿宋" w:eastAsia="华文仿宋" w:cs="华文仿宋"/>
                <w:sz w:val="18"/>
                <w:szCs w:val="18"/>
              </w:rPr>
            </w:pPr>
            <w:r>
              <w:rPr>
                <w:rFonts w:ascii="华文仿宋" w:hAnsi="华文仿宋" w:eastAsia="华文仿宋" w:cs="华文仿宋"/>
                <w:b/>
                <w:bCs/>
                <w:spacing w:val="-8"/>
                <w:sz w:val="18"/>
                <w:szCs w:val="18"/>
              </w:rPr>
              <w:t>得分</w:t>
            </w:r>
          </w:p>
        </w:tc>
        <w:tc>
          <w:tcPr>
            <w:tcW w:w="832" w:type="dxa"/>
            <w:vAlign w:val="top"/>
          </w:tcPr>
          <w:p>
            <w:pPr>
              <w:spacing w:before="111" w:line="200" w:lineRule="auto"/>
              <w:ind w:left="152"/>
              <w:rPr>
                <w:rFonts w:ascii="华文仿宋" w:hAnsi="华文仿宋" w:eastAsia="华文仿宋" w:cs="华文仿宋"/>
                <w:sz w:val="18"/>
                <w:szCs w:val="18"/>
              </w:rPr>
            </w:pPr>
            <w:r>
              <w:rPr>
                <w:rFonts w:ascii="华文仿宋" w:hAnsi="华文仿宋" w:eastAsia="华文仿宋" w:cs="华文仿宋"/>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7" w:hRule="atLeast"/>
        </w:trPr>
        <w:tc>
          <w:tcPr>
            <w:tcW w:w="1091" w:type="dxa"/>
            <w:vMerge w:val="restart"/>
            <w:tcBorders>
              <w:bottom w:val="nil"/>
            </w:tcBorders>
            <w:vAlign w:val="top"/>
          </w:tcPr>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before="66" w:line="290" w:lineRule="auto"/>
              <w:ind w:left="306" w:right="182" w:hanging="109"/>
              <w:rPr>
                <w:rFonts w:ascii="华文仿宋" w:hAnsi="华文仿宋" w:eastAsia="华文仿宋" w:cs="华文仿宋"/>
                <w:sz w:val="18"/>
                <w:szCs w:val="18"/>
              </w:rPr>
            </w:pPr>
            <w:r>
              <w:rPr>
                <w:rFonts w:ascii="华文仿宋" w:hAnsi="华文仿宋" w:eastAsia="华文仿宋" w:cs="华文仿宋"/>
                <w:spacing w:val="-4"/>
                <w:sz w:val="18"/>
                <w:szCs w:val="18"/>
              </w:rPr>
              <w:t>部门绩效</w:t>
            </w:r>
            <w:r>
              <w:rPr>
                <w:rFonts w:ascii="华文仿宋" w:hAnsi="华文仿宋" w:eastAsia="华文仿宋" w:cs="华文仿宋"/>
                <w:spacing w:val="-7"/>
                <w:sz w:val="18"/>
                <w:szCs w:val="18"/>
              </w:rPr>
              <w:t>（50）</w:t>
            </w:r>
          </w:p>
        </w:tc>
        <w:tc>
          <w:tcPr>
            <w:tcW w:w="999" w:type="dxa"/>
            <w:vMerge w:val="restart"/>
            <w:tcBorders>
              <w:bottom w:val="nil"/>
            </w:tcBorders>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before="65" w:line="197" w:lineRule="auto"/>
              <w:ind w:left="147"/>
              <w:rPr>
                <w:rFonts w:ascii="华文仿宋" w:hAnsi="华文仿宋" w:eastAsia="华文仿宋" w:cs="华文仿宋"/>
                <w:sz w:val="18"/>
                <w:szCs w:val="18"/>
              </w:rPr>
            </w:pPr>
            <w:r>
              <w:rPr>
                <w:rFonts w:ascii="华文仿宋" w:hAnsi="华文仿宋" w:eastAsia="华文仿宋" w:cs="华文仿宋"/>
                <w:spacing w:val="-4"/>
                <w:sz w:val="18"/>
                <w:szCs w:val="18"/>
              </w:rPr>
              <w:t>部门履职</w:t>
            </w:r>
          </w:p>
          <w:p>
            <w:pPr>
              <w:spacing w:before="92" w:line="201" w:lineRule="auto"/>
              <w:ind w:left="333"/>
              <w:rPr>
                <w:rFonts w:ascii="华文仿宋" w:hAnsi="华文仿宋" w:eastAsia="华文仿宋" w:cs="华文仿宋"/>
                <w:sz w:val="18"/>
                <w:szCs w:val="18"/>
              </w:rPr>
            </w:pPr>
            <w:r>
              <w:rPr>
                <w:rFonts w:ascii="华文仿宋" w:hAnsi="华文仿宋" w:eastAsia="华文仿宋" w:cs="华文仿宋"/>
                <w:spacing w:val="-10"/>
                <w:sz w:val="18"/>
                <w:szCs w:val="18"/>
              </w:rPr>
              <w:t>情况</w:t>
            </w:r>
          </w:p>
          <w:p>
            <w:pPr>
              <w:spacing w:before="57" w:line="283" w:lineRule="exact"/>
              <w:ind w:left="300"/>
              <w:rPr>
                <w:rFonts w:ascii="华文仿宋" w:hAnsi="华文仿宋" w:eastAsia="华文仿宋" w:cs="华文仿宋"/>
                <w:sz w:val="18"/>
                <w:szCs w:val="18"/>
              </w:rPr>
            </w:pPr>
            <w:r>
              <w:rPr>
                <w:rFonts w:ascii="华文仿宋" w:hAnsi="华文仿宋" w:eastAsia="华文仿宋" w:cs="华文仿宋"/>
                <w:spacing w:val="-9"/>
                <w:position w:val="3"/>
                <w:sz w:val="18"/>
                <w:szCs w:val="18"/>
              </w:rPr>
              <w:t>（5）</w:t>
            </w:r>
          </w:p>
        </w:tc>
        <w:tc>
          <w:tcPr>
            <w:tcW w:w="1167" w:type="dxa"/>
            <w:vAlign w:val="top"/>
          </w:tcPr>
          <w:p>
            <w:pPr>
              <w:spacing w:line="312" w:lineRule="auto"/>
              <w:rPr>
                <w:rFonts w:ascii="Arial"/>
                <w:sz w:val="21"/>
              </w:rPr>
            </w:pPr>
          </w:p>
          <w:p>
            <w:pPr>
              <w:spacing w:line="313" w:lineRule="auto"/>
              <w:rPr>
                <w:rFonts w:ascii="Arial"/>
                <w:sz w:val="21"/>
              </w:rPr>
            </w:pPr>
          </w:p>
          <w:p>
            <w:pPr>
              <w:spacing w:before="65" w:line="200" w:lineRule="auto"/>
              <w:ind w:left="143"/>
              <w:rPr>
                <w:rFonts w:ascii="华文仿宋" w:hAnsi="华文仿宋" w:eastAsia="华文仿宋" w:cs="华文仿宋"/>
                <w:sz w:val="18"/>
                <w:szCs w:val="18"/>
              </w:rPr>
            </w:pPr>
            <w:r>
              <w:rPr>
                <w:rFonts w:ascii="华文仿宋" w:hAnsi="华文仿宋" w:eastAsia="华文仿宋" w:cs="华文仿宋"/>
                <w:spacing w:val="-3"/>
                <w:sz w:val="18"/>
                <w:szCs w:val="18"/>
              </w:rPr>
              <w:t>预算绩效管</w:t>
            </w:r>
          </w:p>
          <w:p>
            <w:pPr>
              <w:spacing w:before="94" w:line="199" w:lineRule="auto"/>
              <w:ind w:left="141"/>
              <w:rPr>
                <w:rFonts w:ascii="华文仿宋" w:hAnsi="华文仿宋" w:eastAsia="华文仿宋" w:cs="华文仿宋"/>
                <w:sz w:val="18"/>
                <w:szCs w:val="18"/>
              </w:rPr>
            </w:pPr>
            <w:r>
              <w:rPr>
                <w:rFonts w:ascii="华文仿宋" w:hAnsi="华文仿宋" w:eastAsia="华文仿宋" w:cs="华文仿宋"/>
                <w:spacing w:val="-3"/>
                <w:sz w:val="18"/>
                <w:szCs w:val="18"/>
              </w:rPr>
              <w:t>理制度健全</w:t>
            </w:r>
          </w:p>
          <w:p>
            <w:pPr>
              <w:spacing w:before="93" w:line="200" w:lineRule="auto"/>
              <w:ind w:left="506"/>
              <w:rPr>
                <w:rFonts w:ascii="华文仿宋" w:hAnsi="华文仿宋" w:eastAsia="华文仿宋" w:cs="华文仿宋"/>
                <w:sz w:val="18"/>
                <w:szCs w:val="18"/>
              </w:rPr>
            </w:pPr>
            <w:r>
              <w:rPr>
                <w:rFonts w:ascii="华文仿宋" w:hAnsi="华文仿宋" w:eastAsia="华文仿宋" w:cs="华文仿宋"/>
                <w:sz w:val="18"/>
                <w:szCs w:val="18"/>
              </w:rPr>
              <w:t>性</w:t>
            </w:r>
          </w:p>
        </w:tc>
        <w:tc>
          <w:tcPr>
            <w:tcW w:w="665" w:type="dxa"/>
            <w:vAlign w:val="top"/>
          </w:tcPr>
          <w:p>
            <w:pPr>
              <w:rPr>
                <w:rFonts w:ascii="Arial"/>
                <w:sz w:val="21"/>
              </w:rPr>
            </w:pPr>
          </w:p>
          <w:p>
            <w:pPr>
              <w:rPr>
                <w:rFonts w:ascii="Arial"/>
                <w:sz w:val="21"/>
              </w:rPr>
            </w:pPr>
          </w:p>
          <w:p>
            <w:pPr>
              <w:rPr>
                <w:rFonts w:ascii="Arial"/>
                <w:sz w:val="21"/>
              </w:rPr>
            </w:pPr>
          </w:p>
          <w:p>
            <w:pPr>
              <w:rPr>
                <w:rFonts w:ascii="Arial"/>
                <w:sz w:val="21"/>
              </w:rPr>
            </w:pPr>
          </w:p>
          <w:p>
            <w:pPr>
              <w:spacing w:before="65" w:line="177" w:lineRule="auto"/>
              <w:ind w:left="290"/>
              <w:rPr>
                <w:rFonts w:ascii="华文仿宋" w:hAnsi="华文仿宋" w:eastAsia="华文仿宋" w:cs="华文仿宋"/>
                <w:sz w:val="18"/>
                <w:szCs w:val="18"/>
              </w:rPr>
            </w:pPr>
            <w:r>
              <w:rPr>
                <w:rFonts w:ascii="华文仿宋" w:hAnsi="华文仿宋" w:eastAsia="华文仿宋" w:cs="华文仿宋"/>
                <w:sz w:val="18"/>
                <w:szCs w:val="18"/>
              </w:rPr>
              <w:t>2</w:t>
            </w:r>
          </w:p>
        </w:tc>
        <w:tc>
          <w:tcPr>
            <w:tcW w:w="3011" w:type="dxa"/>
            <w:vAlign w:val="top"/>
          </w:tcPr>
          <w:p>
            <w:pPr>
              <w:spacing w:line="315" w:lineRule="auto"/>
              <w:rPr>
                <w:rFonts w:ascii="Arial"/>
                <w:sz w:val="21"/>
              </w:rPr>
            </w:pPr>
          </w:p>
          <w:p>
            <w:pPr>
              <w:spacing w:before="66" w:line="288" w:lineRule="auto"/>
              <w:ind w:left="114" w:right="202"/>
              <w:jc w:val="both"/>
              <w:rPr>
                <w:rFonts w:ascii="华文仿宋" w:hAnsi="华文仿宋" w:eastAsia="华文仿宋" w:cs="华文仿宋"/>
                <w:sz w:val="18"/>
                <w:szCs w:val="18"/>
              </w:rPr>
            </w:pPr>
            <w:r>
              <w:rPr>
                <w:rFonts w:ascii="华文仿宋" w:hAnsi="华文仿宋" w:eastAsia="华文仿宋" w:cs="华文仿宋"/>
                <w:spacing w:val="-1"/>
                <w:sz w:val="18"/>
                <w:szCs w:val="18"/>
              </w:rPr>
              <w:t>反映部门是否按照全过程预算绩效管理的要求制定了预算绩效管理制</w:t>
            </w:r>
            <w:r>
              <w:rPr>
                <w:rFonts w:ascii="华文仿宋" w:hAnsi="华文仿宋" w:eastAsia="华文仿宋" w:cs="华文仿宋"/>
                <w:spacing w:val="-3"/>
                <w:sz w:val="18"/>
                <w:szCs w:val="18"/>
              </w:rPr>
              <w:t>度。1.是否已制定或具有相应的预</w:t>
            </w:r>
            <w:r>
              <w:rPr>
                <w:rFonts w:ascii="华文仿宋" w:hAnsi="华文仿宋" w:eastAsia="华文仿宋" w:cs="华文仿宋"/>
                <w:spacing w:val="-1"/>
                <w:sz w:val="18"/>
                <w:szCs w:val="18"/>
              </w:rPr>
              <w:t>算绩效管理制度；2.预算绩效管理</w:t>
            </w:r>
            <w:r>
              <w:rPr>
                <w:rFonts w:ascii="华文仿宋" w:hAnsi="华文仿宋" w:eastAsia="华文仿宋" w:cs="华文仿宋"/>
                <w:spacing w:val="-4"/>
                <w:sz w:val="18"/>
                <w:szCs w:val="18"/>
              </w:rPr>
              <w:t>制度是否合法、合规、完整。</w:t>
            </w:r>
          </w:p>
        </w:tc>
        <w:tc>
          <w:tcPr>
            <w:tcW w:w="918" w:type="dxa"/>
            <w:vAlign w:val="top"/>
          </w:tcPr>
          <w:p>
            <w:pPr>
              <w:spacing w:line="312" w:lineRule="auto"/>
              <w:rPr>
                <w:rFonts w:ascii="Arial"/>
                <w:sz w:val="21"/>
              </w:rPr>
            </w:pPr>
          </w:p>
          <w:p>
            <w:pPr>
              <w:spacing w:line="312" w:lineRule="auto"/>
              <w:rPr>
                <w:rFonts w:ascii="Arial"/>
                <w:sz w:val="21"/>
              </w:rPr>
            </w:pPr>
          </w:p>
          <w:p>
            <w:pPr>
              <w:spacing w:line="312" w:lineRule="auto"/>
              <w:rPr>
                <w:rFonts w:ascii="Arial"/>
                <w:sz w:val="21"/>
              </w:rPr>
            </w:pPr>
          </w:p>
          <w:p>
            <w:pPr>
              <w:spacing w:before="65" w:line="199" w:lineRule="auto"/>
              <w:ind w:left="288"/>
              <w:rPr>
                <w:rFonts w:ascii="华文仿宋" w:hAnsi="华文仿宋" w:eastAsia="华文仿宋" w:cs="华文仿宋"/>
                <w:sz w:val="18"/>
                <w:szCs w:val="18"/>
              </w:rPr>
            </w:pPr>
            <w:r>
              <w:rPr>
                <w:rFonts w:ascii="华文仿宋" w:hAnsi="华文仿宋" w:eastAsia="华文仿宋" w:cs="华文仿宋"/>
                <w:spacing w:val="-6"/>
                <w:sz w:val="18"/>
                <w:szCs w:val="18"/>
              </w:rPr>
              <w:t>健全</w:t>
            </w:r>
          </w:p>
        </w:tc>
        <w:tc>
          <w:tcPr>
            <w:tcW w:w="2171" w:type="dxa"/>
            <w:vAlign w:val="top"/>
          </w:tcPr>
          <w:p>
            <w:pPr>
              <w:spacing w:before="69" w:line="277" w:lineRule="auto"/>
              <w:ind w:left="121" w:right="209" w:hanging="5"/>
              <w:rPr>
                <w:rFonts w:ascii="华文仿宋" w:hAnsi="华文仿宋" w:eastAsia="华文仿宋" w:cs="华文仿宋"/>
                <w:sz w:val="18"/>
                <w:szCs w:val="18"/>
              </w:rPr>
            </w:pPr>
            <w:r>
              <w:rPr>
                <w:rFonts w:ascii="华文仿宋" w:hAnsi="华文仿宋" w:eastAsia="华文仿宋" w:cs="华文仿宋"/>
                <w:spacing w:val="-2"/>
                <w:sz w:val="18"/>
                <w:szCs w:val="18"/>
              </w:rPr>
              <w:t>按照要求制定全过程预算绩效管理制度(事前绩</w:t>
            </w:r>
            <w:r>
              <w:rPr>
                <w:rFonts w:ascii="华文仿宋" w:hAnsi="华文仿宋" w:eastAsia="华文仿宋" w:cs="华文仿宋"/>
                <w:spacing w:val="-4"/>
                <w:sz w:val="18"/>
                <w:szCs w:val="18"/>
              </w:rPr>
              <w:t>效评估、绩效目标管</w:t>
            </w:r>
          </w:p>
          <w:p>
            <w:pPr>
              <w:spacing w:before="29" w:line="268" w:lineRule="auto"/>
              <w:ind w:left="112" w:right="214" w:firstLine="7"/>
              <w:rPr>
                <w:rFonts w:ascii="华文仿宋" w:hAnsi="华文仿宋" w:eastAsia="华文仿宋" w:cs="华文仿宋"/>
                <w:sz w:val="18"/>
                <w:szCs w:val="18"/>
              </w:rPr>
            </w:pPr>
            <w:r>
              <w:rPr>
                <w:rFonts w:ascii="华文仿宋" w:hAnsi="华文仿宋" w:eastAsia="华文仿宋" w:cs="华文仿宋"/>
                <w:spacing w:val="-5"/>
                <w:sz w:val="18"/>
                <w:szCs w:val="18"/>
              </w:rPr>
              <w:t>理、绩效监控管理、绩</w:t>
            </w:r>
            <w:r>
              <w:rPr>
                <w:rFonts w:ascii="华文仿宋" w:hAnsi="华文仿宋" w:eastAsia="华文仿宋" w:cs="华文仿宋"/>
                <w:spacing w:val="-3"/>
                <w:sz w:val="18"/>
                <w:szCs w:val="18"/>
              </w:rPr>
              <w:t>效评价管理、绩效评价</w:t>
            </w:r>
            <w:r>
              <w:rPr>
                <w:rFonts w:ascii="华文仿宋" w:hAnsi="华文仿宋" w:eastAsia="华文仿宋" w:cs="华文仿宋"/>
                <w:spacing w:val="-7"/>
                <w:sz w:val="18"/>
                <w:szCs w:val="18"/>
              </w:rPr>
              <w:t>结果应用)，缺少1项扣</w:t>
            </w:r>
            <w:r>
              <w:rPr>
                <w:rFonts w:ascii="华文仿宋" w:hAnsi="华文仿宋" w:eastAsia="华文仿宋" w:cs="华文仿宋"/>
                <w:spacing w:val="-4"/>
                <w:sz w:val="18"/>
                <w:szCs w:val="18"/>
              </w:rPr>
              <w:t>0.50分，扣完为止。</w:t>
            </w:r>
          </w:p>
        </w:tc>
        <w:tc>
          <w:tcPr>
            <w:tcW w:w="4007" w:type="dxa"/>
            <w:vAlign w:val="top"/>
          </w:tcPr>
          <w:p>
            <w:pPr>
              <w:spacing w:line="313" w:lineRule="auto"/>
              <w:rPr>
                <w:rFonts w:ascii="Arial"/>
                <w:sz w:val="21"/>
              </w:rPr>
            </w:pPr>
          </w:p>
          <w:p>
            <w:pPr>
              <w:spacing w:before="90" w:line="289" w:lineRule="auto"/>
              <w:ind w:left="120" w:right="114" w:hanging="2"/>
              <w:rPr>
                <w:rFonts w:ascii="华文仿宋" w:hAnsi="华文仿宋" w:eastAsia="华文仿宋" w:cs="华文仿宋"/>
                <w:sz w:val="18"/>
                <w:szCs w:val="18"/>
              </w:rPr>
            </w:pPr>
            <w:r>
              <w:rPr>
                <w:rFonts w:ascii="华文仿宋" w:hAnsi="华文仿宋" w:eastAsia="华文仿宋" w:cs="华文仿宋"/>
                <w:spacing w:val="-1"/>
                <w:sz w:val="18"/>
                <w:szCs w:val="18"/>
              </w:rPr>
              <w:t>经审阅区民政局提供的预算绩效管理制度等</w:t>
            </w:r>
            <w:r>
              <w:rPr>
                <w:rFonts w:hint="eastAsia" w:ascii="华文仿宋" w:hAnsi="华文仿宋" w:eastAsia="华文仿宋" w:cs="华文仿宋"/>
                <w:spacing w:val="-1"/>
                <w:sz w:val="18"/>
                <w:szCs w:val="18"/>
                <w:lang w:eastAsia="zh-CN"/>
              </w:rPr>
              <w:t>相关</w:t>
            </w:r>
            <w:r>
              <w:rPr>
                <w:rFonts w:ascii="华文仿宋" w:hAnsi="华文仿宋" w:eastAsia="华文仿宋" w:cs="华文仿宋"/>
                <w:spacing w:val="-1"/>
                <w:sz w:val="18"/>
                <w:szCs w:val="18"/>
              </w:rPr>
              <w:t>资料，区民政局</w:t>
            </w:r>
            <w:r>
              <w:rPr>
                <w:rFonts w:hint="eastAsia" w:ascii="华文仿宋" w:hAnsi="华文仿宋" w:eastAsia="华文仿宋" w:cs="华文仿宋"/>
                <w:spacing w:val="-1"/>
                <w:sz w:val="18"/>
                <w:szCs w:val="18"/>
                <w:lang w:eastAsia="zh-CN"/>
              </w:rPr>
              <w:t>于</w:t>
            </w:r>
            <w:r>
              <w:rPr>
                <w:rFonts w:ascii="华文仿宋" w:hAnsi="华文仿宋" w:eastAsia="华文仿宋" w:cs="华文仿宋"/>
                <w:spacing w:val="-1"/>
                <w:sz w:val="18"/>
                <w:szCs w:val="18"/>
              </w:rPr>
              <w:t>2025年按照要求制定</w:t>
            </w:r>
            <w:r>
              <w:rPr>
                <w:rFonts w:hint="eastAsia" w:ascii="华文仿宋" w:hAnsi="华文仿宋" w:eastAsia="华文仿宋" w:cs="华文仿宋"/>
                <w:spacing w:val="-1"/>
                <w:sz w:val="18"/>
                <w:szCs w:val="18"/>
                <w:lang w:eastAsia="zh-CN"/>
              </w:rPr>
              <w:t>了涵盖</w:t>
            </w:r>
            <w:r>
              <w:rPr>
                <w:rFonts w:ascii="华文仿宋" w:hAnsi="华文仿宋" w:eastAsia="华文仿宋" w:cs="华文仿宋"/>
                <w:spacing w:val="-1"/>
                <w:sz w:val="18"/>
                <w:szCs w:val="18"/>
              </w:rPr>
              <w:t>事前绩效评估、绩效目标管理、绩效监控等</w:t>
            </w:r>
            <w:r>
              <w:rPr>
                <w:rFonts w:hint="eastAsia" w:ascii="华文仿宋" w:hAnsi="华文仿宋" w:eastAsia="华文仿宋" w:cs="华文仿宋"/>
                <w:spacing w:val="-1"/>
                <w:sz w:val="18"/>
                <w:szCs w:val="18"/>
                <w:lang w:eastAsia="zh-CN"/>
              </w:rPr>
              <w:t>环节的</w:t>
            </w:r>
            <w:r>
              <w:rPr>
                <w:rFonts w:ascii="华文仿宋" w:hAnsi="华文仿宋" w:eastAsia="华文仿宋" w:cs="华文仿宋"/>
                <w:spacing w:val="-1"/>
                <w:sz w:val="18"/>
                <w:szCs w:val="18"/>
              </w:rPr>
              <w:t>全过程预算绩效管理制度。依据评价标准，该指标得2分。</w:t>
            </w:r>
          </w:p>
        </w:tc>
        <w:tc>
          <w:tcPr>
            <w:tcW w:w="684" w:type="dxa"/>
            <w:vAlign w:val="top"/>
          </w:tcPr>
          <w:p>
            <w:pPr>
              <w:rPr>
                <w:rFonts w:ascii="Arial"/>
                <w:sz w:val="21"/>
              </w:rPr>
            </w:pPr>
          </w:p>
          <w:p>
            <w:pPr>
              <w:rPr>
                <w:rFonts w:ascii="Arial"/>
                <w:sz w:val="21"/>
              </w:rPr>
            </w:pPr>
          </w:p>
          <w:p>
            <w:pPr>
              <w:rPr>
                <w:rFonts w:ascii="Arial"/>
                <w:sz w:val="21"/>
              </w:rPr>
            </w:pPr>
          </w:p>
          <w:p>
            <w:pPr>
              <w:rPr>
                <w:rFonts w:ascii="Arial"/>
                <w:sz w:val="21"/>
              </w:rPr>
            </w:pPr>
          </w:p>
          <w:p>
            <w:pPr>
              <w:spacing w:before="65" w:line="177" w:lineRule="auto"/>
              <w:ind w:left="304"/>
              <w:rPr>
                <w:rFonts w:ascii="华文仿宋" w:hAnsi="华文仿宋" w:eastAsia="华文仿宋" w:cs="华文仿宋"/>
                <w:sz w:val="18"/>
                <w:szCs w:val="18"/>
              </w:rPr>
            </w:pPr>
            <w:r>
              <w:rPr>
                <w:rFonts w:ascii="华文仿宋" w:hAnsi="华文仿宋" w:eastAsia="华文仿宋" w:cs="华文仿宋"/>
                <w:sz w:val="18"/>
                <w:szCs w:val="18"/>
              </w:rPr>
              <w:t>2</w:t>
            </w:r>
          </w:p>
        </w:tc>
        <w:tc>
          <w:tcPr>
            <w:tcW w:w="832" w:type="dxa"/>
            <w:vAlign w:val="top"/>
          </w:tcPr>
          <w:p>
            <w:pPr>
              <w:rPr>
                <w:rFonts w:ascii="Arial"/>
                <w:sz w:val="21"/>
              </w:rPr>
            </w:pPr>
          </w:p>
          <w:p>
            <w:pPr>
              <w:rPr>
                <w:rFonts w:ascii="Arial"/>
                <w:sz w:val="21"/>
              </w:rPr>
            </w:pPr>
          </w:p>
          <w:p>
            <w:pPr>
              <w:rPr>
                <w:rFonts w:ascii="Arial"/>
                <w:sz w:val="21"/>
              </w:rPr>
            </w:pPr>
          </w:p>
          <w:p>
            <w:pPr>
              <w:rPr>
                <w:rFonts w:ascii="Arial"/>
                <w:sz w:val="21"/>
              </w:rPr>
            </w:pPr>
          </w:p>
          <w:p>
            <w:pPr>
              <w:spacing w:before="65"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76" w:hRule="atLeast"/>
        </w:trPr>
        <w:tc>
          <w:tcPr>
            <w:tcW w:w="1091" w:type="dxa"/>
            <w:vMerge w:val="continue"/>
            <w:tcBorders>
              <w:top w:val="nil"/>
              <w:bottom w:val="nil"/>
            </w:tcBorders>
            <w:vAlign w:val="top"/>
          </w:tcPr>
          <w:p>
            <w:pPr>
              <w:rPr>
                <w:rFonts w:ascii="Arial"/>
                <w:sz w:val="21"/>
              </w:rPr>
            </w:pPr>
          </w:p>
        </w:tc>
        <w:tc>
          <w:tcPr>
            <w:tcW w:w="999" w:type="dxa"/>
            <w:vMerge w:val="continue"/>
            <w:tcBorders>
              <w:top w:val="nil"/>
              <w:bottom w:val="nil"/>
            </w:tcBorders>
            <w:vAlign w:val="top"/>
          </w:tcPr>
          <w:p>
            <w:pPr>
              <w:rPr>
                <w:rFonts w:ascii="Arial"/>
                <w:sz w:val="21"/>
              </w:rPr>
            </w:pPr>
          </w:p>
        </w:tc>
        <w:tc>
          <w:tcPr>
            <w:tcW w:w="1167" w:type="dxa"/>
            <w:vAlign w:val="top"/>
          </w:tcPr>
          <w:p>
            <w:pPr>
              <w:spacing w:line="313" w:lineRule="auto"/>
              <w:rPr>
                <w:rFonts w:ascii="Arial"/>
                <w:sz w:val="21"/>
              </w:rPr>
            </w:pPr>
          </w:p>
          <w:p>
            <w:pPr>
              <w:spacing w:line="314" w:lineRule="auto"/>
              <w:rPr>
                <w:rFonts w:ascii="Arial"/>
                <w:sz w:val="21"/>
              </w:rPr>
            </w:pPr>
          </w:p>
          <w:p>
            <w:pPr>
              <w:spacing w:before="65" w:line="291" w:lineRule="auto"/>
              <w:ind w:left="230" w:right="133" w:hanging="89"/>
              <w:rPr>
                <w:rFonts w:ascii="华文仿宋" w:hAnsi="华文仿宋" w:eastAsia="华文仿宋" w:cs="华文仿宋"/>
                <w:sz w:val="18"/>
                <w:szCs w:val="18"/>
              </w:rPr>
            </w:pPr>
            <w:r>
              <w:rPr>
                <w:rFonts w:ascii="华文仿宋" w:hAnsi="华文仿宋" w:eastAsia="华文仿宋" w:cs="华文仿宋"/>
                <w:spacing w:val="-3"/>
                <w:sz w:val="18"/>
                <w:szCs w:val="18"/>
              </w:rPr>
              <w:t>档案管理制度健全性</w:t>
            </w:r>
          </w:p>
        </w:tc>
        <w:tc>
          <w:tcPr>
            <w:tcW w:w="665" w:type="dxa"/>
            <w:vAlign w:val="top"/>
          </w:tcPr>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before="66" w:line="177" w:lineRule="auto"/>
              <w:ind w:left="290"/>
              <w:rPr>
                <w:rFonts w:ascii="华文仿宋" w:hAnsi="华文仿宋" w:eastAsia="华文仿宋" w:cs="华文仿宋"/>
                <w:sz w:val="18"/>
                <w:szCs w:val="18"/>
              </w:rPr>
            </w:pPr>
            <w:r>
              <w:rPr>
                <w:rFonts w:ascii="华文仿宋" w:hAnsi="华文仿宋" w:eastAsia="华文仿宋" w:cs="华文仿宋"/>
                <w:sz w:val="18"/>
                <w:szCs w:val="18"/>
              </w:rPr>
              <w:t>2</w:t>
            </w:r>
          </w:p>
        </w:tc>
        <w:tc>
          <w:tcPr>
            <w:tcW w:w="3011" w:type="dxa"/>
            <w:vAlign w:val="top"/>
          </w:tcPr>
          <w:p>
            <w:pPr>
              <w:spacing w:line="316" w:lineRule="auto"/>
              <w:rPr>
                <w:rFonts w:ascii="Arial"/>
                <w:sz w:val="21"/>
              </w:rPr>
            </w:pPr>
          </w:p>
          <w:p>
            <w:pPr>
              <w:spacing w:before="66" w:line="200" w:lineRule="auto"/>
              <w:ind w:left="114"/>
              <w:rPr>
                <w:rFonts w:ascii="华文仿宋" w:hAnsi="华文仿宋" w:eastAsia="华文仿宋" w:cs="华文仿宋"/>
                <w:sz w:val="18"/>
                <w:szCs w:val="18"/>
              </w:rPr>
            </w:pPr>
            <w:r>
              <w:rPr>
                <w:rFonts w:ascii="华文仿宋" w:hAnsi="华文仿宋" w:eastAsia="华文仿宋" w:cs="华文仿宋"/>
                <w:spacing w:val="-1"/>
                <w:sz w:val="18"/>
                <w:szCs w:val="18"/>
              </w:rPr>
              <w:t>反映部门是否设立档案管理制度。</w:t>
            </w:r>
          </w:p>
          <w:p>
            <w:pPr>
              <w:spacing w:before="91" w:line="287" w:lineRule="auto"/>
              <w:ind w:left="116" w:right="257"/>
              <w:rPr>
                <w:rFonts w:ascii="华文仿宋" w:hAnsi="华文仿宋" w:eastAsia="华文仿宋" w:cs="华文仿宋"/>
                <w:sz w:val="18"/>
                <w:szCs w:val="18"/>
              </w:rPr>
            </w:pPr>
            <w:r>
              <w:rPr>
                <w:rFonts w:ascii="华文仿宋" w:hAnsi="华文仿宋" w:eastAsia="华文仿宋" w:cs="华文仿宋"/>
                <w:spacing w:val="-1"/>
                <w:sz w:val="18"/>
                <w:szCs w:val="18"/>
              </w:rPr>
              <w:t>1.是否已制定或具有完善的档案管理制度；2.档案管理制度是否合</w:t>
            </w:r>
          </w:p>
          <w:p>
            <w:pPr>
              <w:spacing w:before="1" w:line="198" w:lineRule="auto"/>
              <w:ind w:left="120"/>
              <w:rPr>
                <w:rFonts w:ascii="华文仿宋" w:hAnsi="华文仿宋" w:eastAsia="华文仿宋" w:cs="华文仿宋"/>
                <w:sz w:val="18"/>
                <w:szCs w:val="18"/>
              </w:rPr>
            </w:pPr>
            <w:r>
              <w:rPr>
                <w:rFonts w:ascii="华文仿宋" w:hAnsi="华文仿宋" w:eastAsia="华文仿宋" w:cs="华文仿宋"/>
                <w:spacing w:val="-7"/>
                <w:sz w:val="18"/>
                <w:szCs w:val="18"/>
              </w:rPr>
              <w:t>法、合规、完整。</w:t>
            </w:r>
          </w:p>
        </w:tc>
        <w:tc>
          <w:tcPr>
            <w:tcW w:w="918" w:type="dxa"/>
            <w:vAlign w:val="top"/>
          </w:tcPr>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before="66" w:line="199" w:lineRule="auto"/>
              <w:ind w:left="288"/>
              <w:rPr>
                <w:rFonts w:ascii="华文仿宋" w:hAnsi="华文仿宋" w:eastAsia="华文仿宋" w:cs="华文仿宋"/>
                <w:sz w:val="18"/>
                <w:szCs w:val="18"/>
              </w:rPr>
            </w:pPr>
            <w:r>
              <w:rPr>
                <w:rFonts w:ascii="华文仿宋" w:hAnsi="华文仿宋" w:eastAsia="华文仿宋" w:cs="华文仿宋"/>
                <w:spacing w:val="-6"/>
                <w:sz w:val="18"/>
                <w:szCs w:val="18"/>
              </w:rPr>
              <w:t>健全</w:t>
            </w:r>
          </w:p>
        </w:tc>
        <w:tc>
          <w:tcPr>
            <w:tcW w:w="2171" w:type="dxa"/>
            <w:vAlign w:val="top"/>
          </w:tcPr>
          <w:p>
            <w:pPr>
              <w:spacing w:before="70" w:line="274" w:lineRule="auto"/>
              <w:ind w:left="115" w:right="259" w:firstLine="4"/>
              <w:jc w:val="both"/>
              <w:rPr>
                <w:rFonts w:ascii="华文仿宋" w:hAnsi="华文仿宋" w:eastAsia="华文仿宋" w:cs="华文仿宋"/>
                <w:sz w:val="18"/>
                <w:szCs w:val="18"/>
              </w:rPr>
            </w:pPr>
            <w:r>
              <w:rPr>
                <w:rFonts w:ascii="华文仿宋" w:hAnsi="华文仿宋" w:eastAsia="华文仿宋" w:cs="华文仿宋"/>
                <w:spacing w:val="-7"/>
                <w:sz w:val="18"/>
                <w:szCs w:val="18"/>
              </w:rPr>
              <w:t>档案管理制度健全、内</w:t>
            </w:r>
            <w:r>
              <w:rPr>
                <w:rFonts w:ascii="华文仿宋" w:hAnsi="华文仿宋" w:eastAsia="华文仿宋" w:cs="华文仿宋"/>
                <w:spacing w:val="-1"/>
                <w:sz w:val="18"/>
                <w:szCs w:val="18"/>
              </w:rPr>
              <w:t>容合规完整得2分；制度有缺失或制度存在明</w:t>
            </w:r>
            <w:r>
              <w:rPr>
                <w:rFonts w:ascii="华文仿宋" w:hAnsi="华文仿宋" w:eastAsia="华文仿宋" w:cs="华文仿宋"/>
                <w:spacing w:val="-5"/>
                <w:sz w:val="18"/>
                <w:szCs w:val="18"/>
              </w:rPr>
              <w:t>显缺陷的每项扣1分，</w:t>
            </w:r>
            <w:r>
              <w:rPr>
                <w:rFonts w:ascii="华文仿宋" w:hAnsi="华文仿宋" w:eastAsia="华文仿宋" w:cs="华文仿宋"/>
                <w:spacing w:val="-1"/>
                <w:sz w:val="18"/>
                <w:szCs w:val="18"/>
              </w:rPr>
              <w:t>扣完为止；无制度不得</w:t>
            </w:r>
            <w:r>
              <w:rPr>
                <w:rFonts w:ascii="华文仿宋" w:hAnsi="华文仿宋" w:eastAsia="华文仿宋" w:cs="华文仿宋"/>
                <w:spacing w:val="-5"/>
                <w:sz w:val="18"/>
                <w:szCs w:val="18"/>
              </w:rPr>
              <w:t>分。</w:t>
            </w:r>
          </w:p>
        </w:tc>
        <w:tc>
          <w:tcPr>
            <w:tcW w:w="4007" w:type="dxa"/>
            <w:vAlign w:val="top"/>
          </w:tcPr>
          <w:p>
            <w:pPr>
              <w:spacing w:line="471" w:lineRule="auto"/>
              <w:rPr>
                <w:rFonts w:ascii="Arial"/>
                <w:sz w:val="21"/>
              </w:rPr>
            </w:pPr>
          </w:p>
          <w:p>
            <w:pPr>
              <w:spacing w:before="66" w:line="289" w:lineRule="auto"/>
              <w:ind w:left="118" w:right="227" w:firstLine="3"/>
              <w:jc w:val="both"/>
              <w:rPr>
                <w:rFonts w:ascii="华文仿宋" w:hAnsi="华文仿宋" w:eastAsia="华文仿宋" w:cs="华文仿宋"/>
                <w:sz w:val="18"/>
                <w:szCs w:val="18"/>
              </w:rPr>
            </w:pPr>
            <w:r>
              <w:rPr>
                <w:rFonts w:ascii="华文仿宋" w:hAnsi="华文仿宋" w:eastAsia="华文仿宋" w:cs="华文仿宋"/>
                <w:spacing w:val="-1"/>
                <w:sz w:val="18"/>
                <w:szCs w:val="18"/>
              </w:rPr>
              <w:t>经审阅区民政局提供的部门档案管理制度等资</w:t>
            </w:r>
            <w:r>
              <w:rPr>
                <w:rFonts w:ascii="华文仿宋" w:hAnsi="华文仿宋" w:eastAsia="华文仿宋" w:cs="华文仿宋"/>
                <w:sz w:val="18"/>
                <w:szCs w:val="18"/>
              </w:rPr>
              <w:t>料，区民政局2025年制定了档案管理相</w:t>
            </w:r>
            <w:r>
              <w:rPr>
                <w:rFonts w:ascii="华文仿宋" w:hAnsi="华文仿宋" w:eastAsia="华文仿宋" w:cs="华文仿宋"/>
                <w:spacing w:val="-1"/>
                <w:sz w:val="18"/>
                <w:szCs w:val="18"/>
              </w:rPr>
              <w:t>关制度</w:t>
            </w:r>
            <w:r>
              <w:rPr>
                <w:rFonts w:ascii="华文仿宋" w:hAnsi="华文仿宋" w:eastAsia="华文仿宋" w:cs="华文仿宋"/>
                <w:spacing w:val="-4"/>
                <w:sz w:val="18"/>
                <w:szCs w:val="18"/>
              </w:rPr>
              <w:t>或办法。依据评价标准，该指标得2分。</w:t>
            </w:r>
          </w:p>
        </w:tc>
        <w:tc>
          <w:tcPr>
            <w:tcW w:w="684" w:type="dxa"/>
            <w:vAlign w:val="top"/>
          </w:tcPr>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before="66" w:line="177" w:lineRule="auto"/>
              <w:ind w:left="304"/>
              <w:rPr>
                <w:rFonts w:ascii="华文仿宋" w:hAnsi="华文仿宋" w:eastAsia="华文仿宋" w:cs="华文仿宋"/>
                <w:sz w:val="18"/>
                <w:szCs w:val="18"/>
              </w:rPr>
            </w:pPr>
            <w:r>
              <w:rPr>
                <w:rFonts w:ascii="华文仿宋" w:hAnsi="华文仿宋" w:eastAsia="华文仿宋" w:cs="华文仿宋"/>
                <w:sz w:val="18"/>
                <w:szCs w:val="18"/>
              </w:rPr>
              <w:t>2</w:t>
            </w:r>
          </w:p>
        </w:tc>
        <w:tc>
          <w:tcPr>
            <w:tcW w:w="832" w:type="dxa"/>
            <w:vAlign w:val="top"/>
          </w:tcPr>
          <w:p>
            <w:pPr>
              <w:spacing w:line="268" w:lineRule="auto"/>
              <w:rPr>
                <w:rFonts w:ascii="Arial"/>
                <w:sz w:val="21"/>
              </w:rPr>
            </w:pPr>
          </w:p>
          <w:p>
            <w:pPr>
              <w:spacing w:line="269" w:lineRule="auto"/>
              <w:rPr>
                <w:rFonts w:ascii="Arial"/>
                <w:sz w:val="21"/>
              </w:rPr>
            </w:pPr>
          </w:p>
          <w:p>
            <w:pPr>
              <w:spacing w:line="269" w:lineRule="auto"/>
              <w:rPr>
                <w:rFonts w:ascii="Arial"/>
                <w:sz w:val="21"/>
              </w:rPr>
            </w:pPr>
          </w:p>
          <w:p>
            <w:pPr>
              <w:spacing w:before="66"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8" w:hRule="atLeast"/>
        </w:trPr>
        <w:tc>
          <w:tcPr>
            <w:tcW w:w="1091" w:type="dxa"/>
            <w:vMerge w:val="continue"/>
            <w:tcBorders>
              <w:top w:val="nil"/>
              <w:bottom w:val="nil"/>
            </w:tcBorders>
            <w:vAlign w:val="top"/>
          </w:tcPr>
          <w:p>
            <w:pPr>
              <w:rPr>
                <w:rFonts w:ascii="Arial"/>
                <w:sz w:val="21"/>
              </w:rPr>
            </w:pPr>
          </w:p>
        </w:tc>
        <w:tc>
          <w:tcPr>
            <w:tcW w:w="999" w:type="dxa"/>
            <w:vMerge w:val="continue"/>
            <w:tcBorders>
              <w:top w:val="nil"/>
              <w:bottom w:val="nil"/>
            </w:tcBorders>
            <w:vAlign w:val="top"/>
          </w:tcPr>
          <w:p>
            <w:pPr>
              <w:rPr>
                <w:rFonts w:ascii="Arial"/>
                <w:sz w:val="21"/>
              </w:rPr>
            </w:pPr>
          </w:p>
        </w:tc>
        <w:tc>
          <w:tcPr>
            <w:tcW w:w="1167" w:type="dxa"/>
            <w:vAlign w:val="top"/>
          </w:tcPr>
          <w:p>
            <w:pPr>
              <w:spacing w:line="314" w:lineRule="auto"/>
              <w:rPr>
                <w:rFonts w:ascii="Arial"/>
                <w:sz w:val="21"/>
              </w:rPr>
            </w:pPr>
          </w:p>
          <w:p>
            <w:pPr>
              <w:spacing w:line="314" w:lineRule="auto"/>
              <w:rPr>
                <w:rFonts w:ascii="Arial"/>
                <w:sz w:val="21"/>
              </w:rPr>
            </w:pPr>
          </w:p>
          <w:p>
            <w:pPr>
              <w:spacing w:before="65" w:line="199" w:lineRule="auto"/>
              <w:ind w:left="139"/>
              <w:rPr>
                <w:rFonts w:ascii="华文仿宋" w:hAnsi="华文仿宋" w:eastAsia="华文仿宋" w:cs="华文仿宋"/>
                <w:sz w:val="18"/>
                <w:szCs w:val="18"/>
              </w:rPr>
            </w:pPr>
            <w:r>
              <w:rPr>
                <w:rFonts w:ascii="华文仿宋" w:hAnsi="华文仿宋" w:eastAsia="华文仿宋" w:cs="华文仿宋"/>
                <w:spacing w:val="-3"/>
                <w:sz w:val="18"/>
                <w:szCs w:val="18"/>
              </w:rPr>
              <w:t>信息公开制</w:t>
            </w:r>
          </w:p>
          <w:p>
            <w:pPr>
              <w:spacing w:before="94" w:line="199" w:lineRule="auto"/>
              <w:ind w:left="140"/>
              <w:rPr>
                <w:rFonts w:ascii="华文仿宋" w:hAnsi="华文仿宋" w:eastAsia="华文仿宋" w:cs="华文仿宋"/>
                <w:sz w:val="18"/>
                <w:szCs w:val="18"/>
              </w:rPr>
            </w:pPr>
            <w:r>
              <w:rPr>
                <w:rFonts w:ascii="华文仿宋" w:hAnsi="华文仿宋" w:eastAsia="华文仿宋" w:cs="华文仿宋"/>
                <w:spacing w:val="-3"/>
                <w:sz w:val="18"/>
                <w:szCs w:val="18"/>
              </w:rPr>
              <w:t>度执行有效</w:t>
            </w:r>
          </w:p>
          <w:p>
            <w:pPr>
              <w:spacing w:before="93" w:line="200" w:lineRule="auto"/>
              <w:ind w:left="506"/>
              <w:rPr>
                <w:rFonts w:ascii="华文仿宋" w:hAnsi="华文仿宋" w:eastAsia="华文仿宋" w:cs="华文仿宋"/>
                <w:sz w:val="18"/>
                <w:szCs w:val="18"/>
              </w:rPr>
            </w:pPr>
            <w:r>
              <w:rPr>
                <w:rFonts w:ascii="华文仿宋" w:hAnsi="华文仿宋" w:eastAsia="华文仿宋" w:cs="华文仿宋"/>
                <w:sz w:val="18"/>
                <w:szCs w:val="18"/>
              </w:rPr>
              <w:t>性</w:t>
            </w:r>
          </w:p>
        </w:tc>
        <w:tc>
          <w:tcPr>
            <w:tcW w:w="665" w:type="dxa"/>
            <w:vAlign w:val="top"/>
          </w:tcPr>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before="65" w:line="177" w:lineRule="auto"/>
              <w:ind w:left="295"/>
              <w:rPr>
                <w:rFonts w:ascii="华文仿宋" w:hAnsi="华文仿宋" w:eastAsia="华文仿宋" w:cs="华文仿宋"/>
                <w:sz w:val="18"/>
                <w:szCs w:val="18"/>
              </w:rPr>
            </w:pPr>
            <w:r>
              <w:rPr>
                <w:rFonts w:ascii="华文仿宋" w:hAnsi="华文仿宋" w:eastAsia="华文仿宋" w:cs="华文仿宋"/>
                <w:sz w:val="18"/>
                <w:szCs w:val="18"/>
              </w:rPr>
              <w:t>3</w:t>
            </w:r>
          </w:p>
        </w:tc>
        <w:tc>
          <w:tcPr>
            <w:tcW w:w="3011" w:type="dxa"/>
            <w:vAlign w:val="top"/>
          </w:tcPr>
          <w:p>
            <w:pPr>
              <w:spacing w:before="73" w:line="285" w:lineRule="auto"/>
              <w:ind w:left="119" w:right="202" w:hanging="5"/>
              <w:rPr>
                <w:rFonts w:ascii="华文仿宋" w:hAnsi="华文仿宋" w:eastAsia="华文仿宋" w:cs="华文仿宋"/>
                <w:sz w:val="18"/>
                <w:szCs w:val="18"/>
              </w:rPr>
            </w:pPr>
            <w:r>
              <w:rPr>
                <w:rFonts w:ascii="华文仿宋" w:hAnsi="华文仿宋" w:eastAsia="华文仿宋" w:cs="华文仿宋"/>
                <w:spacing w:val="-1"/>
                <w:sz w:val="18"/>
                <w:szCs w:val="18"/>
              </w:rPr>
              <w:t>反映部门信息公开制度执行是否有</w:t>
            </w:r>
            <w:r>
              <w:rPr>
                <w:rFonts w:ascii="华文仿宋" w:hAnsi="华文仿宋" w:eastAsia="华文仿宋" w:cs="华文仿宋"/>
                <w:spacing w:val="-9"/>
                <w:sz w:val="18"/>
                <w:szCs w:val="18"/>
              </w:rPr>
              <w:t>效。</w:t>
            </w:r>
          </w:p>
          <w:p>
            <w:pPr>
              <w:spacing w:line="200" w:lineRule="auto"/>
              <w:ind w:left="117"/>
              <w:rPr>
                <w:rFonts w:ascii="华文仿宋" w:hAnsi="华文仿宋" w:eastAsia="华文仿宋" w:cs="华文仿宋"/>
                <w:sz w:val="18"/>
                <w:szCs w:val="18"/>
              </w:rPr>
            </w:pPr>
            <w:r>
              <w:rPr>
                <w:rFonts w:ascii="华文仿宋" w:hAnsi="华文仿宋" w:eastAsia="华文仿宋" w:cs="华文仿宋"/>
                <w:spacing w:val="-1"/>
                <w:sz w:val="18"/>
                <w:szCs w:val="18"/>
              </w:rPr>
              <w:t>1.是否按规定内容公开预决算信</w:t>
            </w:r>
          </w:p>
          <w:p>
            <w:pPr>
              <w:spacing w:before="92" w:line="268" w:lineRule="auto"/>
              <w:ind w:left="114" w:right="202" w:firstLine="10"/>
              <w:rPr>
                <w:rFonts w:ascii="华文仿宋" w:hAnsi="华文仿宋" w:eastAsia="华文仿宋" w:cs="华文仿宋"/>
                <w:sz w:val="18"/>
                <w:szCs w:val="18"/>
              </w:rPr>
            </w:pPr>
            <w:r>
              <w:rPr>
                <w:rFonts w:ascii="华文仿宋" w:hAnsi="华文仿宋" w:eastAsia="华文仿宋" w:cs="华文仿宋"/>
                <w:spacing w:val="-2"/>
                <w:sz w:val="18"/>
                <w:szCs w:val="18"/>
              </w:rPr>
              <w:t>息；2.是否按规定时限公开预决算</w:t>
            </w:r>
            <w:r>
              <w:rPr>
                <w:rFonts w:ascii="华文仿宋" w:hAnsi="华文仿宋" w:eastAsia="华文仿宋" w:cs="华文仿宋"/>
                <w:spacing w:val="-3"/>
                <w:sz w:val="18"/>
                <w:szCs w:val="18"/>
              </w:rPr>
              <w:t>信息。3.预决算信息是指与部门预</w:t>
            </w:r>
            <w:r>
              <w:rPr>
                <w:rFonts w:ascii="华文仿宋" w:hAnsi="华文仿宋" w:eastAsia="华文仿宋" w:cs="华文仿宋"/>
                <w:spacing w:val="-6"/>
                <w:sz w:val="18"/>
                <w:szCs w:val="18"/>
              </w:rPr>
              <w:t>算、执行、决算、监督、绩效等管</w:t>
            </w:r>
            <w:r>
              <w:rPr>
                <w:rFonts w:ascii="华文仿宋" w:hAnsi="华文仿宋" w:eastAsia="华文仿宋" w:cs="华文仿宋"/>
                <w:spacing w:val="-2"/>
                <w:sz w:val="18"/>
                <w:szCs w:val="18"/>
              </w:rPr>
              <w:t>理相关的信息。</w:t>
            </w:r>
          </w:p>
        </w:tc>
        <w:tc>
          <w:tcPr>
            <w:tcW w:w="918" w:type="dxa"/>
            <w:vAlign w:val="top"/>
          </w:tcPr>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before="66" w:line="294" w:lineRule="auto"/>
              <w:ind w:left="290" w:right="186" w:hanging="91"/>
              <w:rPr>
                <w:rFonts w:hint="eastAsia" w:ascii="华文仿宋" w:hAnsi="华文仿宋" w:eastAsia="华文仿宋" w:cs="华文仿宋"/>
                <w:sz w:val="18"/>
                <w:szCs w:val="18"/>
                <w:lang w:eastAsia="zh-CN"/>
              </w:rPr>
            </w:pPr>
            <w:r>
              <w:rPr>
                <w:rFonts w:hint="eastAsia" w:ascii="华文仿宋" w:hAnsi="华文仿宋" w:eastAsia="华文仿宋" w:cs="华文仿宋"/>
                <w:spacing w:val="-5"/>
                <w:sz w:val="18"/>
                <w:szCs w:val="18"/>
                <w:lang w:eastAsia="zh-CN"/>
              </w:rPr>
              <w:t>执行且有效</w:t>
            </w:r>
          </w:p>
        </w:tc>
        <w:tc>
          <w:tcPr>
            <w:tcW w:w="2171" w:type="dxa"/>
            <w:vAlign w:val="top"/>
          </w:tcPr>
          <w:p>
            <w:pPr>
              <w:spacing w:line="314" w:lineRule="auto"/>
              <w:rPr>
                <w:rFonts w:ascii="Arial"/>
                <w:sz w:val="21"/>
              </w:rPr>
            </w:pPr>
          </w:p>
          <w:p>
            <w:pPr>
              <w:spacing w:before="66" w:line="286" w:lineRule="auto"/>
              <w:ind w:left="119" w:right="259" w:hanging="3"/>
              <w:rPr>
                <w:rFonts w:ascii="华文仿宋" w:hAnsi="华文仿宋" w:eastAsia="华文仿宋" w:cs="华文仿宋"/>
                <w:sz w:val="18"/>
                <w:szCs w:val="18"/>
              </w:rPr>
            </w:pPr>
            <w:r>
              <w:rPr>
                <w:rFonts w:ascii="华文仿宋" w:hAnsi="华文仿宋" w:eastAsia="华文仿宋" w:cs="华文仿宋"/>
                <w:spacing w:val="-3"/>
                <w:sz w:val="18"/>
                <w:szCs w:val="18"/>
              </w:rPr>
              <w:t>信息公开内容完整、信</w:t>
            </w:r>
            <w:r>
              <w:rPr>
                <w:rFonts w:ascii="华文仿宋" w:hAnsi="华文仿宋" w:eastAsia="华文仿宋" w:cs="华文仿宋"/>
                <w:spacing w:val="-4"/>
                <w:sz w:val="18"/>
                <w:szCs w:val="18"/>
              </w:rPr>
              <w:t>息公开及时、公开信息</w:t>
            </w:r>
            <w:r>
              <w:rPr>
                <w:rFonts w:ascii="华文仿宋" w:hAnsi="华文仿宋" w:eastAsia="华文仿宋" w:cs="华文仿宋"/>
                <w:spacing w:val="-6"/>
                <w:sz w:val="18"/>
                <w:szCs w:val="18"/>
              </w:rPr>
              <w:t>真实有效，得3分；有不符情况，每项扣1</w:t>
            </w:r>
          </w:p>
          <w:p>
            <w:pPr>
              <w:spacing w:line="201" w:lineRule="auto"/>
              <w:ind w:left="115"/>
              <w:rPr>
                <w:rFonts w:ascii="华文仿宋" w:hAnsi="华文仿宋" w:eastAsia="华文仿宋" w:cs="华文仿宋"/>
                <w:sz w:val="18"/>
                <w:szCs w:val="18"/>
              </w:rPr>
            </w:pPr>
            <w:r>
              <w:rPr>
                <w:rFonts w:ascii="华文仿宋" w:hAnsi="华文仿宋" w:eastAsia="华文仿宋" w:cs="华文仿宋"/>
                <w:spacing w:val="-6"/>
                <w:sz w:val="18"/>
                <w:szCs w:val="18"/>
              </w:rPr>
              <w:t>分，扣完为止。</w:t>
            </w:r>
          </w:p>
        </w:tc>
        <w:tc>
          <w:tcPr>
            <w:tcW w:w="4007" w:type="dxa"/>
            <w:vAlign w:val="top"/>
          </w:tcPr>
          <w:p>
            <w:pPr>
              <w:spacing w:before="226" w:line="288" w:lineRule="auto"/>
              <w:ind w:left="116" w:right="114" w:firstLine="5"/>
              <w:jc w:val="both"/>
              <w:rPr>
                <w:rFonts w:ascii="华文仿宋" w:hAnsi="华文仿宋" w:eastAsia="华文仿宋" w:cs="华文仿宋"/>
                <w:sz w:val="18"/>
                <w:szCs w:val="18"/>
              </w:rPr>
            </w:pPr>
            <w:r>
              <w:rPr>
                <w:rFonts w:ascii="华文仿宋" w:hAnsi="华文仿宋" w:eastAsia="华文仿宋" w:cs="华文仿宋"/>
                <w:spacing w:val="-3"/>
                <w:sz w:val="18"/>
                <w:szCs w:val="18"/>
              </w:rPr>
              <w:t>经查看哈密市伊州区人民政府网站，区民政局按规定公开了机构职能、预决算信息、政府采购信</w:t>
            </w:r>
            <w:r>
              <w:rPr>
                <w:rFonts w:ascii="华文仿宋" w:hAnsi="华文仿宋" w:eastAsia="华文仿宋" w:cs="华文仿宋"/>
                <w:spacing w:val="-4"/>
                <w:sz w:val="18"/>
                <w:szCs w:val="18"/>
              </w:rPr>
              <w:t>息、机构概况、绩效目标等内容，并公布了信息</w:t>
            </w:r>
            <w:r>
              <w:rPr>
                <w:rFonts w:ascii="华文仿宋" w:hAnsi="华文仿宋" w:eastAsia="华文仿宋" w:cs="华文仿宋"/>
                <w:spacing w:val="-5"/>
                <w:sz w:val="18"/>
                <w:szCs w:val="18"/>
              </w:rPr>
              <w:t>公开年报，信息公开内容完整、及时，评价期间</w:t>
            </w:r>
            <w:r>
              <w:rPr>
                <w:rFonts w:ascii="华文仿宋" w:hAnsi="华文仿宋" w:eastAsia="华文仿宋" w:cs="华文仿宋"/>
                <w:spacing w:val="-2"/>
                <w:sz w:val="18"/>
                <w:szCs w:val="18"/>
              </w:rPr>
              <w:t>未发现公开信息不真实的情况。依据评价标准，</w:t>
            </w:r>
            <w:r>
              <w:rPr>
                <w:rFonts w:ascii="华文仿宋" w:hAnsi="华文仿宋" w:eastAsia="华文仿宋" w:cs="华文仿宋"/>
                <w:spacing w:val="-3"/>
                <w:sz w:val="18"/>
                <w:szCs w:val="18"/>
              </w:rPr>
              <w:t>该指标得3分。</w:t>
            </w:r>
          </w:p>
        </w:tc>
        <w:tc>
          <w:tcPr>
            <w:tcW w:w="684" w:type="dxa"/>
            <w:vAlign w:val="top"/>
          </w:tcPr>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before="65" w:line="177" w:lineRule="auto"/>
              <w:ind w:left="308"/>
              <w:rPr>
                <w:rFonts w:ascii="华文仿宋" w:hAnsi="华文仿宋" w:eastAsia="华文仿宋" w:cs="华文仿宋"/>
                <w:sz w:val="18"/>
                <w:szCs w:val="18"/>
              </w:rPr>
            </w:pPr>
            <w:r>
              <w:rPr>
                <w:rFonts w:ascii="华文仿宋" w:hAnsi="华文仿宋" w:eastAsia="华文仿宋" w:cs="华文仿宋"/>
                <w:sz w:val="18"/>
                <w:szCs w:val="18"/>
              </w:rPr>
              <w:t>3</w:t>
            </w:r>
          </w:p>
        </w:tc>
        <w:tc>
          <w:tcPr>
            <w:tcW w:w="832" w:type="dxa"/>
            <w:vAlign w:val="top"/>
          </w:tcPr>
          <w:p>
            <w:pPr>
              <w:rPr>
                <w:rFonts w:ascii="Arial"/>
                <w:sz w:val="21"/>
              </w:rPr>
            </w:pPr>
          </w:p>
          <w:p>
            <w:pPr>
              <w:rPr>
                <w:rFonts w:ascii="Arial"/>
                <w:sz w:val="21"/>
              </w:rPr>
            </w:pPr>
          </w:p>
          <w:p>
            <w:pPr>
              <w:spacing w:line="241" w:lineRule="auto"/>
              <w:rPr>
                <w:rFonts w:ascii="Arial"/>
                <w:sz w:val="21"/>
              </w:rPr>
            </w:pPr>
          </w:p>
          <w:p>
            <w:pPr>
              <w:spacing w:line="241" w:lineRule="auto"/>
              <w:rPr>
                <w:rFonts w:ascii="Arial"/>
                <w:sz w:val="21"/>
              </w:rPr>
            </w:pPr>
          </w:p>
          <w:p>
            <w:pPr>
              <w:spacing w:before="65"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3" w:hRule="atLeast"/>
        </w:trPr>
        <w:tc>
          <w:tcPr>
            <w:tcW w:w="1091" w:type="dxa"/>
            <w:vMerge w:val="continue"/>
            <w:tcBorders>
              <w:top w:val="nil"/>
            </w:tcBorders>
            <w:vAlign w:val="top"/>
          </w:tcPr>
          <w:p>
            <w:pPr>
              <w:rPr>
                <w:rFonts w:ascii="Arial"/>
                <w:sz w:val="21"/>
              </w:rPr>
            </w:pPr>
          </w:p>
        </w:tc>
        <w:tc>
          <w:tcPr>
            <w:tcW w:w="999" w:type="dxa"/>
            <w:vMerge w:val="continue"/>
            <w:tcBorders>
              <w:top w:val="nil"/>
            </w:tcBorders>
            <w:vAlign w:val="top"/>
          </w:tcPr>
          <w:p>
            <w:pPr>
              <w:rPr>
                <w:rFonts w:ascii="Arial"/>
                <w:sz w:val="21"/>
              </w:rPr>
            </w:pPr>
          </w:p>
        </w:tc>
        <w:tc>
          <w:tcPr>
            <w:tcW w:w="1167" w:type="dxa"/>
            <w:vAlign w:val="top"/>
          </w:tcPr>
          <w:p>
            <w:pPr>
              <w:spacing w:before="230" w:line="294" w:lineRule="auto"/>
              <w:ind w:left="412" w:right="133" w:hanging="272"/>
              <w:rPr>
                <w:rFonts w:ascii="华文仿宋" w:hAnsi="华文仿宋" w:eastAsia="华文仿宋" w:cs="华文仿宋"/>
                <w:sz w:val="18"/>
                <w:szCs w:val="18"/>
              </w:rPr>
            </w:pPr>
            <w:r>
              <w:rPr>
                <w:rFonts w:ascii="华文仿宋" w:hAnsi="华文仿宋" w:eastAsia="华文仿宋" w:cs="华文仿宋"/>
                <w:spacing w:val="-3"/>
                <w:sz w:val="18"/>
                <w:szCs w:val="18"/>
              </w:rPr>
              <w:t>履职工作开</w:t>
            </w:r>
            <w:r>
              <w:rPr>
                <w:rFonts w:ascii="华文仿宋" w:hAnsi="华文仿宋" w:eastAsia="华文仿宋" w:cs="华文仿宋"/>
                <w:spacing w:val="-7"/>
                <w:sz w:val="18"/>
                <w:szCs w:val="18"/>
              </w:rPr>
              <w:t>展率</w:t>
            </w:r>
          </w:p>
        </w:tc>
        <w:tc>
          <w:tcPr>
            <w:tcW w:w="665" w:type="dxa"/>
            <w:vAlign w:val="top"/>
          </w:tcPr>
          <w:p>
            <w:pPr>
              <w:spacing w:line="342" w:lineRule="auto"/>
              <w:rPr>
                <w:rFonts w:ascii="Arial"/>
                <w:sz w:val="21"/>
              </w:rPr>
            </w:pPr>
          </w:p>
          <w:p>
            <w:pPr>
              <w:spacing w:before="66" w:line="177" w:lineRule="auto"/>
              <w:ind w:left="290"/>
              <w:rPr>
                <w:rFonts w:ascii="华文仿宋" w:hAnsi="华文仿宋" w:eastAsia="华文仿宋" w:cs="华文仿宋"/>
                <w:sz w:val="18"/>
                <w:szCs w:val="18"/>
              </w:rPr>
            </w:pPr>
            <w:r>
              <w:rPr>
                <w:rFonts w:ascii="华文仿宋" w:hAnsi="华文仿宋" w:eastAsia="华文仿宋" w:cs="华文仿宋"/>
                <w:sz w:val="18"/>
                <w:szCs w:val="18"/>
              </w:rPr>
              <w:t>2</w:t>
            </w:r>
          </w:p>
        </w:tc>
        <w:tc>
          <w:tcPr>
            <w:tcW w:w="3011" w:type="dxa"/>
            <w:vAlign w:val="top"/>
          </w:tcPr>
          <w:p>
            <w:pPr>
              <w:spacing w:before="71" w:line="263" w:lineRule="auto"/>
              <w:ind w:left="114" w:right="230"/>
              <w:jc w:val="both"/>
              <w:rPr>
                <w:rFonts w:ascii="华文仿宋" w:hAnsi="华文仿宋" w:eastAsia="华文仿宋" w:cs="华文仿宋"/>
                <w:sz w:val="18"/>
                <w:szCs w:val="18"/>
              </w:rPr>
            </w:pPr>
            <w:r>
              <w:rPr>
                <w:rFonts w:ascii="华文仿宋" w:hAnsi="华文仿宋" w:eastAsia="华文仿宋" w:cs="华文仿宋"/>
                <w:spacing w:val="-3"/>
                <w:sz w:val="18"/>
                <w:szCs w:val="18"/>
              </w:rPr>
              <w:t>反映部门主要履职工作开展情况。</w:t>
            </w:r>
            <w:r>
              <w:rPr>
                <w:rFonts w:ascii="华文仿宋" w:hAnsi="华文仿宋" w:eastAsia="华文仿宋" w:cs="华文仿宋"/>
                <w:spacing w:val="-1"/>
                <w:sz w:val="18"/>
                <w:szCs w:val="18"/>
              </w:rPr>
              <w:t>履职工作开展率=重点履职工作开</w:t>
            </w:r>
            <w:r>
              <w:rPr>
                <w:rFonts w:ascii="华文仿宋" w:hAnsi="华文仿宋" w:eastAsia="华文仿宋" w:cs="华文仿宋"/>
                <w:spacing w:val="-4"/>
                <w:sz w:val="18"/>
                <w:szCs w:val="18"/>
              </w:rPr>
              <w:t>展个数/重点履职开展总数×100%</w:t>
            </w:r>
          </w:p>
        </w:tc>
        <w:tc>
          <w:tcPr>
            <w:tcW w:w="918" w:type="dxa"/>
            <w:vAlign w:val="top"/>
          </w:tcPr>
          <w:p>
            <w:pPr>
              <w:spacing w:line="342" w:lineRule="auto"/>
              <w:rPr>
                <w:rFonts w:ascii="Arial"/>
                <w:sz w:val="21"/>
              </w:rPr>
            </w:pPr>
          </w:p>
          <w:p>
            <w:pPr>
              <w:spacing w:before="66" w:line="177" w:lineRule="auto"/>
              <w:ind w:left="269"/>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c>
          <w:tcPr>
            <w:tcW w:w="2171" w:type="dxa"/>
            <w:vAlign w:val="top"/>
          </w:tcPr>
          <w:p>
            <w:pPr>
              <w:spacing w:before="229" w:line="294" w:lineRule="auto"/>
              <w:ind w:left="115" w:right="139" w:firstLine="2"/>
              <w:rPr>
                <w:rFonts w:ascii="华文仿宋" w:hAnsi="华文仿宋" w:eastAsia="华文仿宋" w:cs="华文仿宋"/>
                <w:sz w:val="18"/>
                <w:szCs w:val="18"/>
              </w:rPr>
            </w:pPr>
            <w:r>
              <w:rPr>
                <w:rFonts w:ascii="华文仿宋" w:hAnsi="华文仿宋" w:eastAsia="华文仿宋" w:cs="华文仿宋"/>
                <w:spacing w:val="-5"/>
                <w:sz w:val="18"/>
                <w:szCs w:val="18"/>
              </w:rPr>
              <w:t>得分=履职工作开展率×</w:t>
            </w:r>
            <w:r>
              <w:rPr>
                <w:rFonts w:ascii="华文仿宋" w:hAnsi="华文仿宋" w:eastAsia="华文仿宋" w:cs="华文仿宋"/>
                <w:spacing w:val="-3"/>
                <w:sz w:val="18"/>
                <w:szCs w:val="18"/>
              </w:rPr>
              <w:t>分值。</w:t>
            </w:r>
          </w:p>
        </w:tc>
        <w:tc>
          <w:tcPr>
            <w:tcW w:w="4007" w:type="dxa"/>
            <w:vAlign w:val="top"/>
          </w:tcPr>
          <w:p>
            <w:pPr>
              <w:spacing w:before="71" w:line="263" w:lineRule="auto"/>
              <w:ind w:left="117" w:right="114" w:hanging="1"/>
              <w:rPr>
                <w:rFonts w:ascii="华文仿宋" w:hAnsi="华文仿宋" w:eastAsia="华文仿宋" w:cs="华文仿宋"/>
                <w:sz w:val="18"/>
                <w:szCs w:val="18"/>
              </w:rPr>
            </w:pPr>
            <w:r>
              <w:rPr>
                <w:rFonts w:ascii="华文仿宋" w:hAnsi="华文仿宋" w:eastAsia="华文仿宋" w:cs="华文仿宋"/>
                <w:spacing w:val="-1"/>
                <w:sz w:val="18"/>
                <w:szCs w:val="18"/>
              </w:rPr>
              <w:t>根据区民政局提供的三定方案及各项工作开展资</w:t>
            </w:r>
            <w:r>
              <w:rPr>
                <w:rFonts w:ascii="华文仿宋" w:hAnsi="华文仿宋" w:eastAsia="华文仿宋" w:cs="华文仿宋"/>
                <w:sz w:val="18"/>
                <w:szCs w:val="18"/>
              </w:rPr>
              <w:t>料，区民政局2025年主要工作包括开展</w:t>
            </w:r>
            <w:r>
              <w:rPr>
                <w:rFonts w:ascii="华文仿宋" w:hAnsi="华文仿宋" w:eastAsia="华文仿宋" w:cs="华文仿宋"/>
                <w:spacing w:val="-1"/>
                <w:sz w:val="18"/>
                <w:szCs w:val="18"/>
              </w:rPr>
              <w:t>低保金</w:t>
            </w:r>
            <w:r>
              <w:rPr>
                <w:rFonts w:ascii="华文仿宋" w:hAnsi="华文仿宋" w:eastAsia="华文仿宋" w:cs="华文仿宋"/>
                <w:spacing w:val="-3"/>
                <w:sz w:val="18"/>
                <w:szCs w:val="18"/>
              </w:rPr>
              <w:t>发放、残疾人两项补贴发放、老年人补贴发放、</w:t>
            </w:r>
          </w:p>
        </w:tc>
        <w:tc>
          <w:tcPr>
            <w:tcW w:w="684" w:type="dxa"/>
            <w:vAlign w:val="top"/>
          </w:tcPr>
          <w:p>
            <w:pPr>
              <w:spacing w:line="342" w:lineRule="auto"/>
              <w:rPr>
                <w:rFonts w:ascii="Arial"/>
                <w:sz w:val="21"/>
              </w:rPr>
            </w:pPr>
          </w:p>
          <w:p>
            <w:pPr>
              <w:spacing w:before="66" w:line="177" w:lineRule="auto"/>
              <w:ind w:left="304"/>
              <w:rPr>
                <w:rFonts w:ascii="华文仿宋" w:hAnsi="华文仿宋" w:eastAsia="华文仿宋" w:cs="华文仿宋"/>
                <w:sz w:val="18"/>
                <w:szCs w:val="18"/>
              </w:rPr>
            </w:pPr>
            <w:r>
              <w:rPr>
                <w:rFonts w:ascii="华文仿宋" w:hAnsi="华文仿宋" w:eastAsia="华文仿宋" w:cs="华文仿宋"/>
                <w:sz w:val="18"/>
                <w:szCs w:val="18"/>
              </w:rPr>
              <w:t>2</w:t>
            </w:r>
          </w:p>
        </w:tc>
        <w:tc>
          <w:tcPr>
            <w:tcW w:w="832" w:type="dxa"/>
            <w:vAlign w:val="top"/>
          </w:tcPr>
          <w:p>
            <w:pPr>
              <w:spacing w:line="342" w:lineRule="auto"/>
              <w:rPr>
                <w:rFonts w:ascii="Arial"/>
                <w:sz w:val="21"/>
              </w:rPr>
            </w:pPr>
          </w:p>
          <w:p>
            <w:pPr>
              <w:spacing w:before="66"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bl>
    <w:p>
      <w:pPr>
        <w:pStyle w:val="2"/>
      </w:pPr>
    </w:p>
    <w:p>
      <w:pPr>
        <w:sectPr>
          <w:footerReference r:id="rId17" w:type="default"/>
          <w:pgSz w:w="16839" w:h="11906"/>
          <w:pgMar w:top="1012" w:right="595" w:bottom="1575" w:left="692" w:header="0" w:footer="1289" w:gutter="0"/>
          <w:pgNumType w:fmt="decimal"/>
          <w:cols w:space="720" w:num="1"/>
        </w:sectPr>
      </w:pPr>
    </w:p>
    <w:p>
      <w:pPr>
        <w:pStyle w:val="2"/>
        <w:spacing w:line="287" w:lineRule="auto"/>
      </w:pPr>
    </w:p>
    <w:p>
      <w:pPr>
        <w:spacing w:before="102" w:line="201" w:lineRule="auto"/>
        <w:ind w:left="140" w:firstLine="231" w:firstLineChars="100"/>
        <w:rPr>
          <w:rFonts w:ascii="华文仿宋" w:hAnsi="华文仿宋" w:eastAsia="华文仿宋" w:cs="华文仿宋"/>
          <w:sz w:val="28"/>
          <w:szCs w:val="28"/>
        </w:rPr>
      </w:pPr>
      <w:r>
        <w:rPr>
          <w:rFonts w:hint="eastAsia" w:ascii="仿宋" w:hAnsi="仿宋" w:eastAsia="仿宋" w:cs="仿宋"/>
          <w:b/>
          <w:bCs/>
          <w:spacing w:val="-5"/>
          <w:sz w:val="24"/>
          <w:szCs w:val="24"/>
        </w:rPr>
        <w:t>附件一：部门整体绩效评价指标体系评分表</w:t>
      </w:r>
    </w:p>
    <w:p>
      <w:pPr>
        <w:spacing w:line="109" w:lineRule="exact"/>
      </w:pPr>
    </w:p>
    <w:tbl>
      <w:tblPr>
        <w:tblStyle w:val="7"/>
        <w:tblW w:w="155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999"/>
        <w:gridCol w:w="1167"/>
        <w:gridCol w:w="665"/>
        <w:gridCol w:w="3011"/>
        <w:gridCol w:w="918"/>
        <w:gridCol w:w="2171"/>
        <w:gridCol w:w="4007"/>
        <w:gridCol w:w="684"/>
        <w:gridCol w:w="8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6" w:hRule="atLeast"/>
        </w:trPr>
        <w:tc>
          <w:tcPr>
            <w:tcW w:w="1091" w:type="dxa"/>
            <w:vAlign w:val="top"/>
          </w:tcPr>
          <w:p>
            <w:pPr>
              <w:spacing w:before="112" w:line="199" w:lineRule="auto"/>
              <w:ind w:left="201"/>
              <w:rPr>
                <w:rFonts w:ascii="华文仿宋" w:hAnsi="华文仿宋" w:eastAsia="华文仿宋" w:cs="华文仿宋"/>
                <w:sz w:val="18"/>
                <w:szCs w:val="18"/>
              </w:rPr>
            </w:pPr>
            <w:r>
              <w:rPr>
                <w:rFonts w:ascii="华文仿宋" w:hAnsi="华文仿宋" w:eastAsia="华文仿宋" w:cs="华文仿宋"/>
                <w:b/>
                <w:bCs/>
                <w:spacing w:val="-7"/>
                <w:sz w:val="18"/>
                <w:szCs w:val="18"/>
              </w:rPr>
              <w:t>一级指标</w:t>
            </w:r>
          </w:p>
        </w:tc>
        <w:tc>
          <w:tcPr>
            <w:tcW w:w="999" w:type="dxa"/>
            <w:vAlign w:val="top"/>
          </w:tcPr>
          <w:p>
            <w:pPr>
              <w:spacing w:before="112" w:line="199" w:lineRule="auto"/>
              <w:ind w:left="152"/>
              <w:rPr>
                <w:rFonts w:ascii="华文仿宋" w:hAnsi="华文仿宋" w:eastAsia="华文仿宋" w:cs="华文仿宋"/>
                <w:sz w:val="18"/>
                <w:szCs w:val="18"/>
              </w:rPr>
            </w:pPr>
            <w:r>
              <w:rPr>
                <w:rFonts w:ascii="华文仿宋" w:hAnsi="华文仿宋" w:eastAsia="华文仿宋" w:cs="华文仿宋"/>
                <w:b/>
                <w:bCs/>
                <w:spacing w:val="-7"/>
                <w:sz w:val="18"/>
                <w:szCs w:val="18"/>
              </w:rPr>
              <w:t>二级指标</w:t>
            </w:r>
          </w:p>
        </w:tc>
        <w:tc>
          <w:tcPr>
            <w:tcW w:w="1167" w:type="dxa"/>
            <w:vAlign w:val="top"/>
          </w:tcPr>
          <w:p>
            <w:pPr>
              <w:spacing w:before="112" w:line="199" w:lineRule="auto"/>
              <w:ind w:left="241"/>
              <w:rPr>
                <w:rFonts w:ascii="华文仿宋" w:hAnsi="华文仿宋" w:eastAsia="华文仿宋" w:cs="华文仿宋"/>
                <w:sz w:val="18"/>
                <w:szCs w:val="18"/>
              </w:rPr>
            </w:pPr>
            <w:r>
              <w:rPr>
                <w:rFonts w:ascii="华文仿宋" w:hAnsi="华文仿宋" w:eastAsia="华文仿宋" w:cs="华文仿宋"/>
                <w:b/>
                <w:bCs/>
                <w:spacing w:val="-8"/>
                <w:sz w:val="18"/>
                <w:szCs w:val="18"/>
              </w:rPr>
              <w:t>三级指标</w:t>
            </w:r>
          </w:p>
        </w:tc>
        <w:tc>
          <w:tcPr>
            <w:tcW w:w="665" w:type="dxa"/>
            <w:vAlign w:val="top"/>
          </w:tcPr>
          <w:p>
            <w:pPr>
              <w:spacing w:before="113" w:line="198" w:lineRule="auto"/>
              <w:ind w:left="159"/>
              <w:rPr>
                <w:rFonts w:ascii="华文仿宋" w:hAnsi="华文仿宋" w:eastAsia="华文仿宋" w:cs="华文仿宋"/>
                <w:sz w:val="18"/>
                <w:szCs w:val="18"/>
              </w:rPr>
            </w:pPr>
            <w:r>
              <w:rPr>
                <w:rFonts w:ascii="华文仿宋" w:hAnsi="华文仿宋" w:eastAsia="华文仿宋" w:cs="华文仿宋"/>
                <w:b/>
                <w:bCs/>
                <w:spacing w:val="-7"/>
                <w:sz w:val="18"/>
                <w:szCs w:val="18"/>
              </w:rPr>
              <w:t>权重</w:t>
            </w:r>
          </w:p>
        </w:tc>
        <w:tc>
          <w:tcPr>
            <w:tcW w:w="3011" w:type="dxa"/>
            <w:vAlign w:val="top"/>
          </w:tcPr>
          <w:p>
            <w:pPr>
              <w:spacing w:before="112" w:line="199" w:lineRule="auto"/>
              <w:ind w:left="705"/>
              <w:rPr>
                <w:rFonts w:ascii="华文仿宋" w:hAnsi="华文仿宋" w:eastAsia="华文仿宋" w:cs="华文仿宋"/>
                <w:sz w:val="18"/>
                <w:szCs w:val="18"/>
              </w:rPr>
            </w:pPr>
            <w:r>
              <w:rPr>
                <w:rFonts w:ascii="华文仿宋" w:hAnsi="华文仿宋" w:eastAsia="华文仿宋" w:cs="华文仿宋"/>
                <w:b/>
                <w:bCs/>
                <w:spacing w:val="-4"/>
                <w:sz w:val="18"/>
                <w:szCs w:val="18"/>
              </w:rPr>
              <w:t>指标解释及评价要点</w:t>
            </w:r>
          </w:p>
        </w:tc>
        <w:tc>
          <w:tcPr>
            <w:tcW w:w="918" w:type="dxa"/>
            <w:vAlign w:val="top"/>
          </w:tcPr>
          <w:p>
            <w:pPr>
              <w:spacing w:before="112" w:line="199" w:lineRule="auto"/>
              <w:ind w:left="197"/>
              <w:rPr>
                <w:rFonts w:ascii="华文仿宋" w:hAnsi="华文仿宋" w:eastAsia="华文仿宋" w:cs="华文仿宋"/>
                <w:sz w:val="18"/>
                <w:szCs w:val="18"/>
              </w:rPr>
            </w:pPr>
            <w:r>
              <w:rPr>
                <w:rFonts w:ascii="华文仿宋" w:hAnsi="华文仿宋" w:eastAsia="华文仿宋" w:cs="华文仿宋"/>
                <w:b/>
                <w:bCs/>
                <w:spacing w:val="-6"/>
                <w:sz w:val="18"/>
                <w:szCs w:val="18"/>
              </w:rPr>
              <w:t>标杆值</w:t>
            </w:r>
          </w:p>
        </w:tc>
        <w:tc>
          <w:tcPr>
            <w:tcW w:w="2171" w:type="dxa"/>
            <w:vAlign w:val="top"/>
          </w:tcPr>
          <w:p>
            <w:pPr>
              <w:spacing w:before="112" w:line="199" w:lineRule="auto"/>
              <w:ind w:left="730"/>
              <w:rPr>
                <w:rFonts w:ascii="华文仿宋" w:hAnsi="华文仿宋" w:eastAsia="华文仿宋" w:cs="华文仿宋"/>
                <w:sz w:val="18"/>
                <w:szCs w:val="18"/>
              </w:rPr>
            </w:pPr>
            <w:r>
              <w:rPr>
                <w:rFonts w:ascii="华文仿宋" w:hAnsi="华文仿宋" w:eastAsia="华文仿宋" w:cs="华文仿宋"/>
                <w:b/>
                <w:bCs/>
                <w:spacing w:val="-4"/>
                <w:sz w:val="18"/>
                <w:szCs w:val="18"/>
              </w:rPr>
              <w:t>评价标准</w:t>
            </w:r>
          </w:p>
        </w:tc>
        <w:tc>
          <w:tcPr>
            <w:tcW w:w="4007" w:type="dxa"/>
            <w:vAlign w:val="top"/>
          </w:tcPr>
          <w:p>
            <w:pPr>
              <w:spacing w:before="113" w:line="198" w:lineRule="auto"/>
              <w:ind w:left="1648"/>
              <w:rPr>
                <w:rFonts w:ascii="华文仿宋" w:hAnsi="华文仿宋" w:eastAsia="华文仿宋" w:cs="华文仿宋"/>
                <w:sz w:val="18"/>
                <w:szCs w:val="18"/>
              </w:rPr>
            </w:pPr>
            <w:r>
              <w:rPr>
                <w:rFonts w:ascii="华文仿宋" w:hAnsi="华文仿宋" w:eastAsia="华文仿宋" w:cs="华文仿宋"/>
                <w:b/>
                <w:bCs/>
                <w:spacing w:val="-4"/>
                <w:sz w:val="18"/>
                <w:szCs w:val="18"/>
              </w:rPr>
              <w:t>评分过程</w:t>
            </w:r>
          </w:p>
        </w:tc>
        <w:tc>
          <w:tcPr>
            <w:tcW w:w="684" w:type="dxa"/>
            <w:vAlign w:val="top"/>
          </w:tcPr>
          <w:p>
            <w:pPr>
              <w:spacing w:before="114" w:line="197" w:lineRule="auto"/>
              <w:ind w:left="172"/>
              <w:rPr>
                <w:rFonts w:ascii="华文仿宋" w:hAnsi="华文仿宋" w:eastAsia="华文仿宋" w:cs="华文仿宋"/>
                <w:sz w:val="18"/>
                <w:szCs w:val="18"/>
              </w:rPr>
            </w:pPr>
            <w:r>
              <w:rPr>
                <w:rFonts w:ascii="华文仿宋" w:hAnsi="华文仿宋" w:eastAsia="华文仿宋" w:cs="华文仿宋"/>
                <w:b/>
                <w:bCs/>
                <w:spacing w:val="-8"/>
                <w:sz w:val="18"/>
                <w:szCs w:val="18"/>
              </w:rPr>
              <w:t>得分</w:t>
            </w:r>
          </w:p>
        </w:tc>
        <w:tc>
          <w:tcPr>
            <w:tcW w:w="832" w:type="dxa"/>
            <w:vAlign w:val="top"/>
          </w:tcPr>
          <w:p>
            <w:pPr>
              <w:spacing w:before="111" w:line="200" w:lineRule="auto"/>
              <w:ind w:left="152"/>
              <w:rPr>
                <w:rFonts w:ascii="华文仿宋" w:hAnsi="华文仿宋" w:eastAsia="华文仿宋" w:cs="华文仿宋"/>
                <w:sz w:val="18"/>
                <w:szCs w:val="18"/>
              </w:rPr>
            </w:pPr>
            <w:r>
              <w:rPr>
                <w:rFonts w:ascii="华文仿宋" w:hAnsi="华文仿宋" w:eastAsia="华文仿宋" w:cs="华文仿宋"/>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435" w:hRule="atLeast"/>
        </w:trPr>
        <w:tc>
          <w:tcPr>
            <w:tcW w:w="1091" w:type="dxa"/>
            <w:vAlign w:val="top"/>
          </w:tcPr>
          <w:p>
            <w:pPr>
              <w:rPr>
                <w:rFonts w:ascii="Arial"/>
                <w:sz w:val="21"/>
              </w:rPr>
            </w:pPr>
          </w:p>
        </w:tc>
        <w:tc>
          <w:tcPr>
            <w:tcW w:w="999" w:type="dxa"/>
            <w:vAlign w:val="top"/>
          </w:tcPr>
          <w:p>
            <w:pPr>
              <w:rPr>
                <w:rFonts w:ascii="Arial"/>
                <w:sz w:val="21"/>
              </w:rPr>
            </w:pPr>
          </w:p>
        </w:tc>
        <w:tc>
          <w:tcPr>
            <w:tcW w:w="1167" w:type="dxa"/>
            <w:vAlign w:val="top"/>
          </w:tcPr>
          <w:p>
            <w:pPr>
              <w:rPr>
                <w:rFonts w:ascii="Arial"/>
                <w:sz w:val="21"/>
              </w:rPr>
            </w:pPr>
          </w:p>
        </w:tc>
        <w:tc>
          <w:tcPr>
            <w:tcW w:w="665" w:type="dxa"/>
            <w:vAlign w:val="top"/>
          </w:tcPr>
          <w:p>
            <w:pPr>
              <w:rPr>
                <w:rFonts w:ascii="Arial"/>
                <w:sz w:val="21"/>
              </w:rPr>
            </w:pPr>
          </w:p>
        </w:tc>
        <w:tc>
          <w:tcPr>
            <w:tcW w:w="3011" w:type="dxa"/>
            <w:vAlign w:val="top"/>
          </w:tcPr>
          <w:p>
            <w:pPr>
              <w:rPr>
                <w:rFonts w:ascii="Arial"/>
                <w:sz w:val="21"/>
              </w:rPr>
            </w:pPr>
          </w:p>
        </w:tc>
        <w:tc>
          <w:tcPr>
            <w:tcW w:w="918" w:type="dxa"/>
            <w:vAlign w:val="top"/>
          </w:tcPr>
          <w:p>
            <w:pPr>
              <w:rPr>
                <w:rFonts w:ascii="Arial"/>
                <w:sz w:val="21"/>
              </w:rPr>
            </w:pPr>
          </w:p>
        </w:tc>
        <w:tc>
          <w:tcPr>
            <w:tcW w:w="2171" w:type="dxa"/>
            <w:vAlign w:val="top"/>
          </w:tcPr>
          <w:p>
            <w:pPr>
              <w:rPr>
                <w:rFonts w:ascii="Arial"/>
                <w:sz w:val="21"/>
              </w:rPr>
            </w:pPr>
          </w:p>
        </w:tc>
        <w:tc>
          <w:tcPr>
            <w:tcW w:w="4007" w:type="dxa"/>
            <w:vAlign w:val="top"/>
          </w:tcPr>
          <w:p>
            <w:pPr>
              <w:spacing w:before="69" w:line="201" w:lineRule="auto"/>
              <w:ind w:left="124"/>
              <w:rPr>
                <w:rFonts w:ascii="华文仿宋" w:hAnsi="华文仿宋" w:eastAsia="华文仿宋" w:cs="华文仿宋"/>
                <w:sz w:val="18"/>
                <w:szCs w:val="18"/>
              </w:rPr>
            </w:pPr>
            <w:r>
              <w:rPr>
                <w:rFonts w:ascii="华文仿宋" w:hAnsi="华文仿宋" w:eastAsia="华文仿宋" w:cs="华文仿宋"/>
                <w:spacing w:val="-2"/>
                <w:sz w:val="18"/>
                <w:szCs w:val="18"/>
              </w:rPr>
              <w:t>失地人员、城市话转移安置搬迁补助发放等工</w:t>
            </w:r>
          </w:p>
          <w:p>
            <w:pPr>
              <w:spacing w:before="89" w:line="279" w:lineRule="auto"/>
              <w:ind w:left="118" w:right="114"/>
              <w:rPr>
                <w:rFonts w:ascii="华文仿宋" w:hAnsi="华文仿宋" w:eastAsia="华文仿宋" w:cs="华文仿宋"/>
                <w:sz w:val="18"/>
                <w:szCs w:val="18"/>
              </w:rPr>
            </w:pPr>
            <w:r>
              <w:rPr>
                <w:rFonts w:ascii="华文仿宋" w:hAnsi="华文仿宋" w:eastAsia="华文仿宋" w:cs="华文仿宋"/>
                <w:spacing w:val="-2"/>
                <w:sz w:val="18"/>
                <w:szCs w:val="18"/>
              </w:rPr>
              <w:t>作。通过评价组现场调研及查阅各项补助文件资</w:t>
            </w:r>
            <w:r>
              <w:rPr>
                <w:rFonts w:ascii="华文仿宋" w:hAnsi="华文仿宋" w:eastAsia="华文仿宋" w:cs="华文仿宋"/>
                <w:spacing w:val="-4"/>
                <w:sz w:val="18"/>
                <w:szCs w:val="18"/>
              </w:rPr>
              <w:t>料，城乡低保工作方面，区民政局开展了群众救助补助项目，包含中央资金项目和自治区资</w:t>
            </w:r>
            <w:r>
              <w:rPr>
                <w:rFonts w:ascii="华文仿宋" w:hAnsi="华文仿宋" w:eastAsia="华文仿宋" w:cs="华文仿宋"/>
                <w:spacing w:val="-5"/>
                <w:sz w:val="18"/>
                <w:szCs w:val="18"/>
              </w:rPr>
              <w:t>金项</w:t>
            </w:r>
            <w:r>
              <w:rPr>
                <w:rFonts w:ascii="华文仿宋" w:hAnsi="华文仿宋" w:eastAsia="华文仿宋" w:cs="华文仿宋"/>
                <w:spacing w:val="-4"/>
                <w:sz w:val="18"/>
                <w:szCs w:val="18"/>
              </w:rPr>
              <w:t>目；残疾人两项补助方面，区民政局开展了残疾人两项补贴项目、彩票公益金支持残疾人补贴项目；老年人补贴方面，区民政局开展了老年人福</w:t>
            </w:r>
            <w:r>
              <w:rPr>
                <w:rFonts w:ascii="华文仿宋" w:hAnsi="华文仿宋" w:eastAsia="华文仿宋" w:cs="华文仿宋"/>
                <w:spacing w:val="-7"/>
                <w:sz w:val="18"/>
                <w:szCs w:val="18"/>
              </w:rPr>
              <w:t>利补贴项目、居家养老服务设施等项目；失地搬</w:t>
            </w:r>
            <w:r>
              <w:rPr>
                <w:rFonts w:ascii="华文仿宋" w:hAnsi="华文仿宋" w:eastAsia="华文仿宋" w:cs="华文仿宋"/>
                <w:spacing w:val="-3"/>
                <w:sz w:val="18"/>
                <w:szCs w:val="18"/>
              </w:rPr>
              <w:t>迁补助方面，区民政局开展了失地搬迁农牧民生</w:t>
            </w:r>
            <w:r>
              <w:rPr>
                <w:rFonts w:ascii="华文仿宋" w:hAnsi="华文仿宋" w:eastAsia="华文仿宋" w:cs="华文仿宋"/>
                <w:spacing w:val="-6"/>
                <w:sz w:val="18"/>
                <w:szCs w:val="18"/>
              </w:rPr>
              <w:t>活补助项目。综上所述，区民政局履职工作开展</w:t>
            </w:r>
            <w:r>
              <w:rPr>
                <w:rFonts w:ascii="华文仿宋" w:hAnsi="华文仿宋" w:eastAsia="华文仿宋" w:cs="华文仿宋"/>
                <w:spacing w:val="-4"/>
                <w:sz w:val="18"/>
                <w:szCs w:val="18"/>
              </w:rPr>
              <w:t>率为100%。依据评价标准，该指标得2分。</w:t>
            </w:r>
          </w:p>
        </w:tc>
        <w:tc>
          <w:tcPr>
            <w:tcW w:w="684" w:type="dxa"/>
            <w:vAlign w:val="top"/>
          </w:tcPr>
          <w:p>
            <w:pPr>
              <w:rPr>
                <w:rFonts w:ascii="Arial"/>
                <w:sz w:val="21"/>
              </w:rPr>
            </w:pPr>
          </w:p>
        </w:tc>
        <w:tc>
          <w:tcPr>
            <w:tcW w:w="83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99" w:hRule="atLeast"/>
        </w:trPr>
        <w:tc>
          <w:tcPr>
            <w:tcW w:w="1091" w:type="dxa"/>
            <w:vMerge w:val="restart"/>
            <w:tcBorders>
              <w:bottom w:val="nil"/>
            </w:tcBorders>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before="65" w:line="290" w:lineRule="auto"/>
              <w:ind w:left="306" w:right="182" w:hanging="109"/>
              <w:rPr>
                <w:rFonts w:ascii="华文仿宋" w:hAnsi="华文仿宋" w:eastAsia="华文仿宋" w:cs="华文仿宋"/>
                <w:sz w:val="18"/>
                <w:szCs w:val="18"/>
              </w:rPr>
            </w:pPr>
            <w:r>
              <w:rPr>
                <w:rFonts w:ascii="华文仿宋" w:hAnsi="华文仿宋" w:eastAsia="华文仿宋" w:cs="华文仿宋"/>
                <w:spacing w:val="-4"/>
                <w:sz w:val="18"/>
                <w:szCs w:val="18"/>
              </w:rPr>
              <w:t>部门绩效</w:t>
            </w:r>
            <w:r>
              <w:rPr>
                <w:rFonts w:ascii="华文仿宋" w:hAnsi="华文仿宋" w:eastAsia="华文仿宋" w:cs="华文仿宋"/>
                <w:spacing w:val="-7"/>
                <w:sz w:val="18"/>
                <w:szCs w:val="18"/>
              </w:rPr>
              <w:t>（50）</w:t>
            </w:r>
          </w:p>
        </w:tc>
        <w:tc>
          <w:tcPr>
            <w:tcW w:w="999" w:type="dxa"/>
            <w:vAlign w:val="top"/>
          </w:tcPr>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before="66" w:line="197" w:lineRule="auto"/>
              <w:ind w:left="147"/>
              <w:rPr>
                <w:rFonts w:ascii="华文仿宋" w:hAnsi="华文仿宋" w:eastAsia="华文仿宋" w:cs="华文仿宋"/>
                <w:sz w:val="18"/>
                <w:szCs w:val="18"/>
              </w:rPr>
            </w:pPr>
            <w:r>
              <w:rPr>
                <w:rFonts w:ascii="华文仿宋" w:hAnsi="华文仿宋" w:eastAsia="华文仿宋" w:cs="华文仿宋"/>
                <w:spacing w:val="-4"/>
                <w:sz w:val="18"/>
                <w:szCs w:val="18"/>
              </w:rPr>
              <w:t>部门履职</w:t>
            </w:r>
          </w:p>
          <w:p>
            <w:pPr>
              <w:spacing w:before="92" w:line="201" w:lineRule="auto"/>
              <w:ind w:left="333"/>
              <w:rPr>
                <w:rFonts w:ascii="华文仿宋" w:hAnsi="华文仿宋" w:eastAsia="华文仿宋" w:cs="华文仿宋"/>
                <w:sz w:val="18"/>
                <w:szCs w:val="18"/>
              </w:rPr>
            </w:pPr>
            <w:r>
              <w:rPr>
                <w:rFonts w:ascii="华文仿宋" w:hAnsi="华文仿宋" w:eastAsia="华文仿宋" w:cs="华文仿宋"/>
                <w:spacing w:val="-10"/>
                <w:sz w:val="18"/>
                <w:szCs w:val="18"/>
              </w:rPr>
              <w:t>情况</w:t>
            </w:r>
          </w:p>
          <w:p>
            <w:pPr>
              <w:spacing w:before="57" w:line="283" w:lineRule="exact"/>
              <w:ind w:left="300"/>
              <w:rPr>
                <w:rFonts w:ascii="华文仿宋" w:hAnsi="华文仿宋" w:eastAsia="华文仿宋" w:cs="华文仿宋"/>
                <w:sz w:val="18"/>
                <w:szCs w:val="18"/>
              </w:rPr>
            </w:pPr>
            <w:r>
              <w:rPr>
                <w:rFonts w:ascii="华文仿宋" w:hAnsi="华文仿宋" w:eastAsia="华文仿宋" w:cs="华文仿宋"/>
                <w:spacing w:val="-9"/>
                <w:position w:val="3"/>
                <w:sz w:val="18"/>
                <w:szCs w:val="18"/>
              </w:rPr>
              <w:t>（5）</w:t>
            </w:r>
          </w:p>
        </w:tc>
        <w:tc>
          <w:tcPr>
            <w:tcW w:w="1167" w:type="dxa"/>
            <w:vAlign w:val="top"/>
          </w:tcPr>
          <w:p>
            <w:pPr>
              <w:spacing w:line="311" w:lineRule="auto"/>
              <w:rPr>
                <w:rFonts w:ascii="Arial"/>
                <w:sz w:val="21"/>
              </w:rPr>
            </w:pPr>
          </w:p>
          <w:p>
            <w:pPr>
              <w:spacing w:line="312" w:lineRule="auto"/>
              <w:rPr>
                <w:rFonts w:ascii="Arial"/>
                <w:sz w:val="21"/>
              </w:rPr>
            </w:pPr>
          </w:p>
          <w:p>
            <w:pPr>
              <w:spacing w:line="312" w:lineRule="auto"/>
              <w:rPr>
                <w:rFonts w:ascii="Arial"/>
                <w:sz w:val="21"/>
              </w:rPr>
            </w:pPr>
          </w:p>
          <w:p>
            <w:pPr>
              <w:spacing w:before="66" w:line="292" w:lineRule="auto"/>
              <w:ind w:left="501" w:right="133" w:hanging="362"/>
              <w:rPr>
                <w:rFonts w:ascii="华文仿宋" w:hAnsi="华文仿宋" w:eastAsia="华文仿宋" w:cs="华文仿宋"/>
                <w:sz w:val="18"/>
                <w:szCs w:val="18"/>
              </w:rPr>
            </w:pPr>
            <w:r>
              <w:rPr>
                <w:rFonts w:ascii="华文仿宋" w:hAnsi="华文仿宋" w:eastAsia="华文仿宋" w:cs="华文仿宋"/>
                <w:spacing w:val="-3"/>
                <w:sz w:val="18"/>
                <w:szCs w:val="18"/>
              </w:rPr>
              <w:t>年度绩效管</w:t>
            </w:r>
            <w:r>
              <w:rPr>
                <w:rFonts w:ascii="华文仿宋" w:hAnsi="华文仿宋" w:eastAsia="华文仿宋" w:cs="华文仿宋"/>
                <w:sz w:val="18"/>
                <w:szCs w:val="18"/>
              </w:rPr>
              <w:t>理</w:t>
            </w:r>
          </w:p>
        </w:tc>
        <w:tc>
          <w:tcPr>
            <w:tcW w:w="665" w:type="dxa"/>
            <w:vAlign w:val="top"/>
          </w:tcPr>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before="66" w:line="177" w:lineRule="auto"/>
              <w:ind w:left="295"/>
              <w:rPr>
                <w:rFonts w:ascii="华文仿宋" w:hAnsi="华文仿宋" w:eastAsia="华文仿宋" w:cs="华文仿宋"/>
                <w:sz w:val="18"/>
                <w:szCs w:val="18"/>
              </w:rPr>
            </w:pPr>
            <w:r>
              <w:rPr>
                <w:rFonts w:ascii="华文仿宋" w:hAnsi="华文仿宋" w:eastAsia="华文仿宋" w:cs="华文仿宋"/>
                <w:sz w:val="18"/>
                <w:szCs w:val="18"/>
              </w:rPr>
              <w:t>3</w:t>
            </w:r>
          </w:p>
        </w:tc>
        <w:tc>
          <w:tcPr>
            <w:tcW w:w="3011" w:type="dxa"/>
            <w:vAlign w:val="top"/>
          </w:tcPr>
          <w:p>
            <w:pPr>
              <w:spacing w:before="71" w:line="286" w:lineRule="auto"/>
              <w:ind w:left="115" w:right="382" w:hanging="1"/>
              <w:rPr>
                <w:rFonts w:ascii="华文仿宋" w:hAnsi="华文仿宋" w:eastAsia="华文仿宋" w:cs="华文仿宋"/>
                <w:sz w:val="18"/>
                <w:szCs w:val="18"/>
              </w:rPr>
            </w:pPr>
            <w:r>
              <w:rPr>
                <w:rFonts w:ascii="华文仿宋" w:hAnsi="华文仿宋" w:eastAsia="华文仿宋" w:cs="华文仿宋"/>
                <w:spacing w:val="-1"/>
                <w:sz w:val="18"/>
                <w:szCs w:val="18"/>
              </w:rPr>
              <w:t>反映当年度绩效管理工作开展情</w:t>
            </w:r>
            <w:r>
              <w:rPr>
                <w:rFonts w:ascii="华文仿宋" w:hAnsi="华文仿宋" w:eastAsia="华文仿宋" w:cs="华文仿宋"/>
                <w:spacing w:val="-6"/>
                <w:sz w:val="18"/>
                <w:szCs w:val="18"/>
              </w:rPr>
              <w:t>况。</w:t>
            </w:r>
          </w:p>
          <w:p>
            <w:pPr>
              <w:spacing w:before="1" w:line="285" w:lineRule="auto"/>
              <w:ind w:left="114" w:right="257" w:firstLine="3"/>
              <w:rPr>
                <w:rFonts w:ascii="华文仿宋" w:hAnsi="华文仿宋" w:eastAsia="华文仿宋" w:cs="华文仿宋"/>
                <w:sz w:val="18"/>
                <w:szCs w:val="18"/>
              </w:rPr>
            </w:pPr>
            <w:r>
              <w:rPr>
                <w:rFonts w:ascii="华文仿宋" w:hAnsi="华文仿宋" w:eastAsia="华文仿宋" w:cs="华文仿宋"/>
                <w:spacing w:val="-1"/>
                <w:sz w:val="18"/>
                <w:szCs w:val="18"/>
              </w:rPr>
              <w:t>1.是否完成部门及项目的绩效目标</w:t>
            </w:r>
            <w:r>
              <w:rPr>
                <w:rFonts w:ascii="华文仿宋" w:hAnsi="华文仿宋" w:eastAsia="华文仿宋" w:cs="华文仿宋"/>
                <w:spacing w:val="-2"/>
                <w:sz w:val="18"/>
                <w:szCs w:val="18"/>
              </w:rPr>
              <w:t>编报并及时提交；</w:t>
            </w:r>
          </w:p>
          <w:p>
            <w:pPr>
              <w:spacing w:before="1" w:line="285" w:lineRule="auto"/>
              <w:ind w:left="113" w:right="257" w:hanging="6"/>
              <w:rPr>
                <w:rFonts w:ascii="华文仿宋" w:hAnsi="华文仿宋" w:eastAsia="华文仿宋" w:cs="华文仿宋"/>
                <w:sz w:val="18"/>
                <w:szCs w:val="18"/>
              </w:rPr>
            </w:pPr>
            <w:r>
              <w:rPr>
                <w:rFonts w:ascii="华文仿宋" w:hAnsi="华文仿宋" w:eastAsia="华文仿宋" w:cs="华文仿宋"/>
                <w:spacing w:val="-1"/>
                <w:sz w:val="18"/>
                <w:szCs w:val="18"/>
              </w:rPr>
              <w:t>2.是否完成部门及项目的绩效监控</w:t>
            </w:r>
            <w:r>
              <w:rPr>
                <w:rFonts w:ascii="华文仿宋" w:hAnsi="华文仿宋" w:eastAsia="华文仿宋" w:cs="华文仿宋"/>
                <w:spacing w:val="-2"/>
                <w:sz w:val="18"/>
                <w:szCs w:val="18"/>
              </w:rPr>
              <w:t>编报并及时提交；</w:t>
            </w:r>
          </w:p>
          <w:p>
            <w:pPr>
              <w:spacing w:before="1" w:line="249" w:lineRule="auto"/>
              <w:ind w:left="117" w:right="257" w:hanging="5"/>
              <w:rPr>
                <w:rFonts w:ascii="华文仿宋" w:hAnsi="华文仿宋" w:eastAsia="华文仿宋" w:cs="华文仿宋"/>
                <w:sz w:val="18"/>
                <w:szCs w:val="18"/>
              </w:rPr>
            </w:pPr>
            <w:r>
              <w:rPr>
                <w:rFonts w:ascii="华文仿宋" w:hAnsi="华文仿宋" w:eastAsia="华文仿宋" w:cs="华文仿宋"/>
                <w:spacing w:val="-1"/>
                <w:sz w:val="18"/>
                <w:szCs w:val="18"/>
              </w:rPr>
              <w:t>3.是否完成部门及项目绩效自评编</w:t>
            </w:r>
            <w:r>
              <w:rPr>
                <w:rFonts w:ascii="华文仿宋" w:hAnsi="华文仿宋" w:eastAsia="华文仿宋" w:cs="华文仿宋"/>
                <w:spacing w:val="-2"/>
                <w:sz w:val="18"/>
                <w:szCs w:val="18"/>
              </w:rPr>
              <w:t>报并及时提交。</w:t>
            </w:r>
          </w:p>
        </w:tc>
        <w:tc>
          <w:tcPr>
            <w:tcW w:w="918" w:type="dxa"/>
            <w:vAlign w:val="top"/>
          </w:tcPr>
          <w:p>
            <w:pPr>
              <w:spacing w:line="273" w:lineRule="auto"/>
              <w:rPr>
                <w:rFonts w:ascii="Arial"/>
                <w:sz w:val="21"/>
              </w:rPr>
            </w:pPr>
          </w:p>
          <w:p>
            <w:pPr>
              <w:spacing w:line="273" w:lineRule="auto"/>
              <w:rPr>
                <w:rFonts w:ascii="Arial"/>
                <w:sz w:val="21"/>
              </w:rPr>
            </w:pPr>
          </w:p>
          <w:p>
            <w:pPr>
              <w:spacing w:line="273" w:lineRule="auto"/>
              <w:rPr>
                <w:rFonts w:ascii="Arial"/>
                <w:sz w:val="21"/>
              </w:rPr>
            </w:pPr>
          </w:p>
          <w:p>
            <w:pPr>
              <w:spacing w:line="274" w:lineRule="auto"/>
              <w:rPr>
                <w:rFonts w:ascii="Arial"/>
                <w:sz w:val="21"/>
              </w:rPr>
            </w:pPr>
          </w:p>
          <w:p>
            <w:pPr>
              <w:spacing w:before="66" w:line="198" w:lineRule="auto"/>
              <w:ind w:left="296"/>
              <w:rPr>
                <w:rFonts w:ascii="华文仿宋" w:hAnsi="华文仿宋" w:eastAsia="华文仿宋" w:cs="华文仿宋"/>
                <w:sz w:val="18"/>
                <w:szCs w:val="18"/>
              </w:rPr>
            </w:pPr>
            <w:r>
              <w:rPr>
                <w:rFonts w:ascii="华文仿宋" w:hAnsi="华文仿宋" w:eastAsia="华文仿宋" w:cs="华文仿宋"/>
                <w:spacing w:val="-10"/>
                <w:sz w:val="18"/>
                <w:szCs w:val="18"/>
              </w:rPr>
              <w:t>完成</w:t>
            </w:r>
          </w:p>
        </w:tc>
        <w:tc>
          <w:tcPr>
            <w:tcW w:w="2171" w:type="dxa"/>
            <w:vAlign w:val="top"/>
          </w:tcPr>
          <w:p>
            <w:pPr>
              <w:spacing w:line="316" w:lineRule="auto"/>
              <w:rPr>
                <w:rFonts w:ascii="Arial"/>
                <w:sz w:val="21"/>
              </w:rPr>
            </w:pPr>
          </w:p>
          <w:p>
            <w:pPr>
              <w:spacing w:before="66" w:line="200" w:lineRule="auto"/>
              <w:ind w:left="119"/>
              <w:rPr>
                <w:rFonts w:ascii="华文仿宋" w:hAnsi="华文仿宋" w:eastAsia="华文仿宋" w:cs="华文仿宋"/>
                <w:sz w:val="18"/>
                <w:szCs w:val="18"/>
              </w:rPr>
            </w:pPr>
            <w:r>
              <w:rPr>
                <w:rFonts w:ascii="华文仿宋" w:hAnsi="华文仿宋" w:eastAsia="华文仿宋" w:cs="华文仿宋"/>
                <w:spacing w:val="-2"/>
                <w:sz w:val="18"/>
                <w:szCs w:val="18"/>
              </w:rPr>
              <w:t>部门及项目的绩效目</w:t>
            </w:r>
          </w:p>
          <w:p>
            <w:pPr>
              <w:spacing w:before="95" w:line="288" w:lineRule="auto"/>
              <w:ind w:left="113" w:right="259" w:firstLine="3"/>
              <w:rPr>
                <w:rFonts w:ascii="华文仿宋" w:hAnsi="华文仿宋" w:eastAsia="华文仿宋" w:cs="华文仿宋"/>
                <w:sz w:val="18"/>
                <w:szCs w:val="18"/>
              </w:rPr>
            </w:pPr>
            <w:r>
              <w:rPr>
                <w:rFonts w:ascii="华文仿宋" w:hAnsi="华文仿宋" w:eastAsia="华文仿宋" w:cs="华文仿宋"/>
                <w:spacing w:val="-5"/>
                <w:sz w:val="18"/>
                <w:szCs w:val="18"/>
              </w:rPr>
              <w:t>标、绩效监控、绩效自</w:t>
            </w:r>
            <w:r>
              <w:rPr>
                <w:rFonts w:ascii="华文仿宋" w:hAnsi="华文仿宋" w:eastAsia="华文仿宋" w:cs="华文仿宋"/>
                <w:spacing w:val="-1"/>
                <w:sz w:val="18"/>
                <w:szCs w:val="18"/>
              </w:rPr>
              <w:t>评编报完成并及时提交</w:t>
            </w:r>
            <w:r>
              <w:rPr>
                <w:rFonts w:ascii="华文仿宋" w:hAnsi="华文仿宋" w:eastAsia="华文仿宋" w:cs="华文仿宋"/>
                <w:spacing w:val="-2"/>
                <w:sz w:val="18"/>
                <w:szCs w:val="18"/>
              </w:rPr>
              <w:t>得3分；全部完成但未</w:t>
            </w:r>
            <w:r>
              <w:rPr>
                <w:rFonts w:ascii="华文仿宋" w:hAnsi="华文仿宋" w:eastAsia="华文仿宋" w:cs="华文仿宋"/>
                <w:spacing w:val="-6"/>
                <w:sz w:val="18"/>
                <w:szCs w:val="18"/>
              </w:rPr>
              <w:t>及时提交，得1分；有</w:t>
            </w:r>
            <w:r>
              <w:rPr>
                <w:rFonts w:ascii="华文仿宋" w:hAnsi="华文仿宋" w:eastAsia="华文仿宋" w:cs="华文仿宋"/>
                <w:spacing w:val="-1"/>
                <w:sz w:val="18"/>
                <w:szCs w:val="18"/>
              </w:rPr>
              <w:t>一项未完成不得分。</w:t>
            </w:r>
          </w:p>
        </w:tc>
        <w:tc>
          <w:tcPr>
            <w:tcW w:w="4007" w:type="dxa"/>
            <w:vAlign w:val="top"/>
          </w:tcPr>
          <w:p>
            <w:pPr>
              <w:spacing w:before="227" w:line="285" w:lineRule="auto"/>
              <w:ind w:left="120" w:right="114" w:hanging="4"/>
              <w:rPr>
                <w:rFonts w:ascii="华文仿宋" w:hAnsi="华文仿宋" w:eastAsia="华文仿宋" w:cs="华文仿宋"/>
                <w:sz w:val="18"/>
                <w:szCs w:val="18"/>
              </w:rPr>
            </w:pPr>
            <w:r>
              <w:rPr>
                <w:rFonts w:ascii="华文仿宋" w:hAnsi="华文仿宋" w:eastAsia="华文仿宋" w:cs="华文仿宋"/>
                <w:spacing w:val="-2"/>
                <w:sz w:val="18"/>
                <w:szCs w:val="18"/>
              </w:rPr>
              <w:t>根据区民政局提供的部门及项目绩效目标表、监</w:t>
            </w:r>
            <w:r>
              <w:rPr>
                <w:rFonts w:ascii="华文仿宋" w:hAnsi="华文仿宋" w:eastAsia="华文仿宋" w:cs="华文仿宋"/>
                <w:spacing w:val="-5"/>
                <w:sz w:val="18"/>
                <w:szCs w:val="18"/>
              </w:rPr>
              <w:t>控表、自评表及整体评价报告，区民政局2025</w:t>
            </w:r>
          </w:p>
          <w:p>
            <w:pPr>
              <w:spacing w:before="5" w:line="287" w:lineRule="auto"/>
              <w:ind w:left="116" w:right="114" w:firstLine="1"/>
              <w:rPr>
                <w:rFonts w:ascii="华文仿宋" w:hAnsi="华文仿宋" w:eastAsia="华文仿宋" w:cs="华文仿宋"/>
                <w:sz w:val="18"/>
                <w:szCs w:val="18"/>
              </w:rPr>
            </w:pPr>
            <w:r>
              <w:rPr>
                <w:rFonts w:ascii="华文仿宋" w:hAnsi="华文仿宋" w:eastAsia="华文仿宋" w:cs="华文仿宋"/>
                <w:spacing w:val="-3"/>
                <w:sz w:val="18"/>
                <w:szCs w:val="18"/>
              </w:rPr>
              <w:t>年已及时完成绩效目标、绩效监控、绩效自评等</w:t>
            </w:r>
            <w:r>
              <w:rPr>
                <w:rFonts w:ascii="华文仿宋" w:hAnsi="华文仿宋" w:eastAsia="华文仿宋" w:cs="华文仿宋"/>
                <w:spacing w:val="-4"/>
                <w:sz w:val="18"/>
                <w:szCs w:val="18"/>
              </w:rPr>
              <w:t>工作，并将财政资金全部纳入绩效管理范围，相</w:t>
            </w:r>
            <w:r>
              <w:rPr>
                <w:rFonts w:ascii="华文仿宋" w:hAnsi="华文仿宋" w:eastAsia="华文仿宋" w:cs="华文仿宋"/>
                <w:spacing w:val="-1"/>
                <w:sz w:val="18"/>
                <w:szCs w:val="18"/>
              </w:rPr>
              <w:t>关绩效表及报告已在财政预算绩效信息系统中填</w:t>
            </w:r>
            <w:r>
              <w:rPr>
                <w:rFonts w:ascii="华文仿宋" w:hAnsi="华文仿宋" w:eastAsia="华文仿宋" w:cs="华文仿宋"/>
                <w:spacing w:val="-3"/>
                <w:sz w:val="18"/>
                <w:szCs w:val="18"/>
              </w:rPr>
              <w:t>报完成并按时提交。依据评价标准，该指标得3</w:t>
            </w:r>
            <w:r>
              <w:rPr>
                <w:rFonts w:ascii="华文仿宋" w:hAnsi="华文仿宋" w:eastAsia="华文仿宋" w:cs="华文仿宋"/>
                <w:spacing w:val="-5"/>
                <w:sz w:val="18"/>
                <w:szCs w:val="18"/>
              </w:rPr>
              <w:t>分。</w:t>
            </w:r>
          </w:p>
        </w:tc>
        <w:tc>
          <w:tcPr>
            <w:tcW w:w="684" w:type="dxa"/>
            <w:vAlign w:val="top"/>
          </w:tcPr>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before="66" w:line="177" w:lineRule="auto"/>
              <w:ind w:left="308"/>
              <w:rPr>
                <w:rFonts w:ascii="华文仿宋" w:hAnsi="华文仿宋" w:eastAsia="华文仿宋" w:cs="华文仿宋"/>
                <w:sz w:val="18"/>
                <w:szCs w:val="18"/>
              </w:rPr>
            </w:pPr>
            <w:r>
              <w:rPr>
                <w:rFonts w:ascii="华文仿宋" w:hAnsi="华文仿宋" w:eastAsia="华文仿宋" w:cs="华文仿宋"/>
                <w:sz w:val="18"/>
                <w:szCs w:val="18"/>
              </w:rPr>
              <w:t>3</w:t>
            </w:r>
          </w:p>
        </w:tc>
        <w:tc>
          <w:tcPr>
            <w:tcW w:w="832" w:type="dxa"/>
            <w:vAlign w:val="top"/>
          </w:tcPr>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line="279" w:lineRule="auto"/>
              <w:rPr>
                <w:rFonts w:ascii="Arial"/>
                <w:sz w:val="21"/>
              </w:rPr>
            </w:pPr>
          </w:p>
          <w:p>
            <w:pPr>
              <w:spacing w:before="66"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55" w:hRule="atLeast"/>
        </w:trPr>
        <w:tc>
          <w:tcPr>
            <w:tcW w:w="1091" w:type="dxa"/>
            <w:vMerge w:val="continue"/>
            <w:tcBorders>
              <w:top w:val="nil"/>
            </w:tcBorders>
            <w:vAlign w:val="top"/>
          </w:tcPr>
          <w:p>
            <w:pPr>
              <w:rPr>
                <w:rFonts w:ascii="Arial"/>
                <w:sz w:val="21"/>
              </w:rPr>
            </w:pPr>
          </w:p>
        </w:tc>
        <w:tc>
          <w:tcPr>
            <w:tcW w:w="999" w:type="dxa"/>
            <w:vAlign w:val="top"/>
          </w:tcPr>
          <w:p>
            <w:pPr>
              <w:spacing w:before="230" w:line="269" w:lineRule="auto"/>
              <w:ind w:left="119" w:right="171" w:hanging="3"/>
              <w:rPr>
                <w:rFonts w:ascii="华文仿宋" w:hAnsi="华文仿宋" w:eastAsia="华文仿宋" w:cs="华文仿宋"/>
                <w:sz w:val="18"/>
                <w:szCs w:val="18"/>
              </w:rPr>
            </w:pPr>
            <w:r>
              <w:rPr>
                <w:rFonts w:ascii="华文仿宋" w:hAnsi="华文仿宋" w:eastAsia="华文仿宋" w:cs="华文仿宋"/>
                <w:spacing w:val="-4"/>
                <w:sz w:val="18"/>
                <w:szCs w:val="18"/>
              </w:rPr>
              <w:t>部门产出</w:t>
            </w:r>
            <w:r>
              <w:rPr>
                <w:rFonts w:ascii="华文仿宋" w:hAnsi="华文仿宋" w:eastAsia="华文仿宋" w:cs="华文仿宋"/>
                <w:spacing w:val="-9"/>
                <w:sz w:val="18"/>
                <w:szCs w:val="18"/>
              </w:rPr>
              <w:t>数量</w:t>
            </w:r>
          </w:p>
          <w:p>
            <w:pPr>
              <w:spacing w:line="283" w:lineRule="exact"/>
              <w:ind w:left="129"/>
              <w:rPr>
                <w:rFonts w:ascii="华文仿宋" w:hAnsi="华文仿宋" w:eastAsia="华文仿宋" w:cs="华文仿宋"/>
                <w:sz w:val="18"/>
                <w:szCs w:val="18"/>
              </w:rPr>
            </w:pPr>
            <w:r>
              <w:rPr>
                <w:rFonts w:ascii="华文仿宋" w:hAnsi="华文仿宋" w:eastAsia="华文仿宋" w:cs="华文仿宋"/>
                <w:spacing w:val="-7"/>
                <w:position w:val="3"/>
                <w:sz w:val="18"/>
                <w:szCs w:val="18"/>
              </w:rPr>
              <w:t>（20）</w:t>
            </w:r>
          </w:p>
        </w:tc>
        <w:tc>
          <w:tcPr>
            <w:tcW w:w="1167" w:type="dxa"/>
            <w:vAlign w:val="top"/>
          </w:tcPr>
          <w:p>
            <w:pPr>
              <w:spacing w:before="230" w:line="199" w:lineRule="auto"/>
              <w:ind w:left="138"/>
              <w:rPr>
                <w:rFonts w:ascii="华文仿宋" w:hAnsi="华文仿宋" w:eastAsia="华文仿宋" w:cs="华文仿宋"/>
                <w:sz w:val="18"/>
                <w:szCs w:val="18"/>
              </w:rPr>
            </w:pPr>
            <w:r>
              <w:rPr>
                <w:rFonts w:ascii="华文仿宋" w:hAnsi="华文仿宋" w:eastAsia="华文仿宋" w:cs="华文仿宋"/>
                <w:spacing w:val="-2"/>
                <w:sz w:val="18"/>
                <w:szCs w:val="18"/>
              </w:rPr>
              <w:t>城乡低保补</w:t>
            </w:r>
          </w:p>
          <w:p>
            <w:pPr>
              <w:spacing w:before="94" w:line="199" w:lineRule="auto"/>
              <w:ind w:left="141"/>
              <w:rPr>
                <w:rFonts w:ascii="华文仿宋" w:hAnsi="华文仿宋" w:eastAsia="华文仿宋" w:cs="华文仿宋"/>
                <w:sz w:val="18"/>
                <w:szCs w:val="18"/>
              </w:rPr>
            </w:pPr>
            <w:r>
              <w:rPr>
                <w:rFonts w:ascii="华文仿宋" w:hAnsi="华文仿宋" w:eastAsia="华文仿宋" w:cs="华文仿宋"/>
                <w:spacing w:val="-3"/>
                <w:sz w:val="18"/>
                <w:szCs w:val="18"/>
              </w:rPr>
              <w:t>贴工作完成</w:t>
            </w:r>
          </w:p>
          <w:p>
            <w:pPr>
              <w:spacing w:before="93" w:line="200" w:lineRule="auto"/>
              <w:ind w:left="503"/>
              <w:rPr>
                <w:rFonts w:ascii="华文仿宋" w:hAnsi="华文仿宋" w:eastAsia="华文仿宋" w:cs="华文仿宋"/>
                <w:sz w:val="18"/>
                <w:szCs w:val="18"/>
              </w:rPr>
            </w:pPr>
            <w:r>
              <w:rPr>
                <w:rFonts w:ascii="华文仿宋" w:hAnsi="华文仿宋" w:eastAsia="华文仿宋" w:cs="华文仿宋"/>
                <w:sz w:val="18"/>
                <w:szCs w:val="18"/>
              </w:rPr>
              <w:t>率</w:t>
            </w:r>
          </w:p>
        </w:tc>
        <w:tc>
          <w:tcPr>
            <w:tcW w:w="665" w:type="dxa"/>
            <w:vAlign w:val="top"/>
          </w:tcPr>
          <w:p>
            <w:pPr>
              <w:spacing w:line="249" w:lineRule="auto"/>
              <w:rPr>
                <w:rFonts w:ascii="Arial"/>
                <w:sz w:val="21"/>
              </w:rPr>
            </w:pPr>
          </w:p>
          <w:p>
            <w:pPr>
              <w:spacing w:line="249" w:lineRule="auto"/>
              <w:rPr>
                <w:rFonts w:ascii="Arial"/>
                <w:sz w:val="21"/>
              </w:rPr>
            </w:pPr>
          </w:p>
          <w:p>
            <w:pPr>
              <w:spacing w:before="65" w:line="177" w:lineRule="auto"/>
              <w:ind w:left="295"/>
              <w:rPr>
                <w:rFonts w:ascii="华文仿宋" w:hAnsi="华文仿宋" w:eastAsia="华文仿宋" w:cs="华文仿宋"/>
                <w:sz w:val="18"/>
                <w:szCs w:val="18"/>
              </w:rPr>
            </w:pPr>
            <w:r>
              <w:rPr>
                <w:rFonts w:ascii="华文仿宋" w:hAnsi="华文仿宋" w:eastAsia="华文仿宋" w:cs="华文仿宋"/>
                <w:sz w:val="18"/>
                <w:szCs w:val="18"/>
              </w:rPr>
              <w:t>6</w:t>
            </w:r>
          </w:p>
        </w:tc>
        <w:tc>
          <w:tcPr>
            <w:tcW w:w="3011" w:type="dxa"/>
            <w:vAlign w:val="top"/>
          </w:tcPr>
          <w:p>
            <w:pPr>
              <w:spacing w:before="72" w:line="286" w:lineRule="auto"/>
              <w:ind w:left="123" w:right="202" w:hanging="9"/>
              <w:rPr>
                <w:rFonts w:ascii="华文仿宋" w:hAnsi="华文仿宋" w:eastAsia="华文仿宋" w:cs="华文仿宋"/>
                <w:sz w:val="18"/>
                <w:szCs w:val="18"/>
              </w:rPr>
            </w:pPr>
            <w:r>
              <w:rPr>
                <w:rFonts w:ascii="华文仿宋" w:hAnsi="华文仿宋" w:eastAsia="华文仿宋" w:cs="华文仿宋"/>
                <w:spacing w:val="-1"/>
                <w:sz w:val="18"/>
                <w:szCs w:val="18"/>
              </w:rPr>
              <w:t>反映当年城乡低保发放工作的完成</w:t>
            </w:r>
            <w:r>
              <w:rPr>
                <w:rFonts w:ascii="华文仿宋" w:hAnsi="华文仿宋" w:eastAsia="华文仿宋" w:cs="华文仿宋"/>
                <w:spacing w:val="-7"/>
                <w:sz w:val="18"/>
                <w:szCs w:val="18"/>
              </w:rPr>
              <w:t>情况。</w:t>
            </w:r>
          </w:p>
          <w:p>
            <w:pPr>
              <w:spacing w:before="2" w:line="250" w:lineRule="auto"/>
              <w:ind w:left="120" w:right="257" w:hanging="3"/>
              <w:rPr>
                <w:rFonts w:ascii="华文仿宋" w:hAnsi="华文仿宋" w:eastAsia="华文仿宋" w:cs="华文仿宋"/>
                <w:sz w:val="18"/>
                <w:szCs w:val="18"/>
              </w:rPr>
            </w:pPr>
            <w:r>
              <w:rPr>
                <w:rFonts w:ascii="华文仿宋" w:hAnsi="华文仿宋" w:eastAsia="华文仿宋" w:cs="华文仿宋"/>
                <w:spacing w:val="-1"/>
                <w:sz w:val="18"/>
                <w:szCs w:val="18"/>
              </w:rPr>
              <w:t>1.是否按计划完成城乡低保每月的</w:t>
            </w:r>
            <w:r>
              <w:rPr>
                <w:rFonts w:ascii="华文仿宋" w:hAnsi="华文仿宋" w:eastAsia="华文仿宋" w:cs="华文仿宋"/>
                <w:spacing w:val="-3"/>
                <w:sz w:val="18"/>
                <w:szCs w:val="18"/>
              </w:rPr>
              <w:t>补助发放工作；</w:t>
            </w:r>
          </w:p>
        </w:tc>
        <w:tc>
          <w:tcPr>
            <w:tcW w:w="918" w:type="dxa"/>
            <w:vAlign w:val="top"/>
          </w:tcPr>
          <w:p>
            <w:pPr>
              <w:spacing w:line="249" w:lineRule="auto"/>
              <w:rPr>
                <w:rFonts w:ascii="Arial"/>
                <w:sz w:val="21"/>
              </w:rPr>
            </w:pPr>
          </w:p>
          <w:p>
            <w:pPr>
              <w:spacing w:line="249" w:lineRule="auto"/>
              <w:rPr>
                <w:rFonts w:ascii="Arial"/>
                <w:sz w:val="21"/>
              </w:rPr>
            </w:pPr>
          </w:p>
          <w:p>
            <w:pPr>
              <w:spacing w:before="65" w:line="177" w:lineRule="auto"/>
              <w:ind w:left="269"/>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c>
          <w:tcPr>
            <w:tcW w:w="2171" w:type="dxa"/>
            <w:vAlign w:val="top"/>
          </w:tcPr>
          <w:p>
            <w:pPr>
              <w:spacing w:before="229" w:line="285" w:lineRule="auto"/>
              <w:ind w:left="115" w:right="309" w:firstLine="6"/>
              <w:rPr>
                <w:rFonts w:ascii="华文仿宋" w:hAnsi="华文仿宋" w:eastAsia="华文仿宋" w:cs="华文仿宋"/>
                <w:sz w:val="18"/>
                <w:szCs w:val="18"/>
              </w:rPr>
            </w:pPr>
            <w:r>
              <w:rPr>
                <w:rFonts w:ascii="华文仿宋" w:hAnsi="华文仿宋" w:eastAsia="华文仿宋" w:cs="华文仿宋"/>
                <w:spacing w:val="-2"/>
                <w:sz w:val="18"/>
                <w:szCs w:val="18"/>
              </w:rPr>
              <w:t>符合全部评价要点得6</w:t>
            </w:r>
            <w:r>
              <w:rPr>
                <w:rFonts w:ascii="华文仿宋" w:hAnsi="华文仿宋" w:eastAsia="华文仿宋" w:cs="华文仿宋"/>
                <w:spacing w:val="-4"/>
                <w:sz w:val="18"/>
                <w:szCs w:val="18"/>
              </w:rPr>
              <w:t>分，每一项不符合扣2</w:t>
            </w:r>
          </w:p>
          <w:p>
            <w:pPr>
              <w:spacing w:line="201" w:lineRule="auto"/>
              <w:ind w:left="115"/>
              <w:rPr>
                <w:rFonts w:ascii="华文仿宋" w:hAnsi="华文仿宋" w:eastAsia="华文仿宋" w:cs="华文仿宋"/>
                <w:sz w:val="18"/>
                <w:szCs w:val="18"/>
              </w:rPr>
            </w:pPr>
            <w:r>
              <w:rPr>
                <w:rFonts w:ascii="华文仿宋" w:hAnsi="华文仿宋" w:eastAsia="华文仿宋" w:cs="华文仿宋"/>
                <w:spacing w:val="-6"/>
                <w:sz w:val="18"/>
                <w:szCs w:val="18"/>
              </w:rPr>
              <w:t>分，扣完为止。</w:t>
            </w:r>
          </w:p>
        </w:tc>
        <w:tc>
          <w:tcPr>
            <w:tcW w:w="4007" w:type="dxa"/>
            <w:vAlign w:val="top"/>
          </w:tcPr>
          <w:p>
            <w:pPr>
              <w:spacing w:before="70" w:line="269" w:lineRule="auto"/>
              <w:ind w:left="121" w:right="114" w:hanging="5"/>
              <w:jc w:val="both"/>
              <w:rPr>
                <w:rFonts w:ascii="华文仿宋" w:hAnsi="华文仿宋" w:eastAsia="华文仿宋" w:cs="华文仿宋"/>
                <w:sz w:val="18"/>
                <w:szCs w:val="18"/>
              </w:rPr>
            </w:pPr>
            <w:r>
              <w:rPr>
                <w:rFonts w:ascii="华文仿宋" w:hAnsi="华文仿宋" w:eastAsia="华文仿宋" w:cs="华文仿宋"/>
                <w:spacing w:val="-3"/>
                <w:sz w:val="18"/>
                <w:szCs w:val="18"/>
              </w:rPr>
              <w:t>根据区民政局提供年度工作总结、工作资料、相关文件等分析，部门单位全年应完成城市低保预</w:t>
            </w:r>
            <w:r>
              <w:rPr>
                <w:rFonts w:ascii="华文仿宋" w:hAnsi="华文仿宋" w:eastAsia="华文仿宋" w:cs="华文仿宋"/>
                <w:spacing w:val="-2"/>
                <w:sz w:val="18"/>
                <w:szCs w:val="18"/>
              </w:rPr>
              <w:t>期达到770元/人/月的补助发放标准；农村低保预期达到618元/人/月的补助发放标准；城乡人</w:t>
            </w:r>
          </w:p>
        </w:tc>
        <w:tc>
          <w:tcPr>
            <w:tcW w:w="684" w:type="dxa"/>
            <w:vAlign w:val="top"/>
          </w:tcPr>
          <w:p>
            <w:pPr>
              <w:spacing w:line="249" w:lineRule="auto"/>
              <w:rPr>
                <w:rFonts w:ascii="Arial"/>
                <w:sz w:val="21"/>
              </w:rPr>
            </w:pPr>
          </w:p>
          <w:p>
            <w:pPr>
              <w:spacing w:line="249" w:lineRule="auto"/>
              <w:rPr>
                <w:rFonts w:ascii="Arial"/>
                <w:sz w:val="21"/>
              </w:rPr>
            </w:pPr>
          </w:p>
          <w:p>
            <w:pPr>
              <w:spacing w:before="65" w:line="177" w:lineRule="auto"/>
              <w:ind w:left="308"/>
              <w:rPr>
                <w:rFonts w:ascii="华文仿宋" w:hAnsi="华文仿宋" w:eastAsia="华文仿宋" w:cs="华文仿宋"/>
                <w:sz w:val="18"/>
                <w:szCs w:val="18"/>
              </w:rPr>
            </w:pPr>
            <w:r>
              <w:rPr>
                <w:rFonts w:ascii="华文仿宋" w:hAnsi="华文仿宋" w:eastAsia="华文仿宋" w:cs="华文仿宋"/>
                <w:sz w:val="18"/>
                <w:szCs w:val="18"/>
              </w:rPr>
              <w:t>6</w:t>
            </w:r>
          </w:p>
        </w:tc>
        <w:tc>
          <w:tcPr>
            <w:tcW w:w="832" w:type="dxa"/>
            <w:vAlign w:val="top"/>
          </w:tcPr>
          <w:p>
            <w:pPr>
              <w:spacing w:line="249" w:lineRule="auto"/>
              <w:rPr>
                <w:rFonts w:ascii="Arial"/>
                <w:sz w:val="21"/>
              </w:rPr>
            </w:pPr>
          </w:p>
          <w:p>
            <w:pPr>
              <w:spacing w:line="249" w:lineRule="auto"/>
              <w:rPr>
                <w:rFonts w:ascii="Arial"/>
                <w:sz w:val="21"/>
              </w:rPr>
            </w:pPr>
          </w:p>
          <w:p>
            <w:pPr>
              <w:spacing w:before="65"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bl>
    <w:p>
      <w:pPr>
        <w:pStyle w:val="2"/>
      </w:pPr>
    </w:p>
    <w:p>
      <w:pPr>
        <w:sectPr>
          <w:footerReference r:id="rId18" w:type="default"/>
          <w:pgSz w:w="16839" w:h="11906"/>
          <w:pgMar w:top="1012" w:right="595" w:bottom="1575" w:left="692" w:header="0" w:footer="1289" w:gutter="0"/>
          <w:pgNumType w:fmt="decimal"/>
          <w:cols w:space="720" w:num="1"/>
        </w:sectPr>
      </w:pPr>
    </w:p>
    <w:p>
      <w:pPr>
        <w:pStyle w:val="2"/>
        <w:spacing w:line="287" w:lineRule="auto"/>
      </w:pPr>
    </w:p>
    <w:p>
      <w:pPr>
        <w:spacing w:before="102" w:line="201" w:lineRule="auto"/>
        <w:ind w:left="140" w:firstLine="231" w:firstLineChars="100"/>
        <w:rPr>
          <w:rFonts w:ascii="华文仿宋" w:hAnsi="华文仿宋" w:eastAsia="华文仿宋" w:cs="华文仿宋"/>
          <w:sz w:val="28"/>
          <w:szCs w:val="28"/>
        </w:rPr>
      </w:pPr>
      <w:r>
        <w:rPr>
          <w:rFonts w:hint="eastAsia" w:ascii="仿宋" w:hAnsi="仿宋" w:eastAsia="仿宋" w:cs="仿宋"/>
          <w:b/>
          <w:bCs/>
          <w:spacing w:val="-5"/>
          <w:sz w:val="24"/>
          <w:szCs w:val="24"/>
        </w:rPr>
        <w:t>附件一：部门整体绩效评价指标体系评分表</w:t>
      </w:r>
    </w:p>
    <w:p>
      <w:pPr>
        <w:spacing w:line="109" w:lineRule="exact"/>
      </w:pPr>
    </w:p>
    <w:tbl>
      <w:tblPr>
        <w:tblStyle w:val="7"/>
        <w:tblW w:w="155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999"/>
        <w:gridCol w:w="1167"/>
        <w:gridCol w:w="665"/>
        <w:gridCol w:w="3011"/>
        <w:gridCol w:w="918"/>
        <w:gridCol w:w="2171"/>
        <w:gridCol w:w="4007"/>
        <w:gridCol w:w="684"/>
        <w:gridCol w:w="8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6" w:hRule="atLeast"/>
        </w:trPr>
        <w:tc>
          <w:tcPr>
            <w:tcW w:w="1091" w:type="dxa"/>
            <w:vAlign w:val="top"/>
          </w:tcPr>
          <w:p>
            <w:pPr>
              <w:spacing w:before="112" w:line="199" w:lineRule="auto"/>
              <w:ind w:left="201"/>
              <w:rPr>
                <w:rFonts w:ascii="华文仿宋" w:hAnsi="华文仿宋" w:eastAsia="华文仿宋" w:cs="华文仿宋"/>
                <w:sz w:val="18"/>
                <w:szCs w:val="18"/>
              </w:rPr>
            </w:pPr>
            <w:r>
              <w:rPr>
                <w:rFonts w:ascii="华文仿宋" w:hAnsi="华文仿宋" w:eastAsia="华文仿宋" w:cs="华文仿宋"/>
                <w:b/>
                <w:bCs/>
                <w:spacing w:val="-7"/>
                <w:sz w:val="18"/>
                <w:szCs w:val="18"/>
              </w:rPr>
              <w:t>一级指标</w:t>
            </w:r>
          </w:p>
        </w:tc>
        <w:tc>
          <w:tcPr>
            <w:tcW w:w="999" w:type="dxa"/>
            <w:vAlign w:val="top"/>
          </w:tcPr>
          <w:p>
            <w:pPr>
              <w:spacing w:before="112" w:line="199" w:lineRule="auto"/>
              <w:ind w:left="152"/>
              <w:rPr>
                <w:rFonts w:ascii="华文仿宋" w:hAnsi="华文仿宋" w:eastAsia="华文仿宋" w:cs="华文仿宋"/>
                <w:sz w:val="18"/>
                <w:szCs w:val="18"/>
              </w:rPr>
            </w:pPr>
            <w:r>
              <w:rPr>
                <w:rFonts w:ascii="华文仿宋" w:hAnsi="华文仿宋" w:eastAsia="华文仿宋" w:cs="华文仿宋"/>
                <w:b/>
                <w:bCs/>
                <w:spacing w:val="-7"/>
                <w:sz w:val="18"/>
                <w:szCs w:val="18"/>
              </w:rPr>
              <w:t>二级指标</w:t>
            </w:r>
          </w:p>
        </w:tc>
        <w:tc>
          <w:tcPr>
            <w:tcW w:w="1167" w:type="dxa"/>
            <w:vAlign w:val="top"/>
          </w:tcPr>
          <w:p>
            <w:pPr>
              <w:spacing w:before="112" w:line="199" w:lineRule="auto"/>
              <w:ind w:left="241"/>
              <w:rPr>
                <w:rFonts w:ascii="华文仿宋" w:hAnsi="华文仿宋" w:eastAsia="华文仿宋" w:cs="华文仿宋"/>
                <w:sz w:val="18"/>
                <w:szCs w:val="18"/>
              </w:rPr>
            </w:pPr>
            <w:r>
              <w:rPr>
                <w:rFonts w:ascii="华文仿宋" w:hAnsi="华文仿宋" w:eastAsia="华文仿宋" w:cs="华文仿宋"/>
                <w:b/>
                <w:bCs/>
                <w:spacing w:val="-8"/>
                <w:sz w:val="18"/>
                <w:szCs w:val="18"/>
              </w:rPr>
              <w:t>三级指标</w:t>
            </w:r>
          </w:p>
        </w:tc>
        <w:tc>
          <w:tcPr>
            <w:tcW w:w="665" w:type="dxa"/>
            <w:vAlign w:val="top"/>
          </w:tcPr>
          <w:p>
            <w:pPr>
              <w:spacing w:before="113" w:line="198" w:lineRule="auto"/>
              <w:ind w:left="159"/>
              <w:rPr>
                <w:rFonts w:ascii="华文仿宋" w:hAnsi="华文仿宋" w:eastAsia="华文仿宋" w:cs="华文仿宋"/>
                <w:sz w:val="18"/>
                <w:szCs w:val="18"/>
              </w:rPr>
            </w:pPr>
            <w:r>
              <w:rPr>
                <w:rFonts w:ascii="华文仿宋" w:hAnsi="华文仿宋" w:eastAsia="华文仿宋" w:cs="华文仿宋"/>
                <w:b/>
                <w:bCs/>
                <w:spacing w:val="-7"/>
                <w:sz w:val="18"/>
                <w:szCs w:val="18"/>
              </w:rPr>
              <w:t>权重</w:t>
            </w:r>
          </w:p>
        </w:tc>
        <w:tc>
          <w:tcPr>
            <w:tcW w:w="3011" w:type="dxa"/>
            <w:vAlign w:val="top"/>
          </w:tcPr>
          <w:p>
            <w:pPr>
              <w:spacing w:before="112" w:line="199" w:lineRule="auto"/>
              <w:ind w:left="705"/>
              <w:rPr>
                <w:rFonts w:ascii="华文仿宋" w:hAnsi="华文仿宋" w:eastAsia="华文仿宋" w:cs="华文仿宋"/>
                <w:sz w:val="18"/>
                <w:szCs w:val="18"/>
              </w:rPr>
            </w:pPr>
            <w:r>
              <w:rPr>
                <w:rFonts w:ascii="华文仿宋" w:hAnsi="华文仿宋" w:eastAsia="华文仿宋" w:cs="华文仿宋"/>
                <w:b/>
                <w:bCs/>
                <w:spacing w:val="-4"/>
                <w:sz w:val="18"/>
                <w:szCs w:val="18"/>
              </w:rPr>
              <w:t>指标解释及评价要点</w:t>
            </w:r>
          </w:p>
        </w:tc>
        <w:tc>
          <w:tcPr>
            <w:tcW w:w="918" w:type="dxa"/>
            <w:vAlign w:val="top"/>
          </w:tcPr>
          <w:p>
            <w:pPr>
              <w:spacing w:before="112" w:line="199" w:lineRule="auto"/>
              <w:ind w:left="197"/>
              <w:rPr>
                <w:rFonts w:ascii="华文仿宋" w:hAnsi="华文仿宋" w:eastAsia="华文仿宋" w:cs="华文仿宋"/>
                <w:sz w:val="18"/>
                <w:szCs w:val="18"/>
              </w:rPr>
            </w:pPr>
            <w:r>
              <w:rPr>
                <w:rFonts w:ascii="华文仿宋" w:hAnsi="华文仿宋" w:eastAsia="华文仿宋" w:cs="华文仿宋"/>
                <w:b/>
                <w:bCs/>
                <w:spacing w:val="-6"/>
                <w:sz w:val="18"/>
                <w:szCs w:val="18"/>
              </w:rPr>
              <w:t>标杆值</w:t>
            </w:r>
          </w:p>
        </w:tc>
        <w:tc>
          <w:tcPr>
            <w:tcW w:w="2171" w:type="dxa"/>
            <w:vAlign w:val="top"/>
          </w:tcPr>
          <w:p>
            <w:pPr>
              <w:spacing w:before="112" w:line="199" w:lineRule="auto"/>
              <w:ind w:left="730"/>
              <w:rPr>
                <w:rFonts w:ascii="华文仿宋" w:hAnsi="华文仿宋" w:eastAsia="华文仿宋" w:cs="华文仿宋"/>
                <w:sz w:val="18"/>
                <w:szCs w:val="18"/>
              </w:rPr>
            </w:pPr>
            <w:r>
              <w:rPr>
                <w:rFonts w:ascii="华文仿宋" w:hAnsi="华文仿宋" w:eastAsia="华文仿宋" w:cs="华文仿宋"/>
                <w:b/>
                <w:bCs/>
                <w:spacing w:val="-4"/>
                <w:sz w:val="18"/>
                <w:szCs w:val="18"/>
              </w:rPr>
              <w:t>评价标准</w:t>
            </w:r>
          </w:p>
        </w:tc>
        <w:tc>
          <w:tcPr>
            <w:tcW w:w="4007" w:type="dxa"/>
            <w:vAlign w:val="top"/>
          </w:tcPr>
          <w:p>
            <w:pPr>
              <w:spacing w:before="113" w:line="198" w:lineRule="auto"/>
              <w:ind w:left="1648"/>
              <w:rPr>
                <w:rFonts w:ascii="华文仿宋" w:hAnsi="华文仿宋" w:eastAsia="华文仿宋" w:cs="华文仿宋"/>
                <w:sz w:val="18"/>
                <w:szCs w:val="18"/>
              </w:rPr>
            </w:pPr>
            <w:r>
              <w:rPr>
                <w:rFonts w:ascii="华文仿宋" w:hAnsi="华文仿宋" w:eastAsia="华文仿宋" w:cs="华文仿宋"/>
                <w:b/>
                <w:bCs/>
                <w:spacing w:val="-4"/>
                <w:sz w:val="18"/>
                <w:szCs w:val="18"/>
              </w:rPr>
              <w:t>评分过程</w:t>
            </w:r>
          </w:p>
        </w:tc>
        <w:tc>
          <w:tcPr>
            <w:tcW w:w="684" w:type="dxa"/>
            <w:vAlign w:val="top"/>
          </w:tcPr>
          <w:p>
            <w:pPr>
              <w:spacing w:before="114" w:line="197" w:lineRule="auto"/>
              <w:ind w:left="172"/>
              <w:rPr>
                <w:rFonts w:ascii="华文仿宋" w:hAnsi="华文仿宋" w:eastAsia="华文仿宋" w:cs="华文仿宋"/>
                <w:sz w:val="18"/>
                <w:szCs w:val="18"/>
              </w:rPr>
            </w:pPr>
            <w:r>
              <w:rPr>
                <w:rFonts w:ascii="华文仿宋" w:hAnsi="华文仿宋" w:eastAsia="华文仿宋" w:cs="华文仿宋"/>
                <w:b/>
                <w:bCs/>
                <w:spacing w:val="-8"/>
                <w:sz w:val="18"/>
                <w:szCs w:val="18"/>
              </w:rPr>
              <w:t>得分</w:t>
            </w:r>
          </w:p>
        </w:tc>
        <w:tc>
          <w:tcPr>
            <w:tcW w:w="832" w:type="dxa"/>
            <w:vAlign w:val="top"/>
          </w:tcPr>
          <w:p>
            <w:pPr>
              <w:spacing w:before="111" w:line="200" w:lineRule="auto"/>
              <w:ind w:left="152"/>
              <w:rPr>
                <w:rFonts w:ascii="华文仿宋" w:hAnsi="华文仿宋" w:eastAsia="华文仿宋" w:cs="华文仿宋"/>
                <w:sz w:val="18"/>
                <w:szCs w:val="18"/>
              </w:rPr>
            </w:pPr>
            <w:r>
              <w:rPr>
                <w:rFonts w:ascii="华文仿宋" w:hAnsi="华文仿宋" w:eastAsia="华文仿宋" w:cs="华文仿宋"/>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11" w:hRule="atLeast"/>
        </w:trPr>
        <w:tc>
          <w:tcPr>
            <w:tcW w:w="1091" w:type="dxa"/>
            <w:vAlign w:val="top"/>
          </w:tcPr>
          <w:p>
            <w:pPr>
              <w:rPr>
                <w:rFonts w:ascii="Arial"/>
                <w:sz w:val="21"/>
              </w:rPr>
            </w:pPr>
          </w:p>
        </w:tc>
        <w:tc>
          <w:tcPr>
            <w:tcW w:w="999" w:type="dxa"/>
            <w:vAlign w:val="top"/>
          </w:tcPr>
          <w:p>
            <w:pPr>
              <w:rPr>
                <w:rFonts w:ascii="Arial"/>
                <w:sz w:val="21"/>
              </w:rPr>
            </w:pPr>
          </w:p>
        </w:tc>
        <w:tc>
          <w:tcPr>
            <w:tcW w:w="1167" w:type="dxa"/>
            <w:vAlign w:val="top"/>
          </w:tcPr>
          <w:p>
            <w:pPr>
              <w:rPr>
                <w:rFonts w:ascii="Arial"/>
                <w:sz w:val="21"/>
              </w:rPr>
            </w:pPr>
          </w:p>
        </w:tc>
        <w:tc>
          <w:tcPr>
            <w:tcW w:w="665" w:type="dxa"/>
            <w:vAlign w:val="top"/>
          </w:tcPr>
          <w:p>
            <w:pPr>
              <w:rPr>
                <w:rFonts w:ascii="Arial"/>
                <w:sz w:val="21"/>
              </w:rPr>
            </w:pPr>
          </w:p>
        </w:tc>
        <w:tc>
          <w:tcPr>
            <w:tcW w:w="3011" w:type="dxa"/>
            <w:vAlign w:val="top"/>
          </w:tcPr>
          <w:p>
            <w:pPr>
              <w:spacing w:before="69" w:line="286" w:lineRule="auto"/>
              <w:ind w:left="122" w:right="257" w:hanging="15"/>
              <w:rPr>
                <w:rFonts w:ascii="华文仿宋" w:hAnsi="华文仿宋" w:eastAsia="华文仿宋" w:cs="华文仿宋"/>
                <w:sz w:val="18"/>
                <w:szCs w:val="18"/>
              </w:rPr>
            </w:pPr>
            <w:r>
              <w:rPr>
                <w:rFonts w:ascii="华文仿宋" w:hAnsi="华文仿宋" w:eastAsia="华文仿宋" w:cs="华文仿宋"/>
                <w:spacing w:val="-1"/>
                <w:sz w:val="18"/>
                <w:szCs w:val="18"/>
              </w:rPr>
              <w:t>2.是否按计划完成城乡特困人员每</w:t>
            </w:r>
            <w:r>
              <w:rPr>
                <w:rFonts w:ascii="华文仿宋" w:hAnsi="华文仿宋" w:eastAsia="华文仿宋" w:cs="华文仿宋"/>
                <w:spacing w:val="-6"/>
                <w:sz w:val="18"/>
                <w:szCs w:val="18"/>
              </w:rPr>
              <w:t>月的补助发放工作；</w:t>
            </w:r>
          </w:p>
          <w:p>
            <w:pPr>
              <w:spacing w:line="291" w:lineRule="auto"/>
              <w:ind w:left="120" w:right="257" w:hanging="8"/>
              <w:rPr>
                <w:rFonts w:ascii="华文仿宋" w:hAnsi="华文仿宋" w:eastAsia="华文仿宋" w:cs="华文仿宋"/>
                <w:sz w:val="18"/>
                <w:szCs w:val="18"/>
              </w:rPr>
            </w:pPr>
            <w:r>
              <w:rPr>
                <w:rFonts w:ascii="华文仿宋" w:hAnsi="华文仿宋" w:eastAsia="华文仿宋" w:cs="华文仿宋"/>
                <w:spacing w:val="-1"/>
                <w:sz w:val="18"/>
                <w:szCs w:val="18"/>
              </w:rPr>
              <w:t>3.是否按计划完成散居孤儿每月的</w:t>
            </w:r>
            <w:r>
              <w:rPr>
                <w:rFonts w:ascii="华文仿宋" w:hAnsi="华文仿宋" w:eastAsia="华文仿宋" w:cs="华文仿宋"/>
                <w:spacing w:val="-3"/>
                <w:sz w:val="18"/>
                <w:szCs w:val="18"/>
              </w:rPr>
              <w:t>补助发放工作；</w:t>
            </w:r>
          </w:p>
        </w:tc>
        <w:tc>
          <w:tcPr>
            <w:tcW w:w="918" w:type="dxa"/>
            <w:vAlign w:val="top"/>
          </w:tcPr>
          <w:p>
            <w:pPr>
              <w:rPr>
                <w:rFonts w:ascii="Arial"/>
                <w:sz w:val="21"/>
              </w:rPr>
            </w:pPr>
          </w:p>
        </w:tc>
        <w:tc>
          <w:tcPr>
            <w:tcW w:w="2171" w:type="dxa"/>
            <w:vAlign w:val="top"/>
          </w:tcPr>
          <w:p>
            <w:pPr>
              <w:rPr>
                <w:rFonts w:ascii="Arial"/>
                <w:sz w:val="21"/>
              </w:rPr>
            </w:pPr>
          </w:p>
        </w:tc>
        <w:tc>
          <w:tcPr>
            <w:tcW w:w="4007" w:type="dxa"/>
            <w:vAlign w:val="top"/>
          </w:tcPr>
          <w:p>
            <w:pPr>
              <w:spacing w:before="33" w:line="289" w:lineRule="auto"/>
              <w:ind w:left="119" w:right="227" w:firstLine="13"/>
              <w:rPr>
                <w:rFonts w:ascii="华文仿宋" w:hAnsi="华文仿宋" w:eastAsia="华文仿宋" w:cs="华文仿宋"/>
                <w:sz w:val="18"/>
                <w:szCs w:val="18"/>
              </w:rPr>
            </w:pPr>
            <w:r>
              <w:rPr>
                <w:rFonts w:ascii="华文仿宋" w:hAnsi="华文仿宋" w:eastAsia="华文仿宋" w:cs="华文仿宋"/>
                <w:spacing w:val="-3"/>
                <w:sz w:val="18"/>
                <w:szCs w:val="18"/>
              </w:rPr>
              <w:t>员预期达到1100元/人/月的补助发放标准；散</w:t>
            </w:r>
            <w:r>
              <w:rPr>
                <w:rFonts w:ascii="华文仿宋" w:hAnsi="华文仿宋" w:eastAsia="华文仿宋" w:cs="华文仿宋"/>
                <w:spacing w:val="-2"/>
                <w:sz w:val="18"/>
                <w:szCs w:val="18"/>
              </w:rPr>
              <w:t>居孤儿预期达到1300元/人/月的补助发放任</w:t>
            </w:r>
          </w:p>
          <w:p>
            <w:pPr>
              <w:spacing w:before="29" w:line="278" w:lineRule="auto"/>
              <w:ind w:left="115" w:right="137" w:firstLine="2"/>
              <w:rPr>
                <w:rFonts w:ascii="华文仿宋" w:hAnsi="华文仿宋" w:eastAsia="华文仿宋" w:cs="华文仿宋"/>
                <w:sz w:val="18"/>
                <w:szCs w:val="18"/>
              </w:rPr>
            </w:pPr>
            <w:r>
              <w:rPr>
                <w:rFonts w:ascii="华文仿宋" w:hAnsi="华文仿宋" w:eastAsia="华文仿宋" w:cs="华文仿宋"/>
                <w:spacing w:val="-5"/>
                <w:sz w:val="18"/>
                <w:szCs w:val="18"/>
              </w:rPr>
              <w:t>务。经核实，部门截</w:t>
            </w:r>
            <w:r>
              <w:rPr>
                <w:rFonts w:hint="eastAsia" w:ascii="华文仿宋" w:hAnsi="华文仿宋" w:eastAsia="华文仿宋" w:cs="华文仿宋"/>
                <w:spacing w:val="-5"/>
                <w:sz w:val="18"/>
                <w:szCs w:val="18"/>
                <w:lang w:val="en-US" w:eastAsia="zh-CN"/>
              </w:rPr>
              <w:t>至</w:t>
            </w:r>
            <w:r>
              <w:rPr>
                <w:rFonts w:ascii="华文仿宋" w:hAnsi="华文仿宋" w:eastAsia="华文仿宋" w:cs="华文仿宋"/>
                <w:spacing w:val="-5"/>
                <w:sz w:val="18"/>
                <w:szCs w:val="18"/>
              </w:rPr>
              <w:t>2025年底，完成城乡低</w:t>
            </w:r>
            <w:r>
              <w:rPr>
                <w:rFonts w:ascii="华文仿宋" w:hAnsi="华文仿宋" w:eastAsia="华文仿宋" w:cs="华文仿宋"/>
                <w:spacing w:val="-3"/>
                <w:sz w:val="18"/>
                <w:szCs w:val="18"/>
              </w:rPr>
              <w:t>保发放标准为770元/人/月，已达成预期目</w:t>
            </w:r>
            <w:r>
              <w:rPr>
                <w:rFonts w:ascii="华文仿宋" w:hAnsi="华文仿宋" w:eastAsia="华文仿宋" w:cs="华文仿宋"/>
                <w:spacing w:val="-4"/>
                <w:sz w:val="18"/>
                <w:szCs w:val="18"/>
              </w:rPr>
              <w:t>标；城乡人员补助发放标准为1100元/人/月，已达</w:t>
            </w:r>
            <w:r>
              <w:rPr>
                <w:rFonts w:ascii="华文仿宋" w:hAnsi="华文仿宋" w:eastAsia="华文仿宋" w:cs="华文仿宋"/>
                <w:spacing w:val="-2"/>
                <w:sz w:val="18"/>
                <w:szCs w:val="18"/>
              </w:rPr>
              <w:t>成预期目标；散居孤儿补助发放标准为1300元/</w:t>
            </w:r>
            <w:r>
              <w:rPr>
                <w:rFonts w:ascii="华文仿宋" w:hAnsi="华文仿宋" w:eastAsia="华文仿宋" w:cs="华文仿宋"/>
                <w:spacing w:val="-4"/>
                <w:sz w:val="18"/>
                <w:szCs w:val="18"/>
              </w:rPr>
              <w:t>人/月，</w:t>
            </w:r>
            <w:r>
              <w:rPr>
                <w:rFonts w:hint="eastAsia" w:ascii="华文仿宋" w:hAnsi="华文仿宋" w:eastAsia="华文仿宋" w:cs="华文仿宋"/>
                <w:spacing w:val="-4"/>
                <w:sz w:val="18"/>
                <w:szCs w:val="18"/>
                <w:lang w:val="en-US" w:eastAsia="zh-CN"/>
              </w:rPr>
              <w:t>已</w:t>
            </w:r>
            <w:r>
              <w:rPr>
                <w:rFonts w:ascii="华文仿宋" w:hAnsi="华文仿宋" w:eastAsia="华文仿宋" w:cs="华文仿宋"/>
                <w:spacing w:val="-4"/>
                <w:sz w:val="18"/>
                <w:szCs w:val="18"/>
              </w:rPr>
              <w:t>达成预期目标；综上所述，三项补助工</w:t>
            </w:r>
            <w:r>
              <w:rPr>
                <w:rFonts w:ascii="华文仿宋" w:hAnsi="华文仿宋" w:eastAsia="华文仿宋" w:cs="华文仿宋"/>
                <w:spacing w:val="-2"/>
                <w:sz w:val="18"/>
                <w:szCs w:val="18"/>
              </w:rPr>
              <w:t>作均</w:t>
            </w:r>
            <w:r>
              <w:rPr>
                <w:rFonts w:hint="eastAsia" w:ascii="华文仿宋" w:hAnsi="华文仿宋" w:eastAsia="华文仿宋" w:cs="华文仿宋"/>
                <w:spacing w:val="-2"/>
                <w:sz w:val="18"/>
                <w:szCs w:val="18"/>
                <w:lang w:val="en-US" w:eastAsia="zh-CN"/>
              </w:rPr>
              <w:t>已</w:t>
            </w:r>
            <w:r>
              <w:rPr>
                <w:rFonts w:ascii="华文仿宋" w:hAnsi="华文仿宋" w:eastAsia="华文仿宋" w:cs="华文仿宋"/>
                <w:spacing w:val="-2"/>
                <w:sz w:val="18"/>
                <w:szCs w:val="18"/>
              </w:rPr>
              <w:t>达成预期目标,依据评价标准，该指标得6</w:t>
            </w:r>
            <w:r>
              <w:rPr>
                <w:rFonts w:ascii="华文仿宋" w:hAnsi="华文仿宋" w:eastAsia="华文仿宋" w:cs="华文仿宋"/>
                <w:spacing w:val="-5"/>
                <w:sz w:val="18"/>
                <w:szCs w:val="18"/>
              </w:rPr>
              <w:t>分。</w:t>
            </w:r>
          </w:p>
        </w:tc>
        <w:tc>
          <w:tcPr>
            <w:tcW w:w="684" w:type="dxa"/>
            <w:vAlign w:val="top"/>
          </w:tcPr>
          <w:p>
            <w:pPr>
              <w:rPr>
                <w:rFonts w:ascii="Arial"/>
                <w:sz w:val="21"/>
              </w:rPr>
            </w:pPr>
          </w:p>
        </w:tc>
        <w:tc>
          <w:tcPr>
            <w:tcW w:w="83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825" w:hRule="atLeast"/>
        </w:trPr>
        <w:tc>
          <w:tcPr>
            <w:tcW w:w="1091" w:type="dxa"/>
            <w:vAlign w:val="top"/>
          </w:tcPr>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before="66" w:line="290" w:lineRule="auto"/>
              <w:ind w:left="306" w:right="182" w:hanging="109"/>
              <w:rPr>
                <w:rFonts w:ascii="华文仿宋" w:hAnsi="华文仿宋" w:eastAsia="华文仿宋" w:cs="华文仿宋"/>
                <w:sz w:val="18"/>
                <w:szCs w:val="18"/>
              </w:rPr>
            </w:pPr>
            <w:r>
              <w:rPr>
                <w:rFonts w:ascii="华文仿宋" w:hAnsi="华文仿宋" w:eastAsia="华文仿宋" w:cs="华文仿宋"/>
                <w:spacing w:val="-4"/>
                <w:sz w:val="18"/>
                <w:szCs w:val="18"/>
              </w:rPr>
              <w:t>部门绩效</w:t>
            </w:r>
            <w:r>
              <w:rPr>
                <w:rFonts w:ascii="华文仿宋" w:hAnsi="华文仿宋" w:eastAsia="华文仿宋" w:cs="华文仿宋"/>
                <w:spacing w:val="-7"/>
                <w:sz w:val="18"/>
                <w:szCs w:val="18"/>
              </w:rPr>
              <w:t>（50）</w:t>
            </w:r>
          </w:p>
        </w:tc>
        <w:tc>
          <w:tcPr>
            <w:tcW w:w="999" w:type="dxa"/>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before="66" w:line="269" w:lineRule="auto"/>
              <w:ind w:left="119" w:right="171" w:hanging="3"/>
              <w:rPr>
                <w:rFonts w:ascii="华文仿宋" w:hAnsi="华文仿宋" w:eastAsia="华文仿宋" w:cs="华文仿宋"/>
                <w:sz w:val="18"/>
                <w:szCs w:val="18"/>
              </w:rPr>
            </w:pPr>
            <w:r>
              <w:rPr>
                <w:rFonts w:ascii="华文仿宋" w:hAnsi="华文仿宋" w:eastAsia="华文仿宋" w:cs="华文仿宋"/>
                <w:spacing w:val="-4"/>
                <w:sz w:val="18"/>
                <w:szCs w:val="18"/>
              </w:rPr>
              <w:t>部门产出</w:t>
            </w:r>
            <w:r>
              <w:rPr>
                <w:rFonts w:ascii="华文仿宋" w:hAnsi="华文仿宋" w:eastAsia="华文仿宋" w:cs="华文仿宋"/>
                <w:spacing w:val="-9"/>
                <w:sz w:val="18"/>
                <w:szCs w:val="18"/>
              </w:rPr>
              <w:t>数量</w:t>
            </w:r>
          </w:p>
          <w:p>
            <w:pPr>
              <w:spacing w:line="283" w:lineRule="exact"/>
              <w:ind w:left="129"/>
              <w:rPr>
                <w:rFonts w:ascii="华文仿宋" w:hAnsi="华文仿宋" w:eastAsia="华文仿宋" w:cs="华文仿宋"/>
                <w:sz w:val="18"/>
                <w:szCs w:val="18"/>
              </w:rPr>
            </w:pPr>
            <w:r>
              <w:rPr>
                <w:rFonts w:ascii="华文仿宋" w:hAnsi="华文仿宋" w:eastAsia="华文仿宋" w:cs="华文仿宋"/>
                <w:spacing w:val="-7"/>
                <w:position w:val="3"/>
                <w:sz w:val="18"/>
                <w:szCs w:val="18"/>
              </w:rPr>
              <w:t>（20）</w:t>
            </w:r>
          </w:p>
        </w:tc>
        <w:tc>
          <w:tcPr>
            <w:tcW w:w="1167" w:type="dxa"/>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line="241" w:lineRule="auto"/>
              <w:rPr>
                <w:rFonts w:ascii="Arial"/>
                <w:sz w:val="21"/>
              </w:rPr>
            </w:pPr>
          </w:p>
          <w:p>
            <w:pPr>
              <w:spacing w:before="65" w:line="199" w:lineRule="auto"/>
              <w:ind w:left="140"/>
              <w:rPr>
                <w:rFonts w:ascii="华文仿宋" w:hAnsi="华文仿宋" w:eastAsia="华文仿宋" w:cs="华文仿宋"/>
                <w:sz w:val="18"/>
                <w:szCs w:val="18"/>
              </w:rPr>
            </w:pPr>
            <w:r>
              <w:rPr>
                <w:rFonts w:ascii="华文仿宋" w:hAnsi="华文仿宋" w:eastAsia="华文仿宋" w:cs="华文仿宋"/>
                <w:spacing w:val="-3"/>
                <w:sz w:val="18"/>
                <w:szCs w:val="18"/>
              </w:rPr>
              <w:t>残疾人两项</w:t>
            </w:r>
          </w:p>
          <w:p>
            <w:pPr>
              <w:spacing w:before="94" w:line="199" w:lineRule="auto"/>
              <w:ind w:left="146"/>
              <w:rPr>
                <w:rFonts w:ascii="华文仿宋" w:hAnsi="华文仿宋" w:eastAsia="华文仿宋" w:cs="华文仿宋"/>
                <w:sz w:val="18"/>
                <w:szCs w:val="18"/>
              </w:rPr>
            </w:pPr>
            <w:r>
              <w:rPr>
                <w:rFonts w:ascii="华文仿宋" w:hAnsi="华文仿宋" w:eastAsia="华文仿宋" w:cs="华文仿宋"/>
                <w:spacing w:val="-4"/>
                <w:sz w:val="18"/>
                <w:szCs w:val="18"/>
              </w:rPr>
              <w:t>补贴工作完</w:t>
            </w:r>
          </w:p>
          <w:p>
            <w:pPr>
              <w:spacing w:before="93" w:line="200" w:lineRule="auto"/>
              <w:ind w:left="417"/>
              <w:rPr>
                <w:rFonts w:ascii="华文仿宋" w:hAnsi="华文仿宋" w:eastAsia="华文仿宋" w:cs="华文仿宋"/>
                <w:sz w:val="18"/>
                <w:szCs w:val="18"/>
              </w:rPr>
            </w:pPr>
            <w:r>
              <w:rPr>
                <w:rFonts w:ascii="华文仿宋" w:hAnsi="华文仿宋" w:eastAsia="华文仿宋" w:cs="华文仿宋"/>
                <w:spacing w:val="-10"/>
                <w:sz w:val="18"/>
                <w:szCs w:val="18"/>
              </w:rPr>
              <w:t>成率</w:t>
            </w:r>
          </w:p>
        </w:tc>
        <w:tc>
          <w:tcPr>
            <w:tcW w:w="665"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5" w:line="177" w:lineRule="auto"/>
              <w:ind w:left="295"/>
              <w:rPr>
                <w:rFonts w:ascii="华文仿宋" w:hAnsi="华文仿宋" w:eastAsia="华文仿宋" w:cs="华文仿宋"/>
                <w:sz w:val="18"/>
                <w:szCs w:val="18"/>
              </w:rPr>
            </w:pPr>
            <w:r>
              <w:rPr>
                <w:rFonts w:ascii="华文仿宋" w:hAnsi="华文仿宋" w:eastAsia="华文仿宋" w:cs="华文仿宋"/>
                <w:sz w:val="18"/>
                <w:szCs w:val="18"/>
              </w:rPr>
              <w:t>3</w:t>
            </w:r>
          </w:p>
        </w:tc>
        <w:tc>
          <w:tcPr>
            <w:tcW w:w="3011"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before="66" w:line="286" w:lineRule="auto"/>
              <w:ind w:left="121" w:right="202" w:hanging="7"/>
              <w:rPr>
                <w:rFonts w:ascii="华文仿宋" w:hAnsi="华文仿宋" w:eastAsia="华文仿宋" w:cs="华文仿宋"/>
                <w:sz w:val="18"/>
                <w:szCs w:val="18"/>
              </w:rPr>
            </w:pPr>
            <w:r>
              <w:rPr>
                <w:rFonts w:ascii="华文仿宋" w:hAnsi="华文仿宋" w:eastAsia="华文仿宋" w:cs="华文仿宋"/>
                <w:spacing w:val="-1"/>
                <w:sz w:val="18"/>
                <w:szCs w:val="18"/>
              </w:rPr>
              <w:t>反映当年残疾人两项补贴工作的完</w:t>
            </w:r>
            <w:r>
              <w:rPr>
                <w:rFonts w:ascii="华文仿宋" w:hAnsi="华文仿宋" w:eastAsia="华文仿宋" w:cs="华文仿宋"/>
                <w:spacing w:val="-5"/>
                <w:sz w:val="18"/>
                <w:szCs w:val="18"/>
              </w:rPr>
              <w:t>成情况。</w:t>
            </w:r>
          </w:p>
          <w:p>
            <w:pPr>
              <w:spacing w:before="1" w:line="285" w:lineRule="auto"/>
              <w:ind w:left="120" w:right="257" w:hanging="3"/>
              <w:rPr>
                <w:rFonts w:ascii="华文仿宋" w:hAnsi="华文仿宋" w:eastAsia="华文仿宋" w:cs="华文仿宋"/>
                <w:sz w:val="18"/>
                <w:szCs w:val="18"/>
              </w:rPr>
            </w:pPr>
            <w:r>
              <w:rPr>
                <w:rFonts w:ascii="华文仿宋" w:hAnsi="华文仿宋" w:eastAsia="华文仿宋" w:cs="华文仿宋"/>
                <w:spacing w:val="-1"/>
                <w:sz w:val="18"/>
                <w:szCs w:val="18"/>
              </w:rPr>
              <w:t>1.是否按计划完成困难残疾人生活</w:t>
            </w:r>
            <w:r>
              <w:rPr>
                <w:rFonts w:ascii="华文仿宋" w:hAnsi="华文仿宋" w:eastAsia="华文仿宋" w:cs="华文仿宋"/>
                <w:spacing w:val="-2"/>
                <w:sz w:val="18"/>
                <w:szCs w:val="18"/>
              </w:rPr>
              <w:t>补贴每月补助发放工作；</w:t>
            </w:r>
          </w:p>
          <w:p>
            <w:pPr>
              <w:spacing w:line="291" w:lineRule="auto"/>
              <w:ind w:left="120" w:right="257" w:hanging="13"/>
              <w:rPr>
                <w:rFonts w:ascii="华文仿宋" w:hAnsi="华文仿宋" w:eastAsia="华文仿宋" w:cs="华文仿宋"/>
                <w:sz w:val="18"/>
                <w:szCs w:val="18"/>
              </w:rPr>
            </w:pPr>
            <w:r>
              <w:rPr>
                <w:rFonts w:ascii="华文仿宋" w:hAnsi="华文仿宋" w:eastAsia="华文仿宋" w:cs="华文仿宋"/>
                <w:spacing w:val="-1"/>
                <w:sz w:val="18"/>
                <w:szCs w:val="18"/>
              </w:rPr>
              <w:t>2.是否按计划完成重度残疾人护理</w:t>
            </w:r>
            <w:r>
              <w:rPr>
                <w:rFonts w:ascii="华文仿宋" w:hAnsi="华文仿宋" w:eastAsia="华文仿宋" w:cs="华文仿宋"/>
                <w:spacing w:val="-2"/>
                <w:sz w:val="18"/>
                <w:szCs w:val="18"/>
              </w:rPr>
              <w:t>补贴每月的补助发放工作；</w:t>
            </w:r>
          </w:p>
        </w:tc>
        <w:tc>
          <w:tcPr>
            <w:tcW w:w="918"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5" w:line="177" w:lineRule="auto"/>
              <w:ind w:left="269"/>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c>
          <w:tcPr>
            <w:tcW w:w="2171" w:type="dxa"/>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before="65" w:line="285" w:lineRule="auto"/>
              <w:ind w:left="115" w:right="187" w:firstLine="6"/>
              <w:rPr>
                <w:rFonts w:ascii="华文仿宋" w:hAnsi="华文仿宋" w:eastAsia="华文仿宋" w:cs="华文仿宋"/>
                <w:sz w:val="18"/>
                <w:szCs w:val="18"/>
              </w:rPr>
            </w:pPr>
            <w:r>
              <w:rPr>
                <w:rFonts w:ascii="华文仿宋" w:hAnsi="华文仿宋" w:eastAsia="华文仿宋" w:cs="华文仿宋"/>
                <w:spacing w:val="-2"/>
                <w:sz w:val="18"/>
                <w:szCs w:val="18"/>
              </w:rPr>
              <w:t>符合全部评价要点得3</w:t>
            </w:r>
            <w:r>
              <w:rPr>
                <w:rFonts w:ascii="华文仿宋" w:hAnsi="华文仿宋" w:eastAsia="华文仿宋" w:cs="华文仿宋"/>
                <w:spacing w:val="-5"/>
                <w:sz w:val="18"/>
                <w:szCs w:val="18"/>
              </w:rPr>
              <w:t>分，每一项不符合扣1.5</w:t>
            </w:r>
          </w:p>
          <w:p>
            <w:pPr>
              <w:spacing w:line="201" w:lineRule="auto"/>
              <w:ind w:left="115"/>
              <w:rPr>
                <w:rFonts w:ascii="华文仿宋" w:hAnsi="华文仿宋" w:eastAsia="华文仿宋" w:cs="华文仿宋"/>
                <w:sz w:val="18"/>
                <w:szCs w:val="18"/>
              </w:rPr>
            </w:pPr>
            <w:r>
              <w:rPr>
                <w:rFonts w:ascii="华文仿宋" w:hAnsi="华文仿宋" w:eastAsia="华文仿宋" w:cs="华文仿宋"/>
                <w:spacing w:val="-6"/>
                <w:sz w:val="18"/>
                <w:szCs w:val="18"/>
              </w:rPr>
              <w:t>分，扣完为止。</w:t>
            </w:r>
          </w:p>
        </w:tc>
        <w:tc>
          <w:tcPr>
            <w:tcW w:w="4007" w:type="dxa"/>
            <w:vAlign w:val="top"/>
          </w:tcPr>
          <w:p>
            <w:pPr>
              <w:spacing w:before="111" w:line="284" w:lineRule="auto"/>
              <w:ind w:left="117" w:right="114" w:hanging="1"/>
              <w:rPr>
                <w:rFonts w:ascii="华文仿宋" w:hAnsi="华文仿宋" w:eastAsia="华文仿宋" w:cs="华文仿宋"/>
                <w:sz w:val="18"/>
                <w:szCs w:val="18"/>
              </w:rPr>
            </w:pPr>
            <w:r>
              <w:rPr>
                <w:rFonts w:ascii="华文仿宋" w:hAnsi="华文仿宋" w:eastAsia="华文仿宋" w:cs="华文仿宋"/>
                <w:spacing w:val="-3"/>
                <w:sz w:val="18"/>
                <w:szCs w:val="18"/>
              </w:rPr>
              <w:t>根据区民政局提供年度工作总结、工作资料、相关文件等分析，区民政局应完成残疾人预期达到</w:t>
            </w:r>
            <w:r>
              <w:rPr>
                <w:rFonts w:ascii="华文仿宋" w:hAnsi="华文仿宋" w:eastAsia="华文仿宋" w:cs="华文仿宋"/>
                <w:spacing w:val="-2"/>
                <w:sz w:val="18"/>
                <w:szCs w:val="18"/>
              </w:rPr>
              <w:t>120元/人/月的补助发放标准；重度残疾人护理</w:t>
            </w:r>
            <w:r>
              <w:rPr>
                <w:rFonts w:ascii="华文仿宋" w:hAnsi="华文仿宋" w:eastAsia="华文仿宋" w:cs="华文仿宋"/>
                <w:spacing w:val="-3"/>
                <w:sz w:val="18"/>
                <w:szCs w:val="18"/>
              </w:rPr>
              <w:t>预期达到120元/人/月的补助发放标准。经核</w:t>
            </w:r>
            <w:r>
              <w:rPr>
                <w:rFonts w:ascii="华文仿宋" w:hAnsi="华文仿宋" w:eastAsia="华文仿宋" w:cs="华文仿宋"/>
                <w:spacing w:val="-4"/>
                <w:sz w:val="18"/>
                <w:szCs w:val="18"/>
              </w:rPr>
              <w:t>实，</w:t>
            </w:r>
            <w:r>
              <w:rPr>
                <w:rFonts w:ascii="华文仿宋" w:hAnsi="华文仿宋" w:eastAsia="华文仿宋" w:cs="华文仿宋"/>
                <w:spacing w:val="-5"/>
                <w:sz w:val="18"/>
                <w:szCs w:val="18"/>
              </w:rPr>
              <w:t>截</w:t>
            </w:r>
            <w:r>
              <w:rPr>
                <w:rFonts w:hint="eastAsia" w:ascii="华文仿宋" w:hAnsi="华文仿宋" w:eastAsia="华文仿宋" w:cs="华文仿宋"/>
                <w:spacing w:val="-5"/>
                <w:sz w:val="18"/>
                <w:szCs w:val="18"/>
                <w:lang w:val="en-US" w:eastAsia="zh-CN"/>
              </w:rPr>
              <w:t>至</w:t>
            </w:r>
            <w:r>
              <w:rPr>
                <w:rFonts w:ascii="华文仿宋" w:hAnsi="华文仿宋" w:eastAsia="华文仿宋" w:cs="华文仿宋"/>
                <w:spacing w:val="-5"/>
                <w:sz w:val="18"/>
                <w:szCs w:val="18"/>
              </w:rPr>
              <w:t>2025年底</w:t>
            </w:r>
            <w:r>
              <w:rPr>
                <w:rFonts w:ascii="华文仿宋" w:hAnsi="华文仿宋" w:eastAsia="华文仿宋" w:cs="华文仿宋"/>
                <w:spacing w:val="-4"/>
                <w:sz w:val="18"/>
                <w:szCs w:val="18"/>
              </w:rPr>
              <w:t>，区民政局完成残疾人生活补助发放标准为120元/人/月，达成预期目标；</w:t>
            </w:r>
            <w:r>
              <w:rPr>
                <w:rFonts w:ascii="华文仿宋" w:hAnsi="华文仿宋" w:eastAsia="华文仿宋" w:cs="华文仿宋"/>
                <w:spacing w:val="-3"/>
                <w:sz w:val="18"/>
                <w:szCs w:val="18"/>
              </w:rPr>
              <w:t>重度残疾人生活补助发放标准为120元/人/月，达成预期指标，但根据部门单位提供的残疾人生活补助发放人数清单可知，该项补贴人数未达年</w:t>
            </w:r>
            <w:r>
              <w:rPr>
                <w:rFonts w:ascii="华文仿宋" w:hAnsi="华文仿宋" w:eastAsia="华文仿宋" w:cs="华文仿宋"/>
                <w:spacing w:val="-4"/>
                <w:sz w:val="18"/>
                <w:szCs w:val="18"/>
              </w:rPr>
              <w:t>度预期目标。综上所述，残疾人生活补助工作未</w:t>
            </w:r>
            <w:r>
              <w:rPr>
                <w:rFonts w:ascii="华文仿宋" w:hAnsi="华文仿宋" w:eastAsia="华文仿宋" w:cs="华文仿宋"/>
                <w:spacing w:val="-5"/>
                <w:sz w:val="18"/>
                <w:szCs w:val="18"/>
              </w:rPr>
              <w:t>达成年度目标，依据评价标准，该指标扣1.5</w:t>
            </w:r>
          </w:p>
          <w:p>
            <w:pPr>
              <w:spacing w:before="24" w:line="196" w:lineRule="auto"/>
              <w:ind w:left="116"/>
              <w:rPr>
                <w:rFonts w:ascii="华文仿宋" w:hAnsi="华文仿宋" w:eastAsia="华文仿宋" w:cs="华文仿宋"/>
                <w:sz w:val="18"/>
                <w:szCs w:val="18"/>
              </w:rPr>
            </w:pPr>
            <w:r>
              <w:rPr>
                <w:rFonts w:ascii="华文仿宋" w:hAnsi="华文仿宋" w:eastAsia="华文仿宋" w:cs="华文仿宋"/>
                <w:spacing w:val="-5"/>
                <w:sz w:val="18"/>
                <w:szCs w:val="18"/>
              </w:rPr>
              <w:t>分。</w:t>
            </w:r>
          </w:p>
        </w:tc>
        <w:tc>
          <w:tcPr>
            <w:tcW w:w="684"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5" w:line="178" w:lineRule="auto"/>
              <w:ind w:left="251"/>
              <w:rPr>
                <w:rFonts w:ascii="华文仿宋" w:hAnsi="华文仿宋" w:eastAsia="华文仿宋" w:cs="华文仿宋"/>
                <w:sz w:val="18"/>
                <w:szCs w:val="18"/>
              </w:rPr>
            </w:pPr>
            <w:r>
              <w:rPr>
                <w:rFonts w:ascii="华文仿宋" w:hAnsi="华文仿宋" w:eastAsia="华文仿宋" w:cs="华文仿宋"/>
                <w:spacing w:val="-5"/>
                <w:sz w:val="18"/>
                <w:szCs w:val="18"/>
              </w:rPr>
              <w:t>1.5</w:t>
            </w:r>
          </w:p>
        </w:tc>
        <w:tc>
          <w:tcPr>
            <w:tcW w:w="832"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5" w:line="178" w:lineRule="auto"/>
              <w:ind w:left="265"/>
              <w:rPr>
                <w:rFonts w:ascii="华文仿宋" w:hAnsi="华文仿宋" w:eastAsia="华文仿宋" w:cs="华文仿宋"/>
                <w:sz w:val="18"/>
                <w:szCs w:val="18"/>
              </w:rPr>
            </w:pPr>
            <w:r>
              <w:rPr>
                <w:rFonts w:ascii="华文仿宋" w:hAnsi="华文仿宋" w:eastAsia="华文仿宋" w:cs="华文仿宋"/>
                <w:spacing w:val="-4"/>
                <w:sz w:val="18"/>
                <w:szCs w:val="18"/>
              </w:rPr>
              <w:t>50%</w:t>
            </w:r>
          </w:p>
        </w:tc>
      </w:tr>
    </w:tbl>
    <w:p>
      <w:pPr>
        <w:sectPr>
          <w:footerReference r:id="rId19" w:type="default"/>
          <w:pgSz w:w="16839" w:h="11906"/>
          <w:pgMar w:top="1012" w:right="595" w:bottom="1575" w:left="692" w:header="0" w:footer="1287" w:gutter="0"/>
          <w:pgNumType w:fmt="decimal"/>
          <w:cols w:space="720" w:num="1"/>
        </w:sectPr>
      </w:pPr>
    </w:p>
    <w:p>
      <w:pPr>
        <w:pStyle w:val="2"/>
        <w:spacing w:line="287" w:lineRule="auto"/>
      </w:pPr>
    </w:p>
    <w:p>
      <w:pPr>
        <w:spacing w:before="102" w:line="201" w:lineRule="auto"/>
        <w:ind w:left="140" w:firstLine="231" w:firstLineChars="100"/>
        <w:rPr>
          <w:rFonts w:hint="eastAsia" w:ascii="仿宋" w:hAnsi="仿宋" w:eastAsia="仿宋" w:cs="仿宋"/>
          <w:sz w:val="24"/>
          <w:szCs w:val="24"/>
        </w:rPr>
      </w:pPr>
      <w:r>
        <w:rPr>
          <w:rFonts w:hint="eastAsia" w:ascii="仿宋" w:hAnsi="仿宋" w:eastAsia="仿宋" w:cs="仿宋"/>
          <w:b/>
          <w:bCs/>
          <w:spacing w:val="-5"/>
          <w:sz w:val="24"/>
          <w:szCs w:val="24"/>
        </w:rPr>
        <w:t>附件一：部门整体绩效评价指标体系评分表</w:t>
      </w:r>
    </w:p>
    <w:p>
      <w:pPr>
        <w:spacing w:line="109" w:lineRule="exact"/>
      </w:pPr>
    </w:p>
    <w:tbl>
      <w:tblPr>
        <w:tblStyle w:val="7"/>
        <w:tblW w:w="155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999"/>
        <w:gridCol w:w="1167"/>
        <w:gridCol w:w="665"/>
        <w:gridCol w:w="3011"/>
        <w:gridCol w:w="918"/>
        <w:gridCol w:w="2171"/>
        <w:gridCol w:w="4007"/>
        <w:gridCol w:w="684"/>
        <w:gridCol w:w="8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6" w:hRule="atLeast"/>
        </w:trPr>
        <w:tc>
          <w:tcPr>
            <w:tcW w:w="1091" w:type="dxa"/>
            <w:vAlign w:val="top"/>
          </w:tcPr>
          <w:p>
            <w:pPr>
              <w:spacing w:before="112" w:line="199" w:lineRule="auto"/>
              <w:ind w:left="201"/>
              <w:rPr>
                <w:rFonts w:ascii="华文仿宋" w:hAnsi="华文仿宋" w:eastAsia="华文仿宋" w:cs="华文仿宋"/>
                <w:sz w:val="18"/>
                <w:szCs w:val="18"/>
              </w:rPr>
            </w:pPr>
            <w:r>
              <w:rPr>
                <w:rFonts w:ascii="华文仿宋" w:hAnsi="华文仿宋" w:eastAsia="华文仿宋" w:cs="华文仿宋"/>
                <w:b/>
                <w:bCs/>
                <w:spacing w:val="-7"/>
                <w:sz w:val="18"/>
                <w:szCs w:val="18"/>
              </w:rPr>
              <w:t>一级指标</w:t>
            </w:r>
          </w:p>
        </w:tc>
        <w:tc>
          <w:tcPr>
            <w:tcW w:w="999" w:type="dxa"/>
            <w:vAlign w:val="top"/>
          </w:tcPr>
          <w:p>
            <w:pPr>
              <w:spacing w:before="112" w:line="199" w:lineRule="auto"/>
              <w:ind w:left="152"/>
              <w:rPr>
                <w:rFonts w:ascii="华文仿宋" w:hAnsi="华文仿宋" w:eastAsia="华文仿宋" w:cs="华文仿宋"/>
                <w:sz w:val="18"/>
                <w:szCs w:val="18"/>
              </w:rPr>
            </w:pPr>
            <w:r>
              <w:rPr>
                <w:rFonts w:ascii="华文仿宋" w:hAnsi="华文仿宋" w:eastAsia="华文仿宋" w:cs="华文仿宋"/>
                <w:b/>
                <w:bCs/>
                <w:spacing w:val="-7"/>
                <w:sz w:val="18"/>
                <w:szCs w:val="18"/>
              </w:rPr>
              <w:t>二级指标</w:t>
            </w:r>
          </w:p>
        </w:tc>
        <w:tc>
          <w:tcPr>
            <w:tcW w:w="1167" w:type="dxa"/>
            <w:vAlign w:val="top"/>
          </w:tcPr>
          <w:p>
            <w:pPr>
              <w:spacing w:before="112" w:line="199" w:lineRule="auto"/>
              <w:ind w:left="241"/>
              <w:rPr>
                <w:rFonts w:ascii="华文仿宋" w:hAnsi="华文仿宋" w:eastAsia="华文仿宋" w:cs="华文仿宋"/>
                <w:sz w:val="18"/>
                <w:szCs w:val="18"/>
              </w:rPr>
            </w:pPr>
            <w:r>
              <w:rPr>
                <w:rFonts w:ascii="华文仿宋" w:hAnsi="华文仿宋" w:eastAsia="华文仿宋" w:cs="华文仿宋"/>
                <w:b/>
                <w:bCs/>
                <w:spacing w:val="-8"/>
                <w:sz w:val="18"/>
                <w:szCs w:val="18"/>
              </w:rPr>
              <w:t>三级指标</w:t>
            </w:r>
          </w:p>
        </w:tc>
        <w:tc>
          <w:tcPr>
            <w:tcW w:w="665" w:type="dxa"/>
            <w:vAlign w:val="top"/>
          </w:tcPr>
          <w:p>
            <w:pPr>
              <w:spacing w:before="113" w:line="198" w:lineRule="auto"/>
              <w:ind w:left="159"/>
              <w:rPr>
                <w:rFonts w:ascii="华文仿宋" w:hAnsi="华文仿宋" w:eastAsia="华文仿宋" w:cs="华文仿宋"/>
                <w:sz w:val="18"/>
                <w:szCs w:val="18"/>
              </w:rPr>
            </w:pPr>
            <w:r>
              <w:rPr>
                <w:rFonts w:ascii="华文仿宋" w:hAnsi="华文仿宋" w:eastAsia="华文仿宋" w:cs="华文仿宋"/>
                <w:b/>
                <w:bCs/>
                <w:spacing w:val="-7"/>
                <w:sz w:val="18"/>
                <w:szCs w:val="18"/>
              </w:rPr>
              <w:t>权重</w:t>
            </w:r>
          </w:p>
        </w:tc>
        <w:tc>
          <w:tcPr>
            <w:tcW w:w="3011" w:type="dxa"/>
            <w:vAlign w:val="top"/>
          </w:tcPr>
          <w:p>
            <w:pPr>
              <w:spacing w:before="112" w:line="199" w:lineRule="auto"/>
              <w:ind w:left="705"/>
              <w:rPr>
                <w:rFonts w:ascii="华文仿宋" w:hAnsi="华文仿宋" w:eastAsia="华文仿宋" w:cs="华文仿宋"/>
                <w:sz w:val="18"/>
                <w:szCs w:val="18"/>
              </w:rPr>
            </w:pPr>
            <w:r>
              <w:rPr>
                <w:rFonts w:ascii="华文仿宋" w:hAnsi="华文仿宋" w:eastAsia="华文仿宋" w:cs="华文仿宋"/>
                <w:b/>
                <w:bCs/>
                <w:spacing w:val="-4"/>
                <w:sz w:val="18"/>
                <w:szCs w:val="18"/>
              </w:rPr>
              <w:t>指标解释及评价要点</w:t>
            </w:r>
          </w:p>
        </w:tc>
        <w:tc>
          <w:tcPr>
            <w:tcW w:w="918" w:type="dxa"/>
            <w:vAlign w:val="top"/>
          </w:tcPr>
          <w:p>
            <w:pPr>
              <w:spacing w:before="112" w:line="199" w:lineRule="auto"/>
              <w:ind w:left="197"/>
              <w:rPr>
                <w:rFonts w:ascii="华文仿宋" w:hAnsi="华文仿宋" w:eastAsia="华文仿宋" w:cs="华文仿宋"/>
                <w:sz w:val="18"/>
                <w:szCs w:val="18"/>
              </w:rPr>
            </w:pPr>
            <w:r>
              <w:rPr>
                <w:rFonts w:ascii="华文仿宋" w:hAnsi="华文仿宋" w:eastAsia="华文仿宋" w:cs="华文仿宋"/>
                <w:b/>
                <w:bCs/>
                <w:spacing w:val="-6"/>
                <w:sz w:val="18"/>
                <w:szCs w:val="18"/>
              </w:rPr>
              <w:t>标杆值</w:t>
            </w:r>
          </w:p>
        </w:tc>
        <w:tc>
          <w:tcPr>
            <w:tcW w:w="2171" w:type="dxa"/>
            <w:vAlign w:val="top"/>
          </w:tcPr>
          <w:p>
            <w:pPr>
              <w:spacing w:before="112" w:line="199" w:lineRule="auto"/>
              <w:ind w:left="730"/>
              <w:rPr>
                <w:rFonts w:ascii="华文仿宋" w:hAnsi="华文仿宋" w:eastAsia="华文仿宋" w:cs="华文仿宋"/>
                <w:sz w:val="18"/>
                <w:szCs w:val="18"/>
              </w:rPr>
            </w:pPr>
            <w:r>
              <w:rPr>
                <w:rFonts w:ascii="华文仿宋" w:hAnsi="华文仿宋" w:eastAsia="华文仿宋" w:cs="华文仿宋"/>
                <w:b/>
                <w:bCs/>
                <w:spacing w:val="-4"/>
                <w:sz w:val="18"/>
                <w:szCs w:val="18"/>
              </w:rPr>
              <w:t>评价标准</w:t>
            </w:r>
          </w:p>
        </w:tc>
        <w:tc>
          <w:tcPr>
            <w:tcW w:w="4007" w:type="dxa"/>
            <w:vAlign w:val="top"/>
          </w:tcPr>
          <w:p>
            <w:pPr>
              <w:spacing w:before="113" w:line="198" w:lineRule="auto"/>
              <w:ind w:left="1648"/>
              <w:rPr>
                <w:rFonts w:ascii="华文仿宋" w:hAnsi="华文仿宋" w:eastAsia="华文仿宋" w:cs="华文仿宋"/>
                <w:sz w:val="18"/>
                <w:szCs w:val="18"/>
              </w:rPr>
            </w:pPr>
            <w:r>
              <w:rPr>
                <w:rFonts w:ascii="华文仿宋" w:hAnsi="华文仿宋" w:eastAsia="华文仿宋" w:cs="华文仿宋"/>
                <w:b/>
                <w:bCs/>
                <w:spacing w:val="-4"/>
                <w:sz w:val="18"/>
                <w:szCs w:val="18"/>
              </w:rPr>
              <w:t>评分过程</w:t>
            </w:r>
          </w:p>
        </w:tc>
        <w:tc>
          <w:tcPr>
            <w:tcW w:w="684" w:type="dxa"/>
            <w:vAlign w:val="top"/>
          </w:tcPr>
          <w:p>
            <w:pPr>
              <w:spacing w:before="114" w:line="197" w:lineRule="auto"/>
              <w:ind w:left="172"/>
              <w:rPr>
                <w:rFonts w:ascii="华文仿宋" w:hAnsi="华文仿宋" w:eastAsia="华文仿宋" w:cs="华文仿宋"/>
                <w:sz w:val="18"/>
                <w:szCs w:val="18"/>
              </w:rPr>
            </w:pPr>
            <w:r>
              <w:rPr>
                <w:rFonts w:ascii="华文仿宋" w:hAnsi="华文仿宋" w:eastAsia="华文仿宋" w:cs="华文仿宋"/>
                <w:b/>
                <w:bCs/>
                <w:spacing w:val="-8"/>
                <w:sz w:val="18"/>
                <w:szCs w:val="18"/>
              </w:rPr>
              <w:t>得分</w:t>
            </w:r>
          </w:p>
        </w:tc>
        <w:tc>
          <w:tcPr>
            <w:tcW w:w="832" w:type="dxa"/>
            <w:vAlign w:val="top"/>
          </w:tcPr>
          <w:p>
            <w:pPr>
              <w:spacing w:before="111" w:line="200" w:lineRule="auto"/>
              <w:ind w:left="152"/>
              <w:rPr>
                <w:rFonts w:ascii="华文仿宋" w:hAnsi="华文仿宋" w:eastAsia="华文仿宋" w:cs="华文仿宋"/>
                <w:sz w:val="18"/>
                <w:szCs w:val="18"/>
              </w:rPr>
            </w:pPr>
            <w:r>
              <w:rPr>
                <w:rFonts w:ascii="华文仿宋" w:hAnsi="华文仿宋" w:eastAsia="华文仿宋" w:cs="华文仿宋"/>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43" w:hRule="atLeast"/>
        </w:trPr>
        <w:tc>
          <w:tcPr>
            <w:tcW w:w="1091" w:type="dxa"/>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before="65" w:line="290" w:lineRule="auto"/>
              <w:ind w:left="306" w:right="182" w:hanging="109"/>
              <w:rPr>
                <w:rFonts w:ascii="华文仿宋" w:hAnsi="华文仿宋" w:eastAsia="华文仿宋" w:cs="华文仿宋"/>
                <w:sz w:val="18"/>
                <w:szCs w:val="18"/>
              </w:rPr>
            </w:pPr>
            <w:r>
              <w:rPr>
                <w:rFonts w:ascii="华文仿宋" w:hAnsi="华文仿宋" w:eastAsia="华文仿宋" w:cs="华文仿宋"/>
                <w:spacing w:val="-4"/>
                <w:sz w:val="18"/>
                <w:szCs w:val="18"/>
              </w:rPr>
              <w:t>部门绩效</w:t>
            </w:r>
            <w:r>
              <w:rPr>
                <w:rFonts w:ascii="华文仿宋" w:hAnsi="华文仿宋" w:eastAsia="华文仿宋" w:cs="华文仿宋"/>
                <w:spacing w:val="-7"/>
                <w:sz w:val="18"/>
                <w:szCs w:val="18"/>
              </w:rPr>
              <w:t>（50）</w:t>
            </w:r>
          </w:p>
        </w:tc>
        <w:tc>
          <w:tcPr>
            <w:tcW w:w="999" w:type="dxa"/>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before="66" w:line="200" w:lineRule="auto"/>
              <w:ind w:left="147"/>
              <w:rPr>
                <w:rFonts w:ascii="华文仿宋" w:hAnsi="华文仿宋" w:eastAsia="华文仿宋" w:cs="华文仿宋"/>
                <w:sz w:val="18"/>
                <w:szCs w:val="18"/>
              </w:rPr>
            </w:pPr>
            <w:r>
              <w:rPr>
                <w:rFonts w:ascii="华文仿宋" w:hAnsi="华文仿宋" w:eastAsia="华文仿宋" w:cs="华文仿宋"/>
                <w:spacing w:val="-4"/>
                <w:sz w:val="18"/>
                <w:szCs w:val="18"/>
              </w:rPr>
              <w:t>部门产出</w:t>
            </w:r>
          </w:p>
          <w:p>
            <w:pPr>
              <w:spacing w:before="95" w:line="198" w:lineRule="auto"/>
              <w:ind w:left="331"/>
              <w:rPr>
                <w:rFonts w:ascii="华文仿宋" w:hAnsi="华文仿宋" w:eastAsia="华文仿宋" w:cs="华文仿宋"/>
                <w:sz w:val="18"/>
                <w:szCs w:val="18"/>
              </w:rPr>
            </w:pPr>
            <w:r>
              <w:rPr>
                <w:rFonts w:ascii="华文仿宋" w:hAnsi="华文仿宋" w:eastAsia="华文仿宋" w:cs="华文仿宋"/>
                <w:spacing w:val="-9"/>
                <w:sz w:val="18"/>
                <w:szCs w:val="18"/>
              </w:rPr>
              <w:t>数量</w:t>
            </w:r>
          </w:p>
          <w:p>
            <w:pPr>
              <w:spacing w:before="57" w:line="283" w:lineRule="exact"/>
              <w:ind w:left="256"/>
              <w:rPr>
                <w:rFonts w:ascii="华文仿宋" w:hAnsi="华文仿宋" w:eastAsia="华文仿宋" w:cs="华文仿宋"/>
                <w:sz w:val="18"/>
                <w:szCs w:val="18"/>
              </w:rPr>
            </w:pPr>
            <w:r>
              <w:rPr>
                <w:rFonts w:ascii="华文仿宋" w:hAnsi="华文仿宋" w:eastAsia="华文仿宋" w:cs="华文仿宋"/>
                <w:spacing w:val="-7"/>
                <w:position w:val="3"/>
                <w:sz w:val="18"/>
                <w:szCs w:val="18"/>
              </w:rPr>
              <w:t>（20）</w:t>
            </w:r>
          </w:p>
        </w:tc>
        <w:tc>
          <w:tcPr>
            <w:tcW w:w="1167" w:type="dxa"/>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before="65" w:line="293" w:lineRule="auto"/>
              <w:ind w:left="142" w:right="133" w:hanging="4"/>
              <w:rPr>
                <w:rFonts w:ascii="华文仿宋" w:hAnsi="华文仿宋" w:eastAsia="华文仿宋" w:cs="华文仿宋"/>
                <w:sz w:val="18"/>
                <w:szCs w:val="18"/>
              </w:rPr>
            </w:pPr>
            <w:r>
              <w:rPr>
                <w:rFonts w:ascii="华文仿宋" w:hAnsi="华文仿宋" w:eastAsia="华文仿宋" w:cs="华文仿宋"/>
                <w:spacing w:val="-2"/>
                <w:sz w:val="18"/>
                <w:szCs w:val="18"/>
              </w:rPr>
              <w:t>老年人补贴</w:t>
            </w:r>
            <w:r>
              <w:rPr>
                <w:rFonts w:ascii="华文仿宋" w:hAnsi="华文仿宋" w:eastAsia="华文仿宋" w:cs="华文仿宋"/>
                <w:spacing w:val="-3"/>
                <w:sz w:val="18"/>
                <w:szCs w:val="18"/>
              </w:rPr>
              <w:t>工作完成率</w:t>
            </w:r>
          </w:p>
        </w:tc>
        <w:tc>
          <w:tcPr>
            <w:tcW w:w="665" w:type="dxa"/>
            <w:vAlign w:val="top"/>
          </w:tcPr>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66" w:line="178" w:lineRule="auto"/>
              <w:ind w:left="297"/>
              <w:rPr>
                <w:rFonts w:ascii="华文仿宋" w:hAnsi="华文仿宋" w:eastAsia="华文仿宋" w:cs="华文仿宋"/>
                <w:sz w:val="18"/>
                <w:szCs w:val="18"/>
              </w:rPr>
            </w:pPr>
            <w:r>
              <w:rPr>
                <w:rFonts w:ascii="华文仿宋" w:hAnsi="华文仿宋" w:eastAsia="华文仿宋" w:cs="华文仿宋"/>
                <w:sz w:val="18"/>
                <w:szCs w:val="18"/>
              </w:rPr>
              <w:t>5</w:t>
            </w:r>
          </w:p>
        </w:tc>
        <w:tc>
          <w:tcPr>
            <w:tcW w:w="3011" w:type="dxa"/>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before="66" w:line="286" w:lineRule="auto"/>
              <w:ind w:left="115" w:right="202" w:hanging="1"/>
              <w:rPr>
                <w:rFonts w:ascii="华文仿宋" w:hAnsi="华文仿宋" w:eastAsia="华文仿宋" w:cs="华文仿宋"/>
                <w:sz w:val="18"/>
                <w:szCs w:val="18"/>
              </w:rPr>
            </w:pPr>
            <w:r>
              <w:rPr>
                <w:rFonts w:ascii="华文仿宋" w:hAnsi="华文仿宋" w:eastAsia="华文仿宋" w:cs="华文仿宋"/>
                <w:spacing w:val="-1"/>
                <w:sz w:val="18"/>
                <w:szCs w:val="18"/>
              </w:rPr>
              <w:t>反映当年老年人补贴工作的完成情</w:t>
            </w:r>
            <w:r>
              <w:rPr>
                <w:rFonts w:ascii="华文仿宋" w:hAnsi="华文仿宋" w:eastAsia="华文仿宋" w:cs="华文仿宋"/>
                <w:spacing w:val="-6"/>
                <w:sz w:val="18"/>
                <w:szCs w:val="18"/>
              </w:rPr>
              <w:t>况。</w:t>
            </w:r>
          </w:p>
          <w:p>
            <w:pPr>
              <w:spacing w:before="1" w:line="285" w:lineRule="auto"/>
              <w:ind w:left="117" w:right="314"/>
              <w:rPr>
                <w:rFonts w:ascii="华文仿宋" w:hAnsi="华文仿宋" w:eastAsia="华文仿宋" w:cs="华文仿宋"/>
                <w:sz w:val="18"/>
                <w:szCs w:val="18"/>
              </w:rPr>
            </w:pPr>
            <w:r>
              <w:rPr>
                <w:rFonts w:ascii="华文仿宋" w:hAnsi="华文仿宋" w:eastAsia="华文仿宋" w:cs="华文仿宋"/>
                <w:spacing w:val="-2"/>
                <w:sz w:val="18"/>
                <w:szCs w:val="18"/>
              </w:rPr>
              <w:t>1.是否按计划完成75-79周岁老年</w:t>
            </w:r>
            <w:r>
              <w:rPr>
                <w:rFonts w:ascii="华文仿宋" w:hAnsi="华文仿宋" w:eastAsia="华文仿宋" w:cs="华文仿宋"/>
                <w:spacing w:val="-4"/>
                <w:sz w:val="18"/>
                <w:szCs w:val="18"/>
              </w:rPr>
              <w:t>人，每月生活津贴发放工作；</w:t>
            </w:r>
          </w:p>
          <w:p>
            <w:pPr>
              <w:spacing w:before="1" w:line="285" w:lineRule="auto"/>
              <w:ind w:left="116" w:right="314" w:hanging="9"/>
              <w:rPr>
                <w:rFonts w:ascii="华文仿宋" w:hAnsi="华文仿宋" w:eastAsia="华文仿宋" w:cs="华文仿宋"/>
                <w:sz w:val="18"/>
                <w:szCs w:val="18"/>
              </w:rPr>
            </w:pPr>
            <w:r>
              <w:rPr>
                <w:rFonts w:ascii="华文仿宋" w:hAnsi="华文仿宋" w:eastAsia="华文仿宋" w:cs="华文仿宋"/>
                <w:spacing w:val="-1"/>
                <w:sz w:val="18"/>
                <w:szCs w:val="18"/>
              </w:rPr>
              <w:t>2.是否按计划完成80-89周岁老年</w:t>
            </w:r>
            <w:r>
              <w:rPr>
                <w:rFonts w:ascii="华文仿宋" w:hAnsi="华文仿宋" w:eastAsia="华文仿宋" w:cs="华文仿宋"/>
                <w:spacing w:val="-4"/>
                <w:sz w:val="18"/>
                <w:szCs w:val="18"/>
              </w:rPr>
              <w:t>人，每月生活津贴发放工作；</w:t>
            </w:r>
          </w:p>
          <w:p>
            <w:pPr>
              <w:spacing w:before="1" w:line="285" w:lineRule="auto"/>
              <w:ind w:left="117" w:right="314" w:hanging="5"/>
              <w:rPr>
                <w:rFonts w:ascii="华文仿宋" w:hAnsi="华文仿宋" w:eastAsia="华文仿宋" w:cs="华文仿宋"/>
                <w:sz w:val="18"/>
                <w:szCs w:val="18"/>
              </w:rPr>
            </w:pPr>
            <w:r>
              <w:rPr>
                <w:rFonts w:ascii="华文仿宋" w:hAnsi="华文仿宋" w:eastAsia="华文仿宋" w:cs="华文仿宋"/>
                <w:spacing w:val="-2"/>
                <w:sz w:val="18"/>
                <w:szCs w:val="18"/>
              </w:rPr>
              <w:t>3.是否按计划完成90-99周岁老年</w:t>
            </w:r>
            <w:r>
              <w:rPr>
                <w:rFonts w:ascii="华文仿宋" w:hAnsi="华文仿宋" w:eastAsia="华文仿宋" w:cs="华文仿宋"/>
                <w:spacing w:val="-4"/>
                <w:sz w:val="18"/>
                <w:szCs w:val="18"/>
              </w:rPr>
              <w:t>人，每月生活津贴发放工作；</w:t>
            </w:r>
          </w:p>
          <w:p>
            <w:pPr>
              <w:spacing w:before="1" w:line="285" w:lineRule="auto"/>
              <w:ind w:left="117" w:right="274" w:hanging="8"/>
              <w:rPr>
                <w:rFonts w:ascii="华文仿宋" w:hAnsi="华文仿宋" w:eastAsia="华文仿宋" w:cs="华文仿宋"/>
                <w:sz w:val="18"/>
                <w:szCs w:val="18"/>
              </w:rPr>
            </w:pPr>
            <w:r>
              <w:rPr>
                <w:rFonts w:ascii="华文仿宋" w:hAnsi="华文仿宋" w:eastAsia="华文仿宋" w:cs="华文仿宋"/>
                <w:spacing w:val="-3"/>
                <w:sz w:val="18"/>
                <w:szCs w:val="18"/>
              </w:rPr>
              <w:t>4.是否按计划完成100岁以上老年</w:t>
            </w:r>
            <w:r>
              <w:rPr>
                <w:rFonts w:ascii="华文仿宋" w:hAnsi="华文仿宋" w:eastAsia="华文仿宋" w:cs="华文仿宋"/>
                <w:spacing w:val="-4"/>
                <w:sz w:val="18"/>
                <w:szCs w:val="18"/>
              </w:rPr>
              <w:t>人，每月生活津贴发放工作；</w:t>
            </w:r>
          </w:p>
          <w:p>
            <w:pPr>
              <w:spacing w:before="1" w:line="292" w:lineRule="auto"/>
              <w:ind w:left="118" w:right="269" w:firstLine="88"/>
              <w:rPr>
                <w:rFonts w:ascii="华文仿宋" w:hAnsi="华文仿宋" w:eastAsia="华文仿宋" w:cs="华文仿宋"/>
                <w:sz w:val="18"/>
                <w:szCs w:val="18"/>
              </w:rPr>
            </w:pPr>
            <w:r>
              <w:rPr>
                <w:rFonts w:ascii="华文仿宋" w:hAnsi="华文仿宋" w:eastAsia="华文仿宋" w:cs="华文仿宋"/>
                <w:spacing w:val="-6"/>
                <w:sz w:val="18"/>
                <w:szCs w:val="18"/>
              </w:rPr>
              <w:t>5.完成80岁以上老年人，体检补</w:t>
            </w:r>
            <w:r>
              <w:rPr>
                <w:rFonts w:ascii="华文仿宋" w:hAnsi="华文仿宋" w:eastAsia="华文仿宋" w:cs="华文仿宋"/>
                <w:spacing w:val="-3"/>
                <w:sz w:val="18"/>
                <w:szCs w:val="18"/>
              </w:rPr>
              <w:t>助发放工作。</w:t>
            </w:r>
          </w:p>
        </w:tc>
        <w:tc>
          <w:tcPr>
            <w:tcW w:w="918" w:type="dxa"/>
            <w:vAlign w:val="top"/>
          </w:tcPr>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66" w:line="177" w:lineRule="auto"/>
              <w:ind w:left="269"/>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c>
          <w:tcPr>
            <w:tcW w:w="2171" w:type="dxa"/>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spacing w:before="66" w:line="285" w:lineRule="auto"/>
              <w:ind w:left="115" w:right="309" w:firstLine="6"/>
              <w:rPr>
                <w:rFonts w:ascii="华文仿宋" w:hAnsi="华文仿宋" w:eastAsia="华文仿宋" w:cs="华文仿宋"/>
                <w:sz w:val="18"/>
                <w:szCs w:val="18"/>
              </w:rPr>
            </w:pPr>
            <w:r>
              <w:rPr>
                <w:rFonts w:ascii="华文仿宋" w:hAnsi="华文仿宋" w:eastAsia="华文仿宋" w:cs="华文仿宋"/>
                <w:spacing w:val="-3"/>
                <w:sz w:val="18"/>
                <w:szCs w:val="18"/>
              </w:rPr>
              <w:t>符合全部评价要点得1</w:t>
            </w:r>
            <w:r>
              <w:rPr>
                <w:rFonts w:ascii="华文仿宋" w:hAnsi="华文仿宋" w:eastAsia="华文仿宋" w:cs="华文仿宋"/>
                <w:spacing w:val="-6"/>
                <w:sz w:val="18"/>
                <w:szCs w:val="18"/>
              </w:rPr>
              <w:t>分，每一项不符合扣1</w:t>
            </w:r>
          </w:p>
          <w:p>
            <w:pPr>
              <w:spacing w:line="201" w:lineRule="auto"/>
              <w:ind w:left="115"/>
              <w:rPr>
                <w:rFonts w:ascii="华文仿宋" w:hAnsi="华文仿宋" w:eastAsia="华文仿宋" w:cs="华文仿宋"/>
                <w:sz w:val="18"/>
                <w:szCs w:val="18"/>
              </w:rPr>
            </w:pPr>
            <w:r>
              <w:rPr>
                <w:rFonts w:ascii="华文仿宋" w:hAnsi="华文仿宋" w:eastAsia="华文仿宋" w:cs="华文仿宋"/>
                <w:spacing w:val="-6"/>
                <w:sz w:val="18"/>
                <w:szCs w:val="18"/>
              </w:rPr>
              <w:t>分，扣完为止。</w:t>
            </w:r>
          </w:p>
        </w:tc>
        <w:tc>
          <w:tcPr>
            <w:tcW w:w="4007" w:type="dxa"/>
            <w:vAlign w:val="top"/>
          </w:tcPr>
          <w:p>
            <w:pPr>
              <w:spacing w:before="64" w:line="284" w:lineRule="auto"/>
              <w:ind w:left="116" w:right="105"/>
              <w:rPr>
                <w:rFonts w:ascii="华文仿宋" w:hAnsi="华文仿宋" w:eastAsia="华文仿宋" w:cs="华文仿宋"/>
                <w:sz w:val="18"/>
                <w:szCs w:val="18"/>
              </w:rPr>
            </w:pPr>
            <w:r>
              <w:rPr>
                <w:rFonts w:ascii="华文仿宋" w:hAnsi="华文仿宋" w:eastAsia="华文仿宋" w:cs="华文仿宋"/>
                <w:spacing w:val="-3"/>
                <w:sz w:val="18"/>
                <w:szCs w:val="18"/>
              </w:rPr>
              <w:t>根据区民政局提供年度工作总结、工作资料、相关文件等分析，区民政局全年应完成75-79周岁</w:t>
            </w:r>
            <w:r>
              <w:rPr>
                <w:rFonts w:ascii="华文仿宋" w:hAnsi="华文仿宋" w:eastAsia="华文仿宋" w:cs="华文仿宋"/>
                <w:spacing w:val="-2"/>
                <w:sz w:val="18"/>
                <w:szCs w:val="18"/>
              </w:rPr>
              <w:t>老年人预期达到100元/人/月的补助发放标准；80-89周岁老年人预期达到225元/人/月的补助发放标准；90-99周岁老年人预期达到330元/人/月的补助发放标准；100岁以上老年人预期达</w:t>
            </w:r>
            <w:r>
              <w:rPr>
                <w:rFonts w:ascii="华文仿宋" w:hAnsi="华文仿宋" w:eastAsia="华文仿宋" w:cs="华文仿宋"/>
                <w:spacing w:val="-3"/>
                <w:sz w:val="18"/>
                <w:szCs w:val="18"/>
              </w:rPr>
              <w:t>到580元/人/月的补助发放标准；80岁以上老年人预期达到132元/人的补助发放标准。经核</w:t>
            </w:r>
            <w:r>
              <w:rPr>
                <w:rFonts w:ascii="华文仿宋" w:hAnsi="华文仿宋" w:eastAsia="华文仿宋" w:cs="华文仿宋"/>
                <w:spacing w:val="-4"/>
                <w:sz w:val="18"/>
                <w:szCs w:val="18"/>
              </w:rPr>
              <w:t>实，</w:t>
            </w:r>
            <w:r>
              <w:rPr>
                <w:rFonts w:ascii="华文仿宋" w:hAnsi="华文仿宋" w:eastAsia="华文仿宋" w:cs="华文仿宋"/>
                <w:spacing w:val="-5"/>
                <w:sz w:val="18"/>
                <w:szCs w:val="18"/>
              </w:rPr>
              <w:t>截</w:t>
            </w:r>
            <w:r>
              <w:rPr>
                <w:rFonts w:hint="eastAsia" w:ascii="华文仿宋" w:hAnsi="华文仿宋" w:eastAsia="华文仿宋" w:cs="华文仿宋"/>
                <w:spacing w:val="-5"/>
                <w:sz w:val="18"/>
                <w:szCs w:val="18"/>
                <w:lang w:val="en-US" w:eastAsia="zh-CN"/>
              </w:rPr>
              <w:t>至</w:t>
            </w:r>
            <w:r>
              <w:rPr>
                <w:rFonts w:ascii="华文仿宋" w:hAnsi="华文仿宋" w:eastAsia="华文仿宋" w:cs="华文仿宋"/>
                <w:spacing w:val="-5"/>
                <w:sz w:val="18"/>
                <w:szCs w:val="18"/>
              </w:rPr>
              <w:t>2025年底</w:t>
            </w:r>
            <w:r>
              <w:rPr>
                <w:rFonts w:ascii="华文仿宋" w:hAnsi="华文仿宋" w:eastAsia="华文仿宋" w:cs="华文仿宋"/>
                <w:spacing w:val="-4"/>
                <w:sz w:val="18"/>
                <w:szCs w:val="18"/>
              </w:rPr>
              <w:t>，区民政局已完成75-79周岁老年人生活补助发放标准为100元/人/月，达成</w:t>
            </w:r>
            <w:r>
              <w:rPr>
                <w:rFonts w:ascii="华文仿宋" w:hAnsi="华文仿宋" w:eastAsia="华文仿宋" w:cs="华文仿宋"/>
                <w:spacing w:val="-3"/>
                <w:sz w:val="18"/>
                <w:szCs w:val="18"/>
              </w:rPr>
              <w:t>预期目标；区民政局已完成80-89周岁老年</w:t>
            </w:r>
            <w:r>
              <w:rPr>
                <w:rFonts w:ascii="华文仿宋" w:hAnsi="华文仿宋" w:eastAsia="华文仿宋" w:cs="华文仿宋"/>
                <w:spacing w:val="-4"/>
                <w:sz w:val="18"/>
                <w:szCs w:val="18"/>
              </w:rPr>
              <w:t>人生</w:t>
            </w:r>
            <w:r>
              <w:rPr>
                <w:rFonts w:ascii="华文仿宋" w:hAnsi="华文仿宋" w:eastAsia="华文仿宋" w:cs="华文仿宋"/>
                <w:spacing w:val="-5"/>
                <w:sz w:val="18"/>
                <w:szCs w:val="18"/>
              </w:rPr>
              <w:t>活补助发放标准为225元/人/月，达成预期目</w:t>
            </w:r>
            <w:r>
              <w:rPr>
                <w:rFonts w:ascii="华文仿宋" w:hAnsi="华文仿宋" w:eastAsia="华文仿宋" w:cs="华文仿宋"/>
                <w:spacing w:val="-3"/>
                <w:sz w:val="18"/>
                <w:szCs w:val="18"/>
              </w:rPr>
              <w:t>标；区民政局已完成90-99周岁老年人生活补助</w:t>
            </w:r>
            <w:r>
              <w:rPr>
                <w:rFonts w:ascii="华文仿宋" w:hAnsi="华文仿宋" w:eastAsia="华文仿宋" w:cs="华文仿宋"/>
                <w:spacing w:val="-6"/>
                <w:sz w:val="18"/>
                <w:szCs w:val="18"/>
              </w:rPr>
              <w:t>发放标准为330元/人/月，达成预期目标；区民</w:t>
            </w:r>
            <w:r>
              <w:rPr>
                <w:rFonts w:ascii="华文仿宋" w:hAnsi="华文仿宋" w:eastAsia="华文仿宋" w:cs="华文仿宋"/>
                <w:spacing w:val="-3"/>
                <w:sz w:val="18"/>
                <w:szCs w:val="18"/>
              </w:rPr>
              <w:t>政局已完成100岁以上老年人生活补助发放标准</w:t>
            </w:r>
            <w:r>
              <w:rPr>
                <w:rFonts w:ascii="华文仿宋" w:hAnsi="华文仿宋" w:eastAsia="华文仿宋" w:cs="华文仿宋"/>
                <w:spacing w:val="-5"/>
                <w:sz w:val="18"/>
                <w:szCs w:val="18"/>
              </w:rPr>
              <w:t>为580元/人/月，达成预期目标；区民政局已完</w:t>
            </w:r>
            <w:r>
              <w:rPr>
                <w:rFonts w:ascii="华文仿宋" w:hAnsi="华文仿宋" w:eastAsia="华文仿宋" w:cs="华文仿宋"/>
                <w:spacing w:val="-4"/>
                <w:sz w:val="18"/>
                <w:szCs w:val="18"/>
              </w:rPr>
              <w:t>成80岁以上老年人体检补贴发放标准为132元/人/月，达成预期目标；综上所述，五项补助工</w:t>
            </w:r>
            <w:r>
              <w:rPr>
                <w:rFonts w:ascii="华文仿宋" w:hAnsi="华文仿宋" w:eastAsia="华文仿宋" w:cs="华文仿宋"/>
                <w:spacing w:val="-3"/>
                <w:sz w:val="18"/>
                <w:szCs w:val="18"/>
              </w:rPr>
              <w:t>作均</w:t>
            </w:r>
            <w:r>
              <w:rPr>
                <w:rFonts w:hint="eastAsia" w:ascii="华文仿宋" w:hAnsi="华文仿宋" w:eastAsia="华文仿宋" w:cs="华文仿宋"/>
                <w:spacing w:val="-3"/>
                <w:sz w:val="18"/>
                <w:szCs w:val="18"/>
                <w:lang w:val="en-US" w:eastAsia="zh-CN"/>
              </w:rPr>
              <w:t>已</w:t>
            </w:r>
            <w:r>
              <w:rPr>
                <w:rFonts w:ascii="华文仿宋" w:hAnsi="华文仿宋" w:eastAsia="华文仿宋" w:cs="华文仿宋"/>
                <w:spacing w:val="-3"/>
                <w:sz w:val="18"/>
                <w:szCs w:val="18"/>
              </w:rPr>
              <w:t>达成预期目标,依据评价标准，该指标得5</w:t>
            </w:r>
          </w:p>
          <w:p>
            <w:pPr>
              <w:spacing w:before="46" w:line="196" w:lineRule="auto"/>
              <w:ind w:left="116"/>
              <w:rPr>
                <w:rFonts w:ascii="华文仿宋" w:hAnsi="华文仿宋" w:eastAsia="华文仿宋" w:cs="华文仿宋"/>
                <w:sz w:val="18"/>
                <w:szCs w:val="18"/>
              </w:rPr>
            </w:pPr>
            <w:r>
              <w:rPr>
                <w:rFonts w:ascii="华文仿宋" w:hAnsi="华文仿宋" w:eastAsia="华文仿宋" w:cs="华文仿宋"/>
                <w:spacing w:val="-5"/>
                <w:sz w:val="18"/>
                <w:szCs w:val="18"/>
              </w:rPr>
              <w:t>分。</w:t>
            </w:r>
          </w:p>
        </w:tc>
        <w:tc>
          <w:tcPr>
            <w:tcW w:w="684" w:type="dxa"/>
            <w:vAlign w:val="top"/>
          </w:tcPr>
          <w:p>
            <w:pPr>
              <w:spacing w:line="247" w:lineRule="auto"/>
              <w:rPr>
                <w:rFonts w:ascii="Arial"/>
                <w:sz w:val="21"/>
              </w:rPr>
            </w:pPr>
          </w:p>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66" w:line="178" w:lineRule="auto"/>
              <w:ind w:left="311"/>
              <w:rPr>
                <w:rFonts w:ascii="华文仿宋" w:hAnsi="华文仿宋" w:eastAsia="华文仿宋" w:cs="华文仿宋"/>
                <w:sz w:val="18"/>
                <w:szCs w:val="18"/>
              </w:rPr>
            </w:pPr>
            <w:r>
              <w:rPr>
                <w:rFonts w:ascii="华文仿宋" w:hAnsi="华文仿宋" w:eastAsia="华文仿宋" w:cs="华文仿宋"/>
                <w:sz w:val="18"/>
                <w:szCs w:val="18"/>
              </w:rPr>
              <w:t>5</w:t>
            </w:r>
          </w:p>
        </w:tc>
        <w:tc>
          <w:tcPr>
            <w:tcW w:w="832" w:type="dxa"/>
            <w:vAlign w:val="top"/>
          </w:tcPr>
          <w:p>
            <w:pPr>
              <w:spacing w:line="247"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before="66"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bl>
    <w:p>
      <w:pPr>
        <w:pStyle w:val="2"/>
      </w:pPr>
    </w:p>
    <w:p>
      <w:pPr>
        <w:sectPr>
          <w:footerReference r:id="rId20" w:type="default"/>
          <w:pgSz w:w="16839" w:h="11906"/>
          <w:pgMar w:top="1012" w:right="595" w:bottom="1575" w:left="692" w:header="0" w:footer="1287" w:gutter="0"/>
          <w:pgNumType w:fmt="decimal"/>
          <w:cols w:space="720" w:num="1"/>
        </w:sectPr>
      </w:pPr>
    </w:p>
    <w:p>
      <w:pPr>
        <w:pStyle w:val="2"/>
        <w:spacing w:line="287" w:lineRule="auto"/>
      </w:pPr>
    </w:p>
    <w:p>
      <w:pPr>
        <w:spacing w:before="102" w:line="201" w:lineRule="auto"/>
        <w:ind w:left="140" w:firstLine="231" w:firstLineChars="100"/>
        <w:rPr>
          <w:rFonts w:ascii="华文仿宋" w:hAnsi="华文仿宋" w:eastAsia="华文仿宋" w:cs="华文仿宋"/>
          <w:sz w:val="28"/>
          <w:szCs w:val="28"/>
        </w:rPr>
      </w:pPr>
      <w:r>
        <w:rPr>
          <w:rFonts w:hint="eastAsia" w:ascii="仿宋" w:hAnsi="仿宋" w:eastAsia="仿宋" w:cs="仿宋"/>
          <w:b/>
          <w:bCs/>
          <w:spacing w:val="-5"/>
          <w:sz w:val="24"/>
          <w:szCs w:val="24"/>
        </w:rPr>
        <w:t>附件一：部门整体绩效评价指标体系评分表</w:t>
      </w:r>
    </w:p>
    <w:p>
      <w:pPr>
        <w:spacing w:line="109" w:lineRule="exact"/>
      </w:pPr>
    </w:p>
    <w:tbl>
      <w:tblPr>
        <w:tblStyle w:val="7"/>
        <w:tblW w:w="155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999"/>
        <w:gridCol w:w="1167"/>
        <w:gridCol w:w="665"/>
        <w:gridCol w:w="3011"/>
        <w:gridCol w:w="918"/>
        <w:gridCol w:w="2171"/>
        <w:gridCol w:w="4007"/>
        <w:gridCol w:w="684"/>
        <w:gridCol w:w="8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6" w:hRule="atLeast"/>
        </w:trPr>
        <w:tc>
          <w:tcPr>
            <w:tcW w:w="1091" w:type="dxa"/>
            <w:vAlign w:val="top"/>
          </w:tcPr>
          <w:p>
            <w:pPr>
              <w:spacing w:before="112" w:line="199" w:lineRule="auto"/>
              <w:ind w:left="201"/>
              <w:rPr>
                <w:rFonts w:ascii="华文仿宋" w:hAnsi="华文仿宋" w:eastAsia="华文仿宋" w:cs="华文仿宋"/>
                <w:sz w:val="18"/>
                <w:szCs w:val="18"/>
              </w:rPr>
            </w:pPr>
            <w:r>
              <w:rPr>
                <w:rFonts w:ascii="华文仿宋" w:hAnsi="华文仿宋" w:eastAsia="华文仿宋" w:cs="华文仿宋"/>
                <w:b/>
                <w:bCs/>
                <w:spacing w:val="-7"/>
                <w:sz w:val="18"/>
                <w:szCs w:val="18"/>
              </w:rPr>
              <w:t>一级指标</w:t>
            </w:r>
          </w:p>
        </w:tc>
        <w:tc>
          <w:tcPr>
            <w:tcW w:w="999" w:type="dxa"/>
            <w:vAlign w:val="top"/>
          </w:tcPr>
          <w:p>
            <w:pPr>
              <w:spacing w:before="112" w:line="199" w:lineRule="auto"/>
              <w:ind w:left="152"/>
              <w:rPr>
                <w:rFonts w:ascii="华文仿宋" w:hAnsi="华文仿宋" w:eastAsia="华文仿宋" w:cs="华文仿宋"/>
                <w:sz w:val="18"/>
                <w:szCs w:val="18"/>
              </w:rPr>
            </w:pPr>
            <w:r>
              <w:rPr>
                <w:rFonts w:ascii="华文仿宋" w:hAnsi="华文仿宋" w:eastAsia="华文仿宋" w:cs="华文仿宋"/>
                <w:b/>
                <w:bCs/>
                <w:spacing w:val="-7"/>
                <w:sz w:val="18"/>
                <w:szCs w:val="18"/>
              </w:rPr>
              <w:t>二级指标</w:t>
            </w:r>
          </w:p>
        </w:tc>
        <w:tc>
          <w:tcPr>
            <w:tcW w:w="1167" w:type="dxa"/>
            <w:vAlign w:val="top"/>
          </w:tcPr>
          <w:p>
            <w:pPr>
              <w:spacing w:before="112" w:line="199" w:lineRule="auto"/>
              <w:ind w:left="241"/>
              <w:rPr>
                <w:rFonts w:ascii="华文仿宋" w:hAnsi="华文仿宋" w:eastAsia="华文仿宋" w:cs="华文仿宋"/>
                <w:sz w:val="18"/>
                <w:szCs w:val="18"/>
              </w:rPr>
            </w:pPr>
            <w:r>
              <w:rPr>
                <w:rFonts w:ascii="华文仿宋" w:hAnsi="华文仿宋" w:eastAsia="华文仿宋" w:cs="华文仿宋"/>
                <w:b/>
                <w:bCs/>
                <w:spacing w:val="-8"/>
                <w:sz w:val="18"/>
                <w:szCs w:val="18"/>
              </w:rPr>
              <w:t>三级指标</w:t>
            </w:r>
          </w:p>
        </w:tc>
        <w:tc>
          <w:tcPr>
            <w:tcW w:w="665" w:type="dxa"/>
            <w:vAlign w:val="top"/>
          </w:tcPr>
          <w:p>
            <w:pPr>
              <w:spacing w:before="113" w:line="198" w:lineRule="auto"/>
              <w:ind w:left="159"/>
              <w:rPr>
                <w:rFonts w:ascii="华文仿宋" w:hAnsi="华文仿宋" w:eastAsia="华文仿宋" w:cs="华文仿宋"/>
                <w:sz w:val="18"/>
                <w:szCs w:val="18"/>
              </w:rPr>
            </w:pPr>
            <w:r>
              <w:rPr>
                <w:rFonts w:ascii="华文仿宋" w:hAnsi="华文仿宋" w:eastAsia="华文仿宋" w:cs="华文仿宋"/>
                <w:b/>
                <w:bCs/>
                <w:spacing w:val="-7"/>
                <w:sz w:val="18"/>
                <w:szCs w:val="18"/>
              </w:rPr>
              <w:t>权重</w:t>
            </w:r>
          </w:p>
        </w:tc>
        <w:tc>
          <w:tcPr>
            <w:tcW w:w="3011" w:type="dxa"/>
            <w:vAlign w:val="top"/>
          </w:tcPr>
          <w:p>
            <w:pPr>
              <w:spacing w:before="112" w:line="199" w:lineRule="auto"/>
              <w:ind w:left="705"/>
              <w:rPr>
                <w:rFonts w:ascii="华文仿宋" w:hAnsi="华文仿宋" w:eastAsia="华文仿宋" w:cs="华文仿宋"/>
                <w:sz w:val="18"/>
                <w:szCs w:val="18"/>
              </w:rPr>
            </w:pPr>
            <w:r>
              <w:rPr>
                <w:rFonts w:ascii="华文仿宋" w:hAnsi="华文仿宋" w:eastAsia="华文仿宋" w:cs="华文仿宋"/>
                <w:b/>
                <w:bCs/>
                <w:spacing w:val="-4"/>
                <w:sz w:val="18"/>
                <w:szCs w:val="18"/>
              </w:rPr>
              <w:t>指标解释及评价要点</w:t>
            </w:r>
          </w:p>
        </w:tc>
        <w:tc>
          <w:tcPr>
            <w:tcW w:w="918" w:type="dxa"/>
            <w:vAlign w:val="top"/>
          </w:tcPr>
          <w:p>
            <w:pPr>
              <w:spacing w:before="112" w:line="199" w:lineRule="auto"/>
              <w:ind w:left="197"/>
              <w:rPr>
                <w:rFonts w:ascii="华文仿宋" w:hAnsi="华文仿宋" w:eastAsia="华文仿宋" w:cs="华文仿宋"/>
                <w:sz w:val="18"/>
                <w:szCs w:val="18"/>
              </w:rPr>
            </w:pPr>
            <w:r>
              <w:rPr>
                <w:rFonts w:ascii="华文仿宋" w:hAnsi="华文仿宋" w:eastAsia="华文仿宋" w:cs="华文仿宋"/>
                <w:b/>
                <w:bCs/>
                <w:spacing w:val="-6"/>
                <w:sz w:val="18"/>
                <w:szCs w:val="18"/>
              </w:rPr>
              <w:t>标杆值</w:t>
            </w:r>
          </w:p>
        </w:tc>
        <w:tc>
          <w:tcPr>
            <w:tcW w:w="2171" w:type="dxa"/>
            <w:vAlign w:val="top"/>
          </w:tcPr>
          <w:p>
            <w:pPr>
              <w:spacing w:before="112" w:line="199" w:lineRule="auto"/>
              <w:ind w:left="730"/>
              <w:rPr>
                <w:rFonts w:ascii="华文仿宋" w:hAnsi="华文仿宋" w:eastAsia="华文仿宋" w:cs="华文仿宋"/>
                <w:sz w:val="18"/>
                <w:szCs w:val="18"/>
              </w:rPr>
            </w:pPr>
            <w:r>
              <w:rPr>
                <w:rFonts w:ascii="华文仿宋" w:hAnsi="华文仿宋" w:eastAsia="华文仿宋" w:cs="华文仿宋"/>
                <w:b/>
                <w:bCs/>
                <w:spacing w:val="-4"/>
                <w:sz w:val="18"/>
                <w:szCs w:val="18"/>
              </w:rPr>
              <w:t>评价标准</w:t>
            </w:r>
          </w:p>
        </w:tc>
        <w:tc>
          <w:tcPr>
            <w:tcW w:w="4007" w:type="dxa"/>
            <w:vAlign w:val="top"/>
          </w:tcPr>
          <w:p>
            <w:pPr>
              <w:spacing w:before="113" w:line="198" w:lineRule="auto"/>
              <w:ind w:left="1648"/>
              <w:rPr>
                <w:rFonts w:ascii="华文仿宋" w:hAnsi="华文仿宋" w:eastAsia="华文仿宋" w:cs="华文仿宋"/>
                <w:sz w:val="18"/>
                <w:szCs w:val="18"/>
              </w:rPr>
            </w:pPr>
            <w:r>
              <w:rPr>
                <w:rFonts w:ascii="华文仿宋" w:hAnsi="华文仿宋" w:eastAsia="华文仿宋" w:cs="华文仿宋"/>
                <w:b/>
                <w:bCs/>
                <w:spacing w:val="-4"/>
                <w:sz w:val="18"/>
                <w:szCs w:val="18"/>
              </w:rPr>
              <w:t>评分过程</w:t>
            </w:r>
          </w:p>
        </w:tc>
        <w:tc>
          <w:tcPr>
            <w:tcW w:w="684" w:type="dxa"/>
            <w:vAlign w:val="top"/>
          </w:tcPr>
          <w:p>
            <w:pPr>
              <w:spacing w:before="114" w:line="197" w:lineRule="auto"/>
              <w:ind w:left="172"/>
              <w:rPr>
                <w:rFonts w:ascii="华文仿宋" w:hAnsi="华文仿宋" w:eastAsia="华文仿宋" w:cs="华文仿宋"/>
                <w:sz w:val="18"/>
                <w:szCs w:val="18"/>
              </w:rPr>
            </w:pPr>
            <w:r>
              <w:rPr>
                <w:rFonts w:ascii="华文仿宋" w:hAnsi="华文仿宋" w:eastAsia="华文仿宋" w:cs="华文仿宋"/>
                <w:b/>
                <w:bCs/>
                <w:spacing w:val="-8"/>
                <w:sz w:val="18"/>
                <w:szCs w:val="18"/>
              </w:rPr>
              <w:t>得分</w:t>
            </w:r>
          </w:p>
        </w:tc>
        <w:tc>
          <w:tcPr>
            <w:tcW w:w="832" w:type="dxa"/>
            <w:vAlign w:val="top"/>
          </w:tcPr>
          <w:p>
            <w:pPr>
              <w:spacing w:before="111" w:line="200" w:lineRule="auto"/>
              <w:ind w:left="152"/>
              <w:rPr>
                <w:rFonts w:ascii="华文仿宋" w:hAnsi="华文仿宋" w:eastAsia="华文仿宋" w:cs="华文仿宋"/>
                <w:sz w:val="18"/>
                <w:szCs w:val="18"/>
              </w:rPr>
            </w:pPr>
            <w:r>
              <w:rPr>
                <w:rFonts w:ascii="华文仿宋" w:hAnsi="华文仿宋" w:eastAsia="华文仿宋" w:cs="华文仿宋"/>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619" w:hRule="atLeast"/>
        </w:trPr>
        <w:tc>
          <w:tcPr>
            <w:tcW w:w="1091" w:type="dxa"/>
            <w:vAlign w:val="top"/>
          </w:tcPr>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8"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before="65" w:line="290" w:lineRule="auto"/>
              <w:ind w:left="306" w:right="182" w:hanging="109"/>
              <w:rPr>
                <w:rFonts w:ascii="华文仿宋" w:hAnsi="华文仿宋" w:eastAsia="华文仿宋" w:cs="华文仿宋"/>
                <w:sz w:val="18"/>
                <w:szCs w:val="18"/>
              </w:rPr>
            </w:pPr>
            <w:r>
              <w:rPr>
                <w:rFonts w:ascii="华文仿宋" w:hAnsi="华文仿宋" w:eastAsia="华文仿宋" w:cs="华文仿宋"/>
                <w:spacing w:val="-4"/>
                <w:sz w:val="18"/>
                <w:szCs w:val="18"/>
              </w:rPr>
              <w:t>部门绩效</w:t>
            </w:r>
            <w:r>
              <w:rPr>
                <w:rFonts w:ascii="华文仿宋" w:hAnsi="华文仿宋" w:eastAsia="华文仿宋" w:cs="华文仿宋"/>
                <w:spacing w:val="-7"/>
                <w:sz w:val="18"/>
                <w:szCs w:val="18"/>
              </w:rPr>
              <w:t>（50）</w:t>
            </w:r>
          </w:p>
        </w:tc>
        <w:tc>
          <w:tcPr>
            <w:tcW w:w="999" w:type="dxa"/>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before="66" w:line="200" w:lineRule="auto"/>
              <w:ind w:left="147"/>
              <w:rPr>
                <w:rFonts w:ascii="华文仿宋" w:hAnsi="华文仿宋" w:eastAsia="华文仿宋" w:cs="华文仿宋"/>
                <w:sz w:val="18"/>
                <w:szCs w:val="18"/>
              </w:rPr>
            </w:pPr>
            <w:r>
              <w:rPr>
                <w:rFonts w:ascii="华文仿宋" w:hAnsi="华文仿宋" w:eastAsia="华文仿宋" w:cs="华文仿宋"/>
                <w:spacing w:val="-4"/>
                <w:sz w:val="18"/>
                <w:szCs w:val="18"/>
              </w:rPr>
              <w:t>部门产出</w:t>
            </w:r>
          </w:p>
          <w:p>
            <w:pPr>
              <w:spacing w:before="95" w:line="198" w:lineRule="auto"/>
              <w:ind w:left="331"/>
              <w:rPr>
                <w:rFonts w:ascii="华文仿宋" w:hAnsi="华文仿宋" w:eastAsia="华文仿宋" w:cs="华文仿宋"/>
                <w:sz w:val="18"/>
                <w:szCs w:val="18"/>
              </w:rPr>
            </w:pPr>
            <w:r>
              <w:rPr>
                <w:rFonts w:ascii="华文仿宋" w:hAnsi="华文仿宋" w:eastAsia="华文仿宋" w:cs="华文仿宋"/>
                <w:spacing w:val="-9"/>
                <w:sz w:val="18"/>
                <w:szCs w:val="18"/>
              </w:rPr>
              <w:t>数量</w:t>
            </w:r>
          </w:p>
          <w:p>
            <w:pPr>
              <w:spacing w:before="57" w:line="283" w:lineRule="exact"/>
              <w:ind w:left="256"/>
              <w:rPr>
                <w:rFonts w:ascii="华文仿宋" w:hAnsi="华文仿宋" w:eastAsia="华文仿宋" w:cs="华文仿宋"/>
                <w:sz w:val="18"/>
                <w:szCs w:val="18"/>
              </w:rPr>
            </w:pPr>
            <w:r>
              <w:rPr>
                <w:rFonts w:ascii="华文仿宋" w:hAnsi="华文仿宋" w:eastAsia="华文仿宋" w:cs="华文仿宋"/>
                <w:spacing w:val="-7"/>
                <w:position w:val="3"/>
                <w:sz w:val="18"/>
                <w:szCs w:val="18"/>
              </w:rPr>
              <w:t>（20）</w:t>
            </w:r>
          </w:p>
        </w:tc>
        <w:tc>
          <w:tcPr>
            <w:tcW w:w="1167" w:type="dxa"/>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before="66" w:line="199" w:lineRule="auto"/>
              <w:ind w:left="146"/>
              <w:rPr>
                <w:rFonts w:ascii="华文仿宋" w:hAnsi="华文仿宋" w:eastAsia="华文仿宋" w:cs="华文仿宋"/>
                <w:sz w:val="18"/>
                <w:szCs w:val="18"/>
              </w:rPr>
            </w:pPr>
            <w:r>
              <w:rPr>
                <w:rFonts w:ascii="华文仿宋" w:hAnsi="华文仿宋" w:eastAsia="华文仿宋" w:cs="华文仿宋"/>
                <w:spacing w:val="-4"/>
                <w:sz w:val="18"/>
                <w:szCs w:val="18"/>
              </w:rPr>
              <w:t>失地搬迁补</w:t>
            </w:r>
          </w:p>
          <w:p>
            <w:pPr>
              <w:spacing w:before="94" w:line="199" w:lineRule="auto"/>
              <w:ind w:left="141"/>
              <w:rPr>
                <w:rFonts w:ascii="华文仿宋" w:hAnsi="华文仿宋" w:eastAsia="华文仿宋" w:cs="华文仿宋"/>
                <w:sz w:val="18"/>
                <w:szCs w:val="18"/>
              </w:rPr>
            </w:pPr>
            <w:r>
              <w:rPr>
                <w:rFonts w:ascii="华文仿宋" w:hAnsi="华文仿宋" w:eastAsia="华文仿宋" w:cs="华文仿宋"/>
                <w:spacing w:val="-3"/>
                <w:sz w:val="18"/>
                <w:szCs w:val="18"/>
              </w:rPr>
              <w:t>贴工作完成</w:t>
            </w:r>
          </w:p>
          <w:p>
            <w:pPr>
              <w:spacing w:before="93" w:line="200" w:lineRule="auto"/>
              <w:ind w:left="503"/>
              <w:rPr>
                <w:rFonts w:ascii="华文仿宋" w:hAnsi="华文仿宋" w:eastAsia="华文仿宋" w:cs="华文仿宋"/>
                <w:sz w:val="18"/>
                <w:szCs w:val="18"/>
              </w:rPr>
            </w:pPr>
            <w:r>
              <w:rPr>
                <w:rFonts w:ascii="华文仿宋" w:hAnsi="华文仿宋" w:eastAsia="华文仿宋" w:cs="华文仿宋"/>
                <w:sz w:val="18"/>
                <w:szCs w:val="18"/>
              </w:rPr>
              <w:t>率</w:t>
            </w:r>
          </w:p>
        </w:tc>
        <w:tc>
          <w:tcPr>
            <w:tcW w:w="665" w:type="dxa"/>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66" w:line="177" w:lineRule="auto"/>
              <w:ind w:left="295"/>
              <w:rPr>
                <w:rFonts w:ascii="华文仿宋" w:hAnsi="华文仿宋" w:eastAsia="华文仿宋" w:cs="华文仿宋"/>
                <w:sz w:val="18"/>
                <w:szCs w:val="18"/>
              </w:rPr>
            </w:pPr>
            <w:r>
              <w:rPr>
                <w:rFonts w:ascii="华文仿宋" w:hAnsi="华文仿宋" w:eastAsia="华文仿宋" w:cs="华文仿宋"/>
                <w:sz w:val="18"/>
                <w:szCs w:val="18"/>
              </w:rPr>
              <w:t>6</w:t>
            </w:r>
          </w:p>
        </w:tc>
        <w:tc>
          <w:tcPr>
            <w:tcW w:w="3011" w:type="dxa"/>
            <w:vAlign w:val="top"/>
          </w:tcPr>
          <w:p>
            <w:pPr>
              <w:spacing w:line="279"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line="280" w:lineRule="auto"/>
              <w:rPr>
                <w:rFonts w:ascii="Arial"/>
                <w:sz w:val="21"/>
              </w:rPr>
            </w:pPr>
          </w:p>
          <w:p>
            <w:pPr>
              <w:spacing w:before="65" w:line="286" w:lineRule="auto"/>
              <w:ind w:left="128" w:right="202" w:hanging="14"/>
              <w:rPr>
                <w:rFonts w:ascii="华文仿宋" w:hAnsi="华文仿宋" w:eastAsia="华文仿宋" w:cs="华文仿宋"/>
                <w:sz w:val="18"/>
                <w:szCs w:val="18"/>
              </w:rPr>
            </w:pPr>
            <w:r>
              <w:rPr>
                <w:rFonts w:ascii="华文仿宋" w:hAnsi="华文仿宋" w:eastAsia="华文仿宋" w:cs="华文仿宋"/>
                <w:spacing w:val="-1"/>
                <w:sz w:val="18"/>
                <w:szCs w:val="18"/>
              </w:rPr>
              <w:t>反映当年实地搬迁农牧民补助工作</w:t>
            </w:r>
            <w:r>
              <w:rPr>
                <w:rFonts w:ascii="华文仿宋" w:hAnsi="华文仿宋" w:eastAsia="华文仿宋" w:cs="华文仿宋"/>
                <w:spacing w:val="-5"/>
                <w:sz w:val="18"/>
                <w:szCs w:val="18"/>
              </w:rPr>
              <w:t>的完成情况。</w:t>
            </w:r>
          </w:p>
          <w:p>
            <w:pPr>
              <w:spacing w:before="1" w:line="285" w:lineRule="auto"/>
              <w:ind w:left="120" w:right="257" w:hanging="3"/>
              <w:rPr>
                <w:rFonts w:ascii="华文仿宋" w:hAnsi="华文仿宋" w:eastAsia="华文仿宋" w:cs="华文仿宋"/>
                <w:sz w:val="18"/>
                <w:szCs w:val="18"/>
              </w:rPr>
            </w:pPr>
            <w:r>
              <w:rPr>
                <w:rFonts w:ascii="华文仿宋" w:hAnsi="华文仿宋" w:eastAsia="华文仿宋" w:cs="华文仿宋"/>
                <w:spacing w:val="-1"/>
                <w:sz w:val="18"/>
                <w:szCs w:val="18"/>
              </w:rPr>
              <w:t>1.是否按计划完成失地农牧民生活</w:t>
            </w:r>
            <w:r>
              <w:rPr>
                <w:rFonts w:ascii="华文仿宋" w:hAnsi="华文仿宋" w:eastAsia="华文仿宋" w:cs="华文仿宋"/>
                <w:spacing w:val="-4"/>
                <w:sz w:val="18"/>
                <w:szCs w:val="18"/>
              </w:rPr>
              <w:t>补助人数，每月补助发放工作；</w:t>
            </w:r>
          </w:p>
          <w:p>
            <w:pPr>
              <w:spacing w:before="1" w:line="285" w:lineRule="auto"/>
              <w:ind w:left="116" w:right="292" w:hanging="9"/>
              <w:rPr>
                <w:rFonts w:ascii="华文仿宋" w:hAnsi="华文仿宋" w:eastAsia="华文仿宋" w:cs="华文仿宋"/>
                <w:sz w:val="18"/>
                <w:szCs w:val="18"/>
              </w:rPr>
            </w:pPr>
            <w:r>
              <w:rPr>
                <w:rFonts w:ascii="华文仿宋" w:hAnsi="华文仿宋" w:eastAsia="华文仿宋" w:cs="华文仿宋"/>
                <w:spacing w:val="-3"/>
                <w:sz w:val="18"/>
                <w:szCs w:val="18"/>
              </w:rPr>
              <w:t>2.是否按计划完成搬迁农民人数，</w:t>
            </w:r>
            <w:r>
              <w:rPr>
                <w:rFonts w:ascii="华文仿宋" w:hAnsi="华文仿宋" w:eastAsia="华文仿宋" w:cs="华文仿宋"/>
                <w:spacing w:val="-2"/>
                <w:sz w:val="18"/>
                <w:szCs w:val="18"/>
              </w:rPr>
              <w:t>每月补助发放工作；</w:t>
            </w:r>
          </w:p>
          <w:p>
            <w:pPr>
              <w:spacing w:before="3" w:line="289" w:lineRule="auto"/>
              <w:ind w:left="114" w:right="257" w:hanging="2"/>
              <w:rPr>
                <w:rFonts w:ascii="华文仿宋" w:hAnsi="华文仿宋" w:eastAsia="华文仿宋" w:cs="华文仿宋"/>
                <w:sz w:val="18"/>
                <w:szCs w:val="18"/>
              </w:rPr>
            </w:pPr>
            <w:r>
              <w:rPr>
                <w:rFonts w:ascii="华文仿宋" w:hAnsi="华文仿宋" w:eastAsia="华文仿宋" w:cs="华文仿宋"/>
                <w:spacing w:val="-1"/>
                <w:sz w:val="18"/>
                <w:szCs w:val="18"/>
              </w:rPr>
              <w:t>3.是否按计划完成搬迁人员男超过</w:t>
            </w:r>
            <w:r>
              <w:rPr>
                <w:rFonts w:ascii="华文仿宋" w:hAnsi="华文仿宋" w:eastAsia="华文仿宋" w:cs="华文仿宋"/>
                <w:spacing w:val="-8"/>
                <w:sz w:val="18"/>
                <w:szCs w:val="18"/>
              </w:rPr>
              <w:t>50岁，女超过45岁人员人数，每</w:t>
            </w:r>
            <w:r>
              <w:rPr>
                <w:rFonts w:ascii="华文仿宋" w:hAnsi="华文仿宋" w:eastAsia="华文仿宋" w:cs="华文仿宋"/>
                <w:spacing w:val="-2"/>
                <w:sz w:val="18"/>
                <w:szCs w:val="18"/>
              </w:rPr>
              <w:t>月补助发放工作；</w:t>
            </w:r>
          </w:p>
        </w:tc>
        <w:tc>
          <w:tcPr>
            <w:tcW w:w="918" w:type="dxa"/>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66" w:line="177" w:lineRule="auto"/>
              <w:ind w:left="269"/>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c>
          <w:tcPr>
            <w:tcW w:w="2171" w:type="dxa"/>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before="66" w:line="285" w:lineRule="auto"/>
              <w:ind w:left="115" w:right="309" w:firstLine="6"/>
              <w:rPr>
                <w:rFonts w:ascii="华文仿宋" w:hAnsi="华文仿宋" w:eastAsia="华文仿宋" w:cs="华文仿宋"/>
                <w:sz w:val="18"/>
                <w:szCs w:val="18"/>
              </w:rPr>
            </w:pPr>
            <w:r>
              <w:rPr>
                <w:rFonts w:ascii="华文仿宋" w:hAnsi="华文仿宋" w:eastAsia="华文仿宋" w:cs="华文仿宋"/>
                <w:spacing w:val="-2"/>
                <w:sz w:val="18"/>
                <w:szCs w:val="18"/>
              </w:rPr>
              <w:t>符合全部评价要点得2</w:t>
            </w:r>
            <w:r>
              <w:rPr>
                <w:rFonts w:ascii="华文仿宋" w:hAnsi="华文仿宋" w:eastAsia="华文仿宋" w:cs="华文仿宋"/>
                <w:spacing w:val="-4"/>
                <w:sz w:val="18"/>
                <w:szCs w:val="18"/>
              </w:rPr>
              <w:t>分，每一项不符合扣2</w:t>
            </w:r>
          </w:p>
          <w:p>
            <w:pPr>
              <w:spacing w:line="201" w:lineRule="auto"/>
              <w:ind w:left="115"/>
              <w:rPr>
                <w:rFonts w:ascii="华文仿宋" w:hAnsi="华文仿宋" w:eastAsia="华文仿宋" w:cs="华文仿宋"/>
                <w:sz w:val="18"/>
                <w:szCs w:val="18"/>
              </w:rPr>
            </w:pPr>
            <w:r>
              <w:rPr>
                <w:rFonts w:ascii="华文仿宋" w:hAnsi="华文仿宋" w:eastAsia="华文仿宋" w:cs="华文仿宋"/>
                <w:spacing w:val="-6"/>
                <w:sz w:val="18"/>
                <w:szCs w:val="18"/>
              </w:rPr>
              <w:t>分，扣完为止。</w:t>
            </w:r>
          </w:p>
        </w:tc>
        <w:tc>
          <w:tcPr>
            <w:tcW w:w="4007" w:type="dxa"/>
            <w:vAlign w:val="top"/>
          </w:tcPr>
          <w:p>
            <w:pPr>
              <w:spacing w:before="67" w:line="283" w:lineRule="auto"/>
              <w:ind w:left="118" w:right="114" w:hanging="2"/>
              <w:rPr>
                <w:rFonts w:ascii="华文仿宋" w:hAnsi="华文仿宋" w:eastAsia="华文仿宋" w:cs="华文仿宋"/>
                <w:sz w:val="18"/>
                <w:szCs w:val="18"/>
              </w:rPr>
            </w:pPr>
            <w:r>
              <w:rPr>
                <w:rFonts w:ascii="华文仿宋" w:hAnsi="华文仿宋" w:eastAsia="华文仿宋" w:cs="华文仿宋"/>
                <w:spacing w:val="-3"/>
                <w:sz w:val="18"/>
                <w:szCs w:val="18"/>
              </w:rPr>
              <w:t>根据区民政局提供年度工作计划、工作资料、相关等分析，区民政局全年应完成失地农牧民生活补助预期达到321元/人/月的补助标准；区民政</w:t>
            </w:r>
            <w:r>
              <w:rPr>
                <w:rFonts w:ascii="华文仿宋" w:hAnsi="华文仿宋" w:eastAsia="华文仿宋" w:cs="华文仿宋"/>
                <w:spacing w:val="-1"/>
                <w:sz w:val="18"/>
                <w:szCs w:val="18"/>
              </w:rPr>
              <w:t>局应完成搬迁农民人数预期达到300元</w:t>
            </w:r>
            <w:r>
              <w:rPr>
                <w:rFonts w:ascii="华文仿宋" w:hAnsi="华文仿宋" w:eastAsia="华文仿宋" w:cs="华文仿宋"/>
                <w:spacing w:val="-2"/>
                <w:sz w:val="18"/>
                <w:szCs w:val="18"/>
              </w:rPr>
              <w:t>/人/月的</w:t>
            </w:r>
            <w:r>
              <w:rPr>
                <w:rFonts w:ascii="华文仿宋" w:hAnsi="华文仿宋" w:eastAsia="华文仿宋" w:cs="华文仿宋"/>
                <w:spacing w:val="-3"/>
                <w:sz w:val="18"/>
                <w:szCs w:val="18"/>
              </w:rPr>
              <w:t>补助标准；区民政局应完成搬迁人员男超过50</w:t>
            </w:r>
            <w:r>
              <w:rPr>
                <w:rFonts w:ascii="华文仿宋" w:hAnsi="华文仿宋" w:eastAsia="华文仿宋" w:cs="华文仿宋"/>
                <w:spacing w:val="-4"/>
                <w:sz w:val="18"/>
                <w:szCs w:val="18"/>
              </w:rPr>
              <w:t>岁，女超过45岁人员预期达到500元/人/月的</w:t>
            </w:r>
            <w:r>
              <w:rPr>
                <w:rFonts w:ascii="华文仿宋" w:hAnsi="华文仿宋" w:eastAsia="华文仿宋" w:cs="华文仿宋"/>
                <w:spacing w:val="-7"/>
                <w:sz w:val="18"/>
                <w:szCs w:val="18"/>
              </w:rPr>
              <w:t>补助发放标准。经核实，</w:t>
            </w:r>
            <w:r>
              <w:rPr>
                <w:rFonts w:ascii="华文仿宋" w:hAnsi="华文仿宋" w:eastAsia="华文仿宋" w:cs="华文仿宋"/>
                <w:spacing w:val="-5"/>
                <w:sz w:val="18"/>
                <w:szCs w:val="18"/>
              </w:rPr>
              <w:t>截</w:t>
            </w:r>
            <w:r>
              <w:rPr>
                <w:rFonts w:hint="eastAsia" w:ascii="华文仿宋" w:hAnsi="华文仿宋" w:eastAsia="华文仿宋" w:cs="华文仿宋"/>
                <w:spacing w:val="-5"/>
                <w:sz w:val="18"/>
                <w:szCs w:val="18"/>
                <w:lang w:val="en-US" w:eastAsia="zh-CN"/>
              </w:rPr>
              <w:t>至</w:t>
            </w:r>
            <w:r>
              <w:rPr>
                <w:rFonts w:ascii="华文仿宋" w:hAnsi="华文仿宋" w:eastAsia="华文仿宋" w:cs="华文仿宋"/>
                <w:spacing w:val="-5"/>
                <w:sz w:val="18"/>
                <w:szCs w:val="18"/>
              </w:rPr>
              <w:t>2025年底</w:t>
            </w:r>
            <w:r>
              <w:rPr>
                <w:rFonts w:ascii="华文仿宋" w:hAnsi="华文仿宋" w:eastAsia="华文仿宋" w:cs="华文仿宋"/>
                <w:spacing w:val="-7"/>
                <w:sz w:val="18"/>
                <w:szCs w:val="18"/>
              </w:rPr>
              <w:t>，区民</w:t>
            </w:r>
            <w:r>
              <w:rPr>
                <w:rFonts w:ascii="华文仿宋" w:hAnsi="华文仿宋" w:eastAsia="华文仿宋" w:cs="华文仿宋"/>
                <w:spacing w:val="-1"/>
                <w:sz w:val="18"/>
                <w:szCs w:val="18"/>
              </w:rPr>
              <w:t>政局已完成失地农牧民生活补助发放标准为321</w:t>
            </w:r>
            <w:r>
              <w:rPr>
                <w:rFonts w:ascii="华文仿宋" w:hAnsi="华文仿宋" w:eastAsia="华文仿宋" w:cs="华文仿宋"/>
                <w:spacing w:val="-4"/>
                <w:sz w:val="18"/>
                <w:szCs w:val="18"/>
              </w:rPr>
              <w:t>元/人/月，达成预期目标；区民政局已完成搬迁</w:t>
            </w:r>
            <w:r>
              <w:rPr>
                <w:rFonts w:ascii="华文仿宋" w:hAnsi="华文仿宋" w:eastAsia="华文仿宋" w:cs="华文仿宋"/>
                <w:spacing w:val="-3"/>
                <w:sz w:val="18"/>
                <w:szCs w:val="18"/>
              </w:rPr>
              <w:t>农民人数补助发放标准为330元/人/月，达成预</w:t>
            </w:r>
            <w:r>
              <w:rPr>
                <w:rFonts w:ascii="华文仿宋" w:hAnsi="华文仿宋" w:eastAsia="华文仿宋" w:cs="华文仿宋"/>
                <w:spacing w:val="-5"/>
                <w:sz w:val="18"/>
                <w:szCs w:val="18"/>
              </w:rPr>
              <w:t>期目标；区民政局已完成搬迁人员男超过50</w:t>
            </w:r>
          </w:p>
          <w:p>
            <w:pPr>
              <w:spacing w:before="4" w:line="290" w:lineRule="auto"/>
              <w:ind w:left="117" w:right="114" w:firstLine="12"/>
              <w:rPr>
                <w:rFonts w:ascii="华文仿宋" w:hAnsi="华文仿宋" w:eastAsia="华文仿宋" w:cs="华文仿宋"/>
                <w:sz w:val="18"/>
                <w:szCs w:val="18"/>
              </w:rPr>
            </w:pPr>
            <w:r>
              <w:rPr>
                <w:rFonts w:ascii="华文仿宋" w:hAnsi="华文仿宋" w:eastAsia="华文仿宋" w:cs="华文仿宋"/>
                <w:spacing w:val="-5"/>
                <w:sz w:val="18"/>
                <w:szCs w:val="18"/>
              </w:rPr>
              <w:t>岁，女超过45岁人员补助发放标准为500元/人</w:t>
            </w:r>
            <w:r>
              <w:rPr>
                <w:rFonts w:ascii="华文仿宋" w:hAnsi="华文仿宋" w:eastAsia="华文仿宋" w:cs="华文仿宋"/>
                <w:spacing w:val="-3"/>
                <w:sz w:val="18"/>
                <w:szCs w:val="18"/>
              </w:rPr>
              <w:t>/月，达成预期目标；但根据区民政局提供的项</w:t>
            </w:r>
            <w:r>
              <w:rPr>
                <w:rFonts w:ascii="华文仿宋" w:hAnsi="华文仿宋" w:eastAsia="华文仿宋" w:cs="华文仿宋"/>
                <w:spacing w:val="-4"/>
                <w:sz w:val="18"/>
                <w:szCs w:val="18"/>
              </w:rPr>
              <w:t>目指标印证资料可知，三项补助发放人数，均未</w:t>
            </w:r>
            <w:r>
              <w:rPr>
                <w:rFonts w:ascii="华文仿宋" w:hAnsi="华文仿宋" w:eastAsia="华文仿宋" w:cs="华文仿宋"/>
                <w:spacing w:val="-2"/>
                <w:sz w:val="18"/>
                <w:szCs w:val="18"/>
              </w:rPr>
              <w:t>达到年初预期目标，导致指标人数存在未完</w:t>
            </w:r>
            <w:r>
              <w:rPr>
                <w:rFonts w:ascii="华文仿宋" w:hAnsi="华文仿宋" w:eastAsia="华文仿宋" w:cs="华文仿宋"/>
                <w:spacing w:val="-3"/>
                <w:sz w:val="18"/>
                <w:szCs w:val="18"/>
              </w:rPr>
              <w:t>成情</w:t>
            </w:r>
            <w:r>
              <w:rPr>
                <w:rFonts w:ascii="华文仿宋" w:hAnsi="华文仿宋" w:eastAsia="华文仿宋" w:cs="华文仿宋"/>
                <w:spacing w:val="-2"/>
                <w:sz w:val="18"/>
                <w:szCs w:val="18"/>
              </w:rPr>
              <w:t>况；综上所述，三项补助工作均未达到年度目</w:t>
            </w:r>
          </w:p>
          <w:p>
            <w:pPr>
              <w:spacing w:before="6" w:line="251" w:lineRule="auto"/>
              <w:ind w:left="116" w:right="183" w:firstLine="1"/>
              <w:rPr>
                <w:rFonts w:ascii="华文仿宋" w:hAnsi="华文仿宋" w:eastAsia="华文仿宋" w:cs="华文仿宋"/>
                <w:sz w:val="18"/>
                <w:szCs w:val="18"/>
              </w:rPr>
            </w:pPr>
            <w:r>
              <w:rPr>
                <w:rFonts w:ascii="华文仿宋" w:hAnsi="华文仿宋" w:eastAsia="华文仿宋" w:cs="华文仿宋"/>
                <w:spacing w:val="-4"/>
                <w:sz w:val="18"/>
                <w:szCs w:val="18"/>
              </w:rPr>
              <w:t>标，指标均未完成,依据评价标准，该指标扣1.5</w:t>
            </w:r>
            <w:r>
              <w:rPr>
                <w:rFonts w:ascii="华文仿宋" w:hAnsi="华文仿宋" w:eastAsia="华文仿宋" w:cs="华文仿宋"/>
                <w:spacing w:val="-5"/>
                <w:sz w:val="18"/>
                <w:szCs w:val="18"/>
              </w:rPr>
              <w:t>分。</w:t>
            </w:r>
          </w:p>
        </w:tc>
        <w:tc>
          <w:tcPr>
            <w:tcW w:w="684" w:type="dxa"/>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before="66" w:line="177" w:lineRule="auto"/>
              <w:ind w:left="308"/>
              <w:rPr>
                <w:rFonts w:ascii="华文仿宋" w:hAnsi="华文仿宋" w:eastAsia="华文仿宋" w:cs="华文仿宋"/>
                <w:sz w:val="18"/>
                <w:szCs w:val="18"/>
              </w:rPr>
            </w:pPr>
            <w:r>
              <w:rPr>
                <w:rFonts w:ascii="华文仿宋" w:hAnsi="华文仿宋" w:eastAsia="华文仿宋" w:cs="华文仿宋"/>
                <w:sz w:val="18"/>
                <w:szCs w:val="18"/>
              </w:rPr>
              <w:t>3</w:t>
            </w:r>
          </w:p>
        </w:tc>
        <w:tc>
          <w:tcPr>
            <w:tcW w:w="832" w:type="dxa"/>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3" w:lineRule="auto"/>
              <w:rPr>
                <w:rFonts w:ascii="Arial"/>
                <w:sz w:val="21"/>
              </w:rPr>
            </w:pPr>
          </w:p>
          <w:p>
            <w:pPr>
              <w:spacing w:line="243" w:lineRule="auto"/>
              <w:rPr>
                <w:rFonts w:ascii="Arial"/>
                <w:sz w:val="21"/>
              </w:rPr>
            </w:pPr>
          </w:p>
          <w:p>
            <w:pPr>
              <w:spacing w:before="66" w:line="178" w:lineRule="auto"/>
              <w:ind w:left="265"/>
              <w:rPr>
                <w:rFonts w:ascii="华文仿宋" w:hAnsi="华文仿宋" w:eastAsia="华文仿宋" w:cs="华文仿宋"/>
                <w:sz w:val="18"/>
                <w:szCs w:val="18"/>
              </w:rPr>
            </w:pPr>
            <w:r>
              <w:rPr>
                <w:rFonts w:ascii="华文仿宋" w:hAnsi="华文仿宋" w:eastAsia="华文仿宋" w:cs="华文仿宋"/>
                <w:spacing w:val="-4"/>
                <w:sz w:val="18"/>
                <w:szCs w:val="18"/>
              </w:rPr>
              <w:t>50%</w:t>
            </w:r>
          </w:p>
        </w:tc>
      </w:tr>
    </w:tbl>
    <w:p>
      <w:pPr>
        <w:pStyle w:val="2"/>
      </w:pPr>
    </w:p>
    <w:p>
      <w:pPr>
        <w:sectPr>
          <w:footerReference r:id="rId21" w:type="default"/>
          <w:pgSz w:w="16839" w:h="11906"/>
          <w:pgMar w:top="1012" w:right="595" w:bottom="1575" w:left="692" w:header="0" w:footer="1289" w:gutter="0"/>
          <w:pgNumType w:fmt="decimal"/>
          <w:cols w:space="720" w:num="1"/>
        </w:sectPr>
      </w:pPr>
    </w:p>
    <w:p>
      <w:pPr>
        <w:pStyle w:val="2"/>
        <w:spacing w:line="287" w:lineRule="auto"/>
      </w:pPr>
    </w:p>
    <w:p>
      <w:pPr>
        <w:spacing w:before="102" w:line="201" w:lineRule="auto"/>
        <w:ind w:left="140" w:firstLine="231" w:firstLineChars="100"/>
        <w:rPr>
          <w:rFonts w:hint="eastAsia" w:ascii="仿宋" w:hAnsi="仿宋" w:eastAsia="仿宋" w:cs="仿宋"/>
          <w:sz w:val="24"/>
          <w:szCs w:val="24"/>
        </w:rPr>
      </w:pPr>
      <w:r>
        <w:rPr>
          <w:rFonts w:hint="eastAsia" w:ascii="仿宋" w:hAnsi="仿宋" w:eastAsia="仿宋" w:cs="仿宋"/>
          <w:b/>
          <w:bCs/>
          <w:spacing w:val="-5"/>
          <w:sz w:val="24"/>
          <w:szCs w:val="24"/>
        </w:rPr>
        <w:t>附件一：部门整体绩效评价指标体系评分表</w:t>
      </w:r>
    </w:p>
    <w:p>
      <w:pPr>
        <w:spacing w:line="109" w:lineRule="exact"/>
      </w:pPr>
    </w:p>
    <w:tbl>
      <w:tblPr>
        <w:tblStyle w:val="7"/>
        <w:tblW w:w="155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999"/>
        <w:gridCol w:w="1167"/>
        <w:gridCol w:w="665"/>
        <w:gridCol w:w="3011"/>
        <w:gridCol w:w="918"/>
        <w:gridCol w:w="2171"/>
        <w:gridCol w:w="4007"/>
        <w:gridCol w:w="684"/>
        <w:gridCol w:w="8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6" w:hRule="atLeast"/>
        </w:trPr>
        <w:tc>
          <w:tcPr>
            <w:tcW w:w="1091" w:type="dxa"/>
            <w:vAlign w:val="top"/>
          </w:tcPr>
          <w:p>
            <w:pPr>
              <w:spacing w:before="112" w:line="199" w:lineRule="auto"/>
              <w:ind w:left="201"/>
              <w:rPr>
                <w:rFonts w:ascii="华文仿宋" w:hAnsi="华文仿宋" w:eastAsia="华文仿宋" w:cs="华文仿宋"/>
                <w:sz w:val="18"/>
                <w:szCs w:val="18"/>
              </w:rPr>
            </w:pPr>
            <w:r>
              <w:rPr>
                <w:rFonts w:ascii="华文仿宋" w:hAnsi="华文仿宋" w:eastAsia="华文仿宋" w:cs="华文仿宋"/>
                <w:b/>
                <w:bCs/>
                <w:spacing w:val="-7"/>
                <w:sz w:val="18"/>
                <w:szCs w:val="18"/>
              </w:rPr>
              <w:t>一级指标</w:t>
            </w:r>
          </w:p>
        </w:tc>
        <w:tc>
          <w:tcPr>
            <w:tcW w:w="999" w:type="dxa"/>
            <w:vAlign w:val="top"/>
          </w:tcPr>
          <w:p>
            <w:pPr>
              <w:spacing w:before="112" w:line="199" w:lineRule="auto"/>
              <w:ind w:left="152"/>
              <w:rPr>
                <w:rFonts w:ascii="华文仿宋" w:hAnsi="华文仿宋" w:eastAsia="华文仿宋" w:cs="华文仿宋"/>
                <w:sz w:val="18"/>
                <w:szCs w:val="18"/>
              </w:rPr>
            </w:pPr>
            <w:r>
              <w:rPr>
                <w:rFonts w:ascii="华文仿宋" w:hAnsi="华文仿宋" w:eastAsia="华文仿宋" w:cs="华文仿宋"/>
                <w:b/>
                <w:bCs/>
                <w:spacing w:val="-7"/>
                <w:sz w:val="18"/>
                <w:szCs w:val="18"/>
              </w:rPr>
              <w:t>二级指标</w:t>
            </w:r>
          </w:p>
        </w:tc>
        <w:tc>
          <w:tcPr>
            <w:tcW w:w="1167" w:type="dxa"/>
            <w:vAlign w:val="top"/>
          </w:tcPr>
          <w:p>
            <w:pPr>
              <w:spacing w:before="112" w:line="199" w:lineRule="auto"/>
              <w:ind w:left="241"/>
              <w:rPr>
                <w:rFonts w:ascii="华文仿宋" w:hAnsi="华文仿宋" w:eastAsia="华文仿宋" w:cs="华文仿宋"/>
                <w:sz w:val="18"/>
                <w:szCs w:val="18"/>
              </w:rPr>
            </w:pPr>
            <w:r>
              <w:rPr>
                <w:rFonts w:ascii="华文仿宋" w:hAnsi="华文仿宋" w:eastAsia="华文仿宋" w:cs="华文仿宋"/>
                <w:b/>
                <w:bCs/>
                <w:spacing w:val="-8"/>
                <w:sz w:val="18"/>
                <w:szCs w:val="18"/>
              </w:rPr>
              <w:t>三级指标</w:t>
            </w:r>
          </w:p>
        </w:tc>
        <w:tc>
          <w:tcPr>
            <w:tcW w:w="665" w:type="dxa"/>
            <w:vAlign w:val="top"/>
          </w:tcPr>
          <w:p>
            <w:pPr>
              <w:spacing w:before="113" w:line="198" w:lineRule="auto"/>
              <w:ind w:left="159"/>
              <w:rPr>
                <w:rFonts w:ascii="华文仿宋" w:hAnsi="华文仿宋" w:eastAsia="华文仿宋" w:cs="华文仿宋"/>
                <w:sz w:val="18"/>
                <w:szCs w:val="18"/>
              </w:rPr>
            </w:pPr>
            <w:r>
              <w:rPr>
                <w:rFonts w:ascii="华文仿宋" w:hAnsi="华文仿宋" w:eastAsia="华文仿宋" w:cs="华文仿宋"/>
                <w:b/>
                <w:bCs/>
                <w:spacing w:val="-7"/>
                <w:sz w:val="18"/>
                <w:szCs w:val="18"/>
              </w:rPr>
              <w:t>权重</w:t>
            </w:r>
          </w:p>
        </w:tc>
        <w:tc>
          <w:tcPr>
            <w:tcW w:w="3011" w:type="dxa"/>
            <w:vAlign w:val="top"/>
          </w:tcPr>
          <w:p>
            <w:pPr>
              <w:spacing w:before="112" w:line="199" w:lineRule="auto"/>
              <w:ind w:left="705"/>
              <w:rPr>
                <w:rFonts w:ascii="华文仿宋" w:hAnsi="华文仿宋" w:eastAsia="华文仿宋" w:cs="华文仿宋"/>
                <w:sz w:val="18"/>
                <w:szCs w:val="18"/>
              </w:rPr>
            </w:pPr>
            <w:r>
              <w:rPr>
                <w:rFonts w:ascii="华文仿宋" w:hAnsi="华文仿宋" w:eastAsia="华文仿宋" w:cs="华文仿宋"/>
                <w:b/>
                <w:bCs/>
                <w:spacing w:val="-4"/>
                <w:sz w:val="18"/>
                <w:szCs w:val="18"/>
              </w:rPr>
              <w:t>指标解释及评价要点</w:t>
            </w:r>
          </w:p>
        </w:tc>
        <w:tc>
          <w:tcPr>
            <w:tcW w:w="918" w:type="dxa"/>
            <w:vAlign w:val="top"/>
          </w:tcPr>
          <w:p>
            <w:pPr>
              <w:spacing w:before="112" w:line="199" w:lineRule="auto"/>
              <w:ind w:left="197"/>
              <w:rPr>
                <w:rFonts w:ascii="华文仿宋" w:hAnsi="华文仿宋" w:eastAsia="华文仿宋" w:cs="华文仿宋"/>
                <w:sz w:val="18"/>
                <w:szCs w:val="18"/>
              </w:rPr>
            </w:pPr>
            <w:r>
              <w:rPr>
                <w:rFonts w:ascii="华文仿宋" w:hAnsi="华文仿宋" w:eastAsia="华文仿宋" w:cs="华文仿宋"/>
                <w:b/>
                <w:bCs/>
                <w:spacing w:val="-6"/>
                <w:sz w:val="18"/>
                <w:szCs w:val="18"/>
              </w:rPr>
              <w:t>标杆值</w:t>
            </w:r>
          </w:p>
        </w:tc>
        <w:tc>
          <w:tcPr>
            <w:tcW w:w="2171" w:type="dxa"/>
            <w:vAlign w:val="top"/>
          </w:tcPr>
          <w:p>
            <w:pPr>
              <w:spacing w:before="112" w:line="199" w:lineRule="auto"/>
              <w:ind w:left="730"/>
              <w:rPr>
                <w:rFonts w:ascii="华文仿宋" w:hAnsi="华文仿宋" w:eastAsia="华文仿宋" w:cs="华文仿宋"/>
                <w:sz w:val="18"/>
                <w:szCs w:val="18"/>
              </w:rPr>
            </w:pPr>
            <w:r>
              <w:rPr>
                <w:rFonts w:ascii="华文仿宋" w:hAnsi="华文仿宋" w:eastAsia="华文仿宋" w:cs="华文仿宋"/>
                <w:b/>
                <w:bCs/>
                <w:spacing w:val="-4"/>
                <w:sz w:val="18"/>
                <w:szCs w:val="18"/>
              </w:rPr>
              <w:t>评价标准</w:t>
            </w:r>
          </w:p>
        </w:tc>
        <w:tc>
          <w:tcPr>
            <w:tcW w:w="4007" w:type="dxa"/>
            <w:vAlign w:val="top"/>
          </w:tcPr>
          <w:p>
            <w:pPr>
              <w:spacing w:before="113" w:line="198" w:lineRule="auto"/>
              <w:ind w:left="1648"/>
              <w:rPr>
                <w:rFonts w:ascii="华文仿宋" w:hAnsi="华文仿宋" w:eastAsia="华文仿宋" w:cs="华文仿宋"/>
                <w:sz w:val="18"/>
                <w:szCs w:val="18"/>
              </w:rPr>
            </w:pPr>
            <w:r>
              <w:rPr>
                <w:rFonts w:ascii="华文仿宋" w:hAnsi="华文仿宋" w:eastAsia="华文仿宋" w:cs="华文仿宋"/>
                <w:b/>
                <w:bCs/>
                <w:spacing w:val="-4"/>
                <w:sz w:val="18"/>
                <w:szCs w:val="18"/>
              </w:rPr>
              <w:t>评分过程</w:t>
            </w:r>
          </w:p>
        </w:tc>
        <w:tc>
          <w:tcPr>
            <w:tcW w:w="684" w:type="dxa"/>
            <w:vAlign w:val="top"/>
          </w:tcPr>
          <w:p>
            <w:pPr>
              <w:spacing w:before="114" w:line="197" w:lineRule="auto"/>
              <w:ind w:left="172"/>
              <w:rPr>
                <w:rFonts w:ascii="华文仿宋" w:hAnsi="华文仿宋" w:eastAsia="华文仿宋" w:cs="华文仿宋"/>
                <w:sz w:val="18"/>
                <w:szCs w:val="18"/>
              </w:rPr>
            </w:pPr>
            <w:r>
              <w:rPr>
                <w:rFonts w:ascii="华文仿宋" w:hAnsi="华文仿宋" w:eastAsia="华文仿宋" w:cs="华文仿宋"/>
                <w:b/>
                <w:bCs/>
                <w:spacing w:val="-8"/>
                <w:sz w:val="18"/>
                <w:szCs w:val="18"/>
              </w:rPr>
              <w:t>得分</w:t>
            </w:r>
          </w:p>
        </w:tc>
        <w:tc>
          <w:tcPr>
            <w:tcW w:w="832" w:type="dxa"/>
            <w:vAlign w:val="top"/>
          </w:tcPr>
          <w:p>
            <w:pPr>
              <w:spacing w:before="111" w:line="200" w:lineRule="auto"/>
              <w:ind w:left="152"/>
              <w:rPr>
                <w:rFonts w:ascii="华文仿宋" w:hAnsi="华文仿宋" w:eastAsia="华文仿宋" w:cs="华文仿宋"/>
                <w:sz w:val="18"/>
                <w:szCs w:val="18"/>
              </w:rPr>
            </w:pPr>
            <w:r>
              <w:rPr>
                <w:rFonts w:ascii="华文仿宋" w:hAnsi="华文仿宋" w:eastAsia="华文仿宋" w:cs="华文仿宋"/>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61" w:hRule="atLeast"/>
        </w:trPr>
        <w:tc>
          <w:tcPr>
            <w:tcW w:w="1091" w:type="dxa"/>
            <w:vMerge w:val="restart"/>
            <w:tcBorders>
              <w:bottom w:val="nil"/>
            </w:tcBorders>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2" w:lineRule="auto"/>
              <w:rPr>
                <w:rFonts w:ascii="Arial"/>
                <w:sz w:val="21"/>
              </w:rPr>
            </w:pPr>
          </w:p>
          <w:p>
            <w:pPr>
              <w:spacing w:line="262" w:lineRule="auto"/>
              <w:rPr>
                <w:rFonts w:ascii="Arial"/>
                <w:sz w:val="21"/>
              </w:rPr>
            </w:pPr>
          </w:p>
          <w:p>
            <w:pPr>
              <w:spacing w:line="262" w:lineRule="auto"/>
              <w:rPr>
                <w:rFonts w:ascii="Arial"/>
                <w:sz w:val="21"/>
              </w:rPr>
            </w:pPr>
          </w:p>
          <w:p>
            <w:pPr>
              <w:spacing w:before="66" w:line="290" w:lineRule="auto"/>
              <w:ind w:left="306" w:right="182" w:hanging="109"/>
              <w:rPr>
                <w:rFonts w:ascii="华文仿宋" w:hAnsi="华文仿宋" w:eastAsia="华文仿宋" w:cs="华文仿宋"/>
                <w:sz w:val="18"/>
                <w:szCs w:val="18"/>
              </w:rPr>
            </w:pPr>
            <w:r>
              <w:rPr>
                <w:rFonts w:ascii="华文仿宋" w:hAnsi="华文仿宋" w:eastAsia="华文仿宋" w:cs="华文仿宋"/>
                <w:spacing w:val="-4"/>
                <w:sz w:val="18"/>
                <w:szCs w:val="18"/>
              </w:rPr>
              <w:t>部门绩效</w:t>
            </w:r>
            <w:r>
              <w:rPr>
                <w:rFonts w:ascii="华文仿宋" w:hAnsi="华文仿宋" w:eastAsia="华文仿宋" w:cs="华文仿宋"/>
                <w:spacing w:val="-7"/>
                <w:sz w:val="18"/>
                <w:szCs w:val="18"/>
              </w:rPr>
              <w:t>（50）</w:t>
            </w:r>
          </w:p>
        </w:tc>
        <w:tc>
          <w:tcPr>
            <w:tcW w:w="999" w:type="dxa"/>
            <w:vAlign w:val="top"/>
          </w:tcPr>
          <w:p>
            <w:pPr>
              <w:spacing w:line="319" w:lineRule="auto"/>
              <w:rPr>
                <w:rFonts w:ascii="Arial"/>
                <w:sz w:val="21"/>
              </w:rPr>
            </w:pPr>
          </w:p>
          <w:p>
            <w:pPr>
              <w:spacing w:line="320" w:lineRule="auto"/>
              <w:rPr>
                <w:rFonts w:ascii="Arial"/>
                <w:sz w:val="21"/>
              </w:rPr>
            </w:pPr>
          </w:p>
          <w:p>
            <w:pPr>
              <w:spacing w:line="320" w:lineRule="auto"/>
              <w:rPr>
                <w:rFonts w:ascii="Arial"/>
                <w:sz w:val="21"/>
              </w:rPr>
            </w:pPr>
          </w:p>
          <w:p>
            <w:pPr>
              <w:spacing w:before="65" w:line="200" w:lineRule="auto"/>
              <w:ind w:left="147"/>
              <w:rPr>
                <w:rFonts w:ascii="华文仿宋" w:hAnsi="华文仿宋" w:eastAsia="华文仿宋" w:cs="华文仿宋"/>
                <w:sz w:val="18"/>
                <w:szCs w:val="18"/>
              </w:rPr>
            </w:pPr>
            <w:r>
              <w:rPr>
                <w:rFonts w:ascii="华文仿宋" w:hAnsi="华文仿宋" w:eastAsia="华文仿宋" w:cs="华文仿宋"/>
                <w:spacing w:val="-4"/>
                <w:sz w:val="18"/>
                <w:szCs w:val="18"/>
              </w:rPr>
              <w:t>部门产出</w:t>
            </w:r>
          </w:p>
          <w:p>
            <w:pPr>
              <w:spacing w:before="97" w:line="196" w:lineRule="auto"/>
              <w:ind w:left="322"/>
              <w:rPr>
                <w:rFonts w:ascii="华文仿宋" w:hAnsi="华文仿宋" w:eastAsia="华文仿宋" w:cs="华文仿宋"/>
                <w:sz w:val="18"/>
                <w:szCs w:val="18"/>
              </w:rPr>
            </w:pPr>
            <w:r>
              <w:rPr>
                <w:rFonts w:ascii="华文仿宋" w:hAnsi="华文仿宋" w:eastAsia="华文仿宋" w:cs="华文仿宋"/>
                <w:spacing w:val="-5"/>
                <w:sz w:val="18"/>
                <w:szCs w:val="18"/>
              </w:rPr>
              <w:t>质量</w:t>
            </w:r>
          </w:p>
          <w:p>
            <w:pPr>
              <w:spacing w:before="57" w:line="283" w:lineRule="exact"/>
              <w:ind w:left="300"/>
              <w:rPr>
                <w:rFonts w:ascii="华文仿宋" w:hAnsi="华文仿宋" w:eastAsia="华文仿宋" w:cs="华文仿宋"/>
                <w:sz w:val="18"/>
                <w:szCs w:val="18"/>
              </w:rPr>
            </w:pPr>
            <w:r>
              <w:rPr>
                <w:rFonts w:ascii="华文仿宋" w:hAnsi="华文仿宋" w:eastAsia="华文仿宋" w:cs="华文仿宋"/>
                <w:spacing w:val="-9"/>
                <w:position w:val="3"/>
                <w:sz w:val="18"/>
                <w:szCs w:val="18"/>
              </w:rPr>
              <w:t>（6）</w:t>
            </w:r>
          </w:p>
        </w:tc>
        <w:tc>
          <w:tcPr>
            <w:tcW w:w="1167" w:type="dxa"/>
            <w:vAlign w:val="top"/>
          </w:tcPr>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before="66" w:line="293" w:lineRule="auto"/>
              <w:ind w:left="230" w:right="133" w:hanging="91"/>
              <w:rPr>
                <w:rFonts w:ascii="华文仿宋" w:hAnsi="华文仿宋" w:eastAsia="华文仿宋" w:cs="华文仿宋"/>
                <w:sz w:val="18"/>
                <w:szCs w:val="18"/>
              </w:rPr>
            </w:pPr>
            <w:r>
              <w:rPr>
                <w:rFonts w:ascii="华文仿宋" w:hAnsi="华文仿宋" w:eastAsia="华文仿宋" w:cs="华文仿宋"/>
                <w:spacing w:val="-3"/>
                <w:sz w:val="18"/>
                <w:szCs w:val="18"/>
              </w:rPr>
              <w:t>各类补贴发放覆盖率</w:t>
            </w:r>
          </w:p>
        </w:tc>
        <w:tc>
          <w:tcPr>
            <w:tcW w:w="665" w:type="dxa"/>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before="65" w:line="177" w:lineRule="auto"/>
              <w:ind w:left="295"/>
              <w:rPr>
                <w:rFonts w:ascii="华文仿宋" w:hAnsi="华文仿宋" w:eastAsia="华文仿宋" w:cs="华文仿宋"/>
                <w:sz w:val="18"/>
                <w:szCs w:val="18"/>
              </w:rPr>
            </w:pPr>
            <w:r>
              <w:rPr>
                <w:rFonts w:ascii="华文仿宋" w:hAnsi="华文仿宋" w:eastAsia="华文仿宋" w:cs="华文仿宋"/>
                <w:sz w:val="18"/>
                <w:szCs w:val="18"/>
              </w:rPr>
              <w:t>6</w:t>
            </w:r>
          </w:p>
        </w:tc>
        <w:tc>
          <w:tcPr>
            <w:tcW w:w="3011" w:type="dxa"/>
            <w:vAlign w:val="top"/>
          </w:tcPr>
          <w:p>
            <w:pPr>
              <w:spacing w:line="323" w:lineRule="auto"/>
              <w:rPr>
                <w:rFonts w:ascii="Arial"/>
                <w:sz w:val="21"/>
              </w:rPr>
            </w:pPr>
          </w:p>
          <w:p>
            <w:pPr>
              <w:spacing w:line="324" w:lineRule="auto"/>
              <w:rPr>
                <w:rFonts w:ascii="Arial"/>
                <w:sz w:val="21"/>
              </w:rPr>
            </w:pPr>
          </w:p>
          <w:p>
            <w:pPr>
              <w:spacing w:before="65" w:line="270" w:lineRule="auto"/>
              <w:ind w:left="137" w:right="202" w:hanging="23"/>
              <w:rPr>
                <w:rFonts w:ascii="华文仿宋" w:hAnsi="华文仿宋" w:eastAsia="华文仿宋" w:cs="华文仿宋"/>
                <w:sz w:val="18"/>
                <w:szCs w:val="18"/>
              </w:rPr>
            </w:pPr>
            <w:r>
              <w:rPr>
                <w:rFonts w:ascii="华文仿宋" w:hAnsi="华文仿宋" w:eastAsia="华文仿宋" w:cs="华文仿宋"/>
                <w:spacing w:val="-1"/>
                <w:sz w:val="18"/>
                <w:szCs w:val="18"/>
              </w:rPr>
              <w:t>反映当年各类补贴发放工作覆盖全</w:t>
            </w:r>
            <w:r>
              <w:rPr>
                <w:rFonts w:ascii="华文仿宋" w:hAnsi="华文仿宋" w:eastAsia="华文仿宋" w:cs="华文仿宋"/>
                <w:spacing w:val="-9"/>
                <w:sz w:val="18"/>
                <w:szCs w:val="18"/>
              </w:rPr>
              <w:t>区情况。</w:t>
            </w:r>
          </w:p>
          <w:p>
            <w:pPr>
              <w:spacing w:before="2" w:line="284" w:lineRule="auto"/>
              <w:ind w:left="110" w:right="110" w:firstLine="4"/>
              <w:rPr>
                <w:rFonts w:ascii="华文仿宋" w:hAnsi="华文仿宋" w:eastAsia="华文仿宋" w:cs="华文仿宋"/>
                <w:sz w:val="18"/>
                <w:szCs w:val="18"/>
              </w:rPr>
            </w:pPr>
            <w:r>
              <w:rPr>
                <w:rFonts w:ascii="华文仿宋" w:hAnsi="华文仿宋" w:eastAsia="华文仿宋" w:cs="华文仿宋"/>
                <w:spacing w:val="-1"/>
                <w:sz w:val="18"/>
                <w:szCs w:val="18"/>
              </w:rPr>
              <w:t>各类补贴发放实际抽查覆盖率=(实际抽查申请补贴乡镇数/申请补贴乡</w:t>
            </w:r>
            <w:r>
              <w:rPr>
                <w:rFonts w:ascii="华文仿宋" w:hAnsi="华文仿宋" w:eastAsia="华文仿宋" w:cs="华文仿宋"/>
                <w:spacing w:val="-6"/>
                <w:sz w:val="18"/>
                <w:szCs w:val="18"/>
              </w:rPr>
              <w:t>镇总数)×100%</w:t>
            </w:r>
          </w:p>
        </w:tc>
        <w:tc>
          <w:tcPr>
            <w:tcW w:w="918" w:type="dxa"/>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before="65" w:line="177" w:lineRule="auto"/>
              <w:ind w:left="269"/>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c>
          <w:tcPr>
            <w:tcW w:w="2171" w:type="dxa"/>
            <w:vAlign w:val="top"/>
          </w:tcPr>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line="278" w:lineRule="auto"/>
              <w:rPr>
                <w:rFonts w:ascii="Arial"/>
                <w:sz w:val="21"/>
              </w:rPr>
            </w:pPr>
          </w:p>
          <w:p>
            <w:pPr>
              <w:spacing w:before="66" w:line="293" w:lineRule="auto"/>
              <w:ind w:left="122" w:right="139" w:hanging="5"/>
              <w:rPr>
                <w:rFonts w:ascii="华文仿宋" w:hAnsi="华文仿宋" w:eastAsia="华文仿宋" w:cs="华文仿宋"/>
                <w:sz w:val="18"/>
                <w:szCs w:val="18"/>
              </w:rPr>
            </w:pPr>
            <w:r>
              <w:rPr>
                <w:rFonts w:ascii="华文仿宋" w:hAnsi="华文仿宋" w:eastAsia="华文仿宋" w:cs="华文仿宋"/>
                <w:spacing w:val="-2"/>
                <w:sz w:val="18"/>
                <w:szCs w:val="18"/>
              </w:rPr>
              <w:t>得分=各类补贴发放核实抽查覆盖率×分值。</w:t>
            </w:r>
          </w:p>
        </w:tc>
        <w:tc>
          <w:tcPr>
            <w:tcW w:w="4007" w:type="dxa"/>
            <w:vAlign w:val="top"/>
          </w:tcPr>
          <w:p>
            <w:pPr>
              <w:spacing w:before="93" w:line="286" w:lineRule="auto"/>
              <w:ind w:left="113" w:right="227" w:firstLine="8"/>
              <w:rPr>
                <w:rFonts w:ascii="华文仿宋" w:hAnsi="华文仿宋" w:eastAsia="华文仿宋" w:cs="华文仿宋"/>
                <w:sz w:val="18"/>
                <w:szCs w:val="18"/>
              </w:rPr>
            </w:pPr>
            <w:r>
              <w:rPr>
                <w:rFonts w:ascii="华文仿宋" w:hAnsi="华文仿宋" w:eastAsia="华文仿宋" w:cs="华文仿宋"/>
                <w:spacing w:val="-1"/>
                <w:sz w:val="18"/>
                <w:szCs w:val="18"/>
              </w:rPr>
              <w:t>经核实，区民政局2025年度申请各类补贴的乡</w:t>
            </w:r>
            <w:r>
              <w:rPr>
                <w:rFonts w:ascii="华文仿宋" w:hAnsi="华文仿宋" w:eastAsia="华文仿宋" w:cs="华文仿宋"/>
                <w:spacing w:val="-3"/>
                <w:sz w:val="18"/>
                <w:szCs w:val="18"/>
              </w:rPr>
              <w:t>镇街道工24个，其中包含5个街道办</w:t>
            </w:r>
            <w:r>
              <w:rPr>
                <w:rFonts w:ascii="华文仿宋" w:hAnsi="华文仿宋" w:eastAsia="华文仿宋" w:cs="华文仿宋"/>
                <w:spacing w:val="-4"/>
                <w:sz w:val="18"/>
                <w:szCs w:val="18"/>
              </w:rPr>
              <w:t>、7个</w:t>
            </w:r>
          </w:p>
          <w:p>
            <w:pPr>
              <w:spacing w:line="279" w:lineRule="auto"/>
              <w:ind w:left="117" w:right="114" w:hanging="4"/>
              <w:rPr>
                <w:rFonts w:ascii="华文仿宋" w:hAnsi="华文仿宋" w:eastAsia="华文仿宋" w:cs="华文仿宋"/>
                <w:sz w:val="18"/>
                <w:szCs w:val="18"/>
              </w:rPr>
            </w:pPr>
            <w:r>
              <w:rPr>
                <w:rFonts w:ascii="华文仿宋" w:hAnsi="华文仿宋" w:eastAsia="华文仿宋" w:cs="华文仿宋"/>
                <w:spacing w:val="-5"/>
                <w:sz w:val="18"/>
                <w:szCs w:val="18"/>
              </w:rPr>
              <w:t>镇、12个乡。区民政局作为主管部门，负</w:t>
            </w:r>
            <w:r>
              <w:rPr>
                <w:rFonts w:ascii="华文仿宋" w:hAnsi="华文仿宋" w:eastAsia="华文仿宋" w:cs="华文仿宋"/>
                <w:spacing w:val="-6"/>
                <w:sz w:val="18"/>
                <w:szCs w:val="18"/>
              </w:rPr>
              <w:t>责牵</w:t>
            </w:r>
            <w:r>
              <w:rPr>
                <w:rFonts w:ascii="华文仿宋" w:hAnsi="华文仿宋" w:eastAsia="华文仿宋" w:cs="华文仿宋"/>
                <w:spacing w:val="-3"/>
                <w:sz w:val="18"/>
                <w:szCs w:val="18"/>
              </w:rPr>
              <w:t>头组织，根据随机抽查的原则进行城乡低保补助</w:t>
            </w:r>
            <w:r>
              <w:rPr>
                <w:rFonts w:ascii="华文仿宋" w:hAnsi="华文仿宋" w:eastAsia="华文仿宋" w:cs="华文仿宋"/>
                <w:spacing w:val="-4"/>
                <w:sz w:val="18"/>
                <w:szCs w:val="18"/>
              </w:rPr>
              <w:t>发放、残疾人两项补助发放、老年人补助发放、失地搬迁补助发放等抽查工作。同时在财政部门一卡通系统里，抽查各类补贴发放情况。根据抽</w:t>
            </w:r>
            <w:r>
              <w:rPr>
                <w:rFonts w:ascii="华文仿宋" w:hAnsi="华文仿宋" w:eastAsia="华文仿宋" w:cs="华文仿宋"/>
                <w:spacing w:val="-2"/>
                <w:sz w:val="18"/>
                <w:szCs w:val="18"/>
              </w:rPr>
              <w:t>查记录显示共计抽查乡镇街道24个，抽查覆盖</w:t>
            </w:r>
            <w:r>
              <w:rPr>
                <w:rFonts w:ascii="华文仿宋" w:hAnsi="华文仿宋" w:eastAsia="华文仿宋" w:cs="华文仿宋"/>
                <w:spacing w:val="-4"/>
                <w:sz w:val="18"/>
                <w:szCs w:val="18"/>
              </w:rPr>
              <w:t>率100%。依据评价标准，该指标得6分。</w:t>
            </w:r>
          </w:p>
        </w:tc>
        <w:tc>
          <w:tcPr>
            <w:tcW w:w="684" w:type="dxa"/>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before="65" w:line="177" w:lineRule="auto"/>
              <w:ind w:left="308"/>
              <w:rPr>
                <w:rFonts w:ascii="华文仿宋" w:hAnsi="华文仿宋" w:eastAsia="华文仿宋" w:cs="华文仿宋"/>
                <w:sz w:val="18"/>
                <w:szCs w:val="18"/>
              </w:rPr>
            </w:pPr>
            <w:r>
              <w:rPr>
                <w:rFonts w:ascii="华文仿宋" w:hAnsi="华文仿宋" w:eastAsia="华文仿宋" w:cs="华文仿宋"/>
                <w:sz w:val="18"/>
                <w:szCs w:val="18"/>
              </w:rPr>
              <w:t>6</w:t>
            </w:r>
          </w:p>
        </w:tc>
        <w:tc>
          <w:tcPr>
            <w:tcW w:w="832" w:type="dxa"/>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before="65"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966" w:hRule="atLeast"/>
        </w:trPr>
        <w:tc>
          <w:tcPr>
            <w:tcW w:w="1091" w:type="dxa"/>
            <w:vMerge w:val="continue"/>
            <w:tcBorders>
              <w:top w:val="nil"/>
            </w:tcBorders>
            <w:vAlign w:val="top"/>
          </w:tcPr>
          <w:p>
            <w:pPr>
              <w:rPr>
                <w:rFonts w:ascii="Arial"/>
                <w:sz w:val="21"/>
              </w:rPr>
            </w:pPr>
          </w:p>
        </w:tc>
        <w:tc>
          <w:tcPr>
            <w:tcW w:w="999" w:type="dxa"/>
            <w:vAlign w:val="top"/>
          </w:tcPr>
          <w:p>
            <w:pPr>
              <w:spacing w:line="257" w:lineRule="auto"/>
              <w:rPr>
                <w:rFonts w:ascii="Arial"/>
                <w:sz w:val="21"/>
              </w:rPr>
            </w:pPr>
          </w:p>
          <w:p>
            <w:pPr>
              <w:spacing w:line="257" w:lineRule="auto"/>
              <w:rPr>
                <w:rFonts w:ascii="Arial"/>
                <w:sz w:val="21"/>
              </w:rPr>
            </w:pPr>
          </w:p>
          <w:p>
            <w:pPr>
              <w:spacing w:before="66" w:line="200" w:lineRule="auto"/>
              <w:ind w:left="147"/>
              <w:rPr>
                <w:rFonts w:ascii="华文仿宋" w:hAnsi="华文仿宋" w:eastAsia="华文仿宋" w:cs="华文仿宋"/>
                <w:sz w:val="18"/>
                <w:szCs w:val="18"/>
              </w:rPr>
            </w:pPr>
            <w:r>
              <w:rPr>
                <w:rFonts w:ascii="华文仿宋" w:hAnsi="华文仿宋" w:eastAsia="华文仿宋" w:cs="华文仿宋"/>
                <w:spacing w:val="-4"/>
                <w:sz w:val="18"/>
                <w:szCs w:val="18"/>
              </w:rPr>
              <w:t>部门产出</w:t>
            </w:r>
          </w:p>
          <w:p>
            <w:pPr>
              <w:spacing w:before="95" w:line="292" w:lineRule="auto"/>
              <w:ind w:left="300" w:right="308" w:firstLine="46"/>
              <w:rPr>
                <w:rFonts w:ascii="华文仿宋" w:hAnsi="华文仿宋" w:eastAsia="华文仿宋" w:cs="华文仿宋"/>
                <w:sz w:val="18"/>
                <w:szCs w:val="18"/>
              </w:rPr>
            </w:pPr>
            <w:r>
              <w:rPr>
                <w:rFonts w:ascii="华文仿宋" w:hAnsi="华文仿宋" w:eastAsia="华文仿宋" w:cs="华文仿宋"/>
                <w:spacing w:val="-17"/>
                <w:sz w:val="18"/>
                <w:szCs w:val="18"/>
              </w:rPr>
              <w:t>时效</w:t>
            </w:r>
            <w:r>
              <w:rPr>
                <w:rFonts w:ascii="华文仿宋" w:hAnsi="华文仿宋" w:eastAsia="华文仿宋" w:cs="华文仿宋"/>
                <w:spacing w:val="-20"/>
                <w:sz w:val="18"/>
                <w:szCs w:val="18"/>
              </w:rPr>
              <w:t>（7）</w:t>
            </w:r>
          </w:p>
        </w:tc>
        <w:tc>
          <w:tcPr>
            <w:tcW w:w="1167" w:type="dxa"/>
            <w:vAlign w:val="top"/>
          </w:tcPr>
          <w:p>
            <w:pPr>
              <w:spacing w:line="257" w:lineRule="auto"/>
              <w:rPr>
                <w:rFonts w:ascii="Arial"/>
                <w:sz w:val="21"/>
              </w:rPr>
            </w:pPr>
          </w:p>
          <w:p>
            <w:pPr>
              <w:spacing w:line="257" w:lineRule="auto"/>
              <w:rPr>
                <w:rFonts w:ascii="Arial"/>
                <w:sz w:val="21"/>
              </w:rPr>
            </w:pPr>
          </w:p>
          <w:p>
            <w:pPr>
              <w:spacing w:before="66" w:line="200" w:lineRule="auto"/>
              <w:ind w:left="139"/>
              <w:rPr>
                <w:rFonts w:ascii="华文仿宋" w:hAnsi="华文仿宋" w:eastAsia="华文仿宋" w:cs="华文仿宋"/>
                <w:sz w:val="18"/>
                <w:szCs w:val="18"/>
              </w:rPr>
            </w:pPr>
            <w:r>
              <w:rPr>
                <w:rFonts w:ascii="华文仿宋" w:hAnsi="华文仿宋" w:eastAsia="华文仿宋" w:cs="华文仿宋"/>
                <w:spacing w:val="-3"/>
                <w:sz w:val="18"/>
                <w:szCs w:val="18"/>
              </w:rPr>
              <w:t>各项工作任</w:t>
            </w:r>
          </w:p>
          <w:p>
            <w:pPr>
              <w:spacing w:before="93" w:line="200" w:lineRule="auto"/>
              <w:ind w:left="139"/>
              <w:rPr>
                <w:rFonts w:ascii="华文仿宋" w:hAnsi="华文仿宋" w:eastAsia="华文仿宋" w:cs="华文仿宋"/>
                <w:sz w:val="18"/>
                <w:szCs w:val="18"/>
              </w:rPr>
            </w:pPr>
            <w:r>
              <w:rPr>
                <w:rFonts w:ascii="华文仿宋" w:hAnsi="华文仿宋" w:eastAsia="华文仿宋" w:cs="华文仿宋"/>
                <w:spacing w:val="-3"/>
                <w:sz w:val="18"/>
                <w:szCs w:val="18"/>
              </w:rPr>
              <w:t>务完成及时</w:t>
            </w:r>
          </w:p>
          <w:p>
            <w:pPr>
              <w:spacing w:before="93" w:line="200" w:lineRule="auto"/>
              <w:ind w:left="503"/>
              <w:rPr>
                <w:rFonts w:ascii="华文仿宋" w:hAnsi="华文仿宋" w:eastAsia="华文仿宋" w:cs="华文仿宋"/>
                <w:sz w:val="18"/>
                <w:szCs w:val="18"/>
              </w:rPr>
            </w:pPr>
            <w:r>
              <w:rPr>
                <w:rFonts w:ascii="华文仿宋" w:hAnsi="华文仿宋" w:eastAsia="华文仿宋" w:cs="华文仿宋"/>
                <w:sz w:val="18"/>
                <w:szCs w:val="18"/>
              </w:rPr>
              <w:t>率</w:t>
            </w:r>
          </w:p>
        </w:tc>
        <w:tc>
          <w:tcPr>
            <w:tcW w:w="665" w:type="dxa"/>
            <w:vAlign w:val="top"/>
          </w:tcPr>
          <w:p>
            <w:pPr>
              <w:spacing w:line="284" w:lineRule="auto"/>
              <w:rPr>
                <w:rFonts w:ascii="Arial"/>
                <w:sz w:val="21"/>
              </w:rPr>
            </w:pPr>
          </w:p>
          <w:p>
            <w:pPr>
              <w:spacing w:line="284" w:lineRule="auto"/>
              <w:rPr>
                <w:rFonts w:ascii="Arial"/>
                <w:sz w:val="21"/>
              </w:rPr>
            </w:pPr>
          </w:p>
          <w:p>
            <w:pPr>
              <w:spacing w:line="284" w:lineRule="auto"/>
              <w:rPr>
                <w:rFonts w:ascii="Arial"/>
                <w:sz w:val="21"/>
              </w:rPr>
            </w:pPr>
          </w:p>
          <w:p>
            <w:pPr>
              <w:spacing w:before="65" w:line="175" w:lineRule="auto"/>
              <w:ind w:left="294"/>
              <w:rPr>
                <w:rFonts w:ascii="华文仿宋" w:hAnsi="华文仿宋" w:eastAsia="华文仿宋" w:cs="华文仿宋"/>
                <w:sz w:val="18"/>
                <w:szCs w:val="18"/>
              </w:rPr>
            </w:pPr>
            <w:r>
              <w:rPr>
                <w:rFonts w:ascii="华文仿宋" w:hAnsi="华文仿宋" w:eastAsia="华文仿宋" w:cs="华文仿宋"/>
                <w:sz w:val="18"/>
                <w:szCs w:val="18"/>
              </w:rPr>
              <w:t>7</w:t>
            </w:r>
          </w:p>
        </w:tc>
        <w:tc>
          <w:tcPr>
            <w:tcW w:w="3011" w:type="dxa"/>
            <w:vAlign w:val="top"/>
          </w:tcPr>
          <w:p>
            <w:pPr>
              <w:spacing w:before="270" w:line="270" w:lineRule="auto"/>
              <w:ind w:left="121" w:right="202" w:hanging="7"/>
              <w:rPr>
                <w:rFonts w:ascii="华文仿宋" w:hAnsi="华文仿宋" w:eastAsia="华文仿宋" w:cs="华文仿宋"/>
                <w:sz w:val="18"/>
                <w:szCs w:val="18"/>
              </w:rPr>
            </w:pPr>
            <w:r>
              <w:rPr>
                <w:rFonts w:ascii="华文仿宋" w:hAnsi="华文仿宋" w:eastAsia="华文仿宋" w:cs="华文仿宋"/>
                <w:spacing w:val="-1"/>
                <w:sz w:val="18"/>
                <w:szCs w:val="18"/>
              </w:rPr>
              <w:t>反映当年区民政局各项工作任务完</w:t>
            </w:r>
            <w:r>
              <w:rPr>
                <w:rFonts w:ascii="华文仿宋" w:hAnsi="华文仿宋" w:eastAsia="华文仿宋" w:cs="华文仿宋"/>
                <w:spacing w:val="-4"/>
                <w:sz w:val="18"/>
                <w:szCs w:val="18"/>
              </w:rPr>
              <w:t>成及时情况。</w:t>
            </w:r>
          </w:p>
          <w:p>
            <w:pPr>
              <w:spacing w:before="2" w:line="284" w:lineRule="auto"/>
              <w:ind w:left="118" w:right="209"/>
              <w:rPr>
                <w:rFonts w:ascii="华文仿宋" w:hAnsi="华文仿宋" w:eastAsia="华文仿宋" w:cs="华文仿宋"/>
                <w:sz w:val="18"/>
                <w:szCs w:val="18"/>
              </w:rPr>
            </w:pPr>
            <w:r>
              <w:rPr>
                <w:rFonts w:ascii="华文仿宋" w:hAnsi="华文仿宋" w:eastAsia="华文仿宋" w:cs="华文仿宋"/>
                <w:spacing w:val="-1"/>
                <w:sz w:val="18"/>
                <w:szCs w:val="18"/>
              </w:rPr>
              <w:t>工作任务完成及时率=(及时完成的工作任务数/全年主要工作任务总</w:t>
            </w:r>
            <w:r>
              <w:rPr>
                <w:rFonts w:ascii="华文仿宋" w:hAnsi="华文仿宋" w:eastAsia="华文仿宋" w:cs="华文仿宋"/>
                <w:spacing w:val="-8"/>
                <w:sz w:val="18"/>
                <w:szCs w:val="18"/>
              </w:rPr>
              <w:t>数)×100%</w:t>
            </w:r>
          </w:p>
        </w:tc>
        <w:tc>
          <w:tcPr>
            <w:tcW w:w="918" w:type="dxa"/>
            <w:vAlign w:val="top"/>
          </w:tcPr>
          <w:p>
            <w:pPr>
              <w:spacing w:line="283" w:lineRule="auto"/>
              <w:rPr>
                <w:rFonts w:ascii="Arial"/>
                <w:sz w:val="21"/>
              </w:rPr>
            </w:pPr>
          </w:p>
          <w:p>
            <w:pPr>
              <w:spacing w:line="283" w:lineRule="auto"/>
              <w:rPr>
                <w:rFonts w:ascii="Arial"/>
                <w:sz w:val="21"/>
              </w:rPr>
            </w:pPr>
          </w:p>
          <w:p>
            <w:pPr>
              <w:spacing w:line="283" w:lineRule="auto"/>
              <w:rPr>
                <w:rFonts w:ascii="Arial"/>
                <w:sz w:val="21"/>
              </w:rPr>
            </w:pPr>
          </w:p>
          <w:p>
            <w:pPr>
              <w:spacing w:before="66" w:line="177" w:lineRule="auto"/>
              <w:ind w:left="269"/>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c>
          <w:tcPr>
            <w:tcW w:w="2171" w:type="dxa"/>
            <w:vAlign w:val="top"/>
          </w:tcPr>
          <w:p>
            <w:pPr>
              <w:spacing w:line="334" w:lineRule="auto"/>
              <w:rPr>
                <w:rFonts w:ascii="Arial"/>
                <w:sz w:val="21"/>
              </w:rPr>
            </w:pPr>
          </w:p>
          <w:p>
            <w:pPr>
              <w:spacing w:line="335" w:lineRule="auto"/>
              <w:rPr>
                <w:rFonts w:ascii="Arial"/>
                <w:sz w:val="21"/>
              </w:rPr>
            </w:pPr>
          </w:p>
          <w:p>
            <w:pPr>
              <w:spacing w:before="66" w:line="293" w:lineRule="auto"/>
              <w:ind w:left="120" w:right="139" w:hanging="3"/>
              <w:rPr>
                <w:rFonts w:ascii="华文仿宋" w:hAnsi="华文仿宋" w:eastAsia="华文仿宋" w:cs="华文仿宋"/>
                <w:sz w:val="18"/>
                <w:szCs w:val="18"/>
              </w:rPr>
            </w:pPr>
            <w:r>
              <w:rPr>
                <w:rFonts w:ascii="华文仿宋" w:hAnsi="华文仿宋" w:eastAsia="华文仿宋" w:cs="华文仿宋"/>
                <w:spacing w:val="-2"/>
                <w:sz w:val="18"/>
                <w:szCs w:val="18"/>
              </w:rPr>
              <w:t>得分=工作任务完成及时</w:t>
            </w:r>
            <w:r>
              <w:rPr>
                <w:rFonts w:ascii="华文仿宋" w:hAnsi="华文仿宋" w:eastAsia="华文仿宋" w:cs="华文仿宋"/>
                <w:spacing w:val="-11"/>
                <w:sz w:val="18"/>
                <w:szCs w:val="18"/>
              </w:rPr>
              <w:t>率×分值。</w:t>
            </w:r>
          </w:p>
        </w:tc>
        <w:tc>
          <w:tcPr>
            <w:tcW w:w="4007" w:type="dxa"/>
            <w:vAlign w:val="top"/>
          </w:tcPr>
          <w:p>
            <w:pPr>
              <w:spacing w:before="270" w:line="288" w:lineRule="auto"/>
              <w:ind w:left="116" w:right="114"/>
              <w:jc w:val="both"/>
              <w:rPr>
                <w:rFonts w:ascii="华文仿宋" w:hAnsi="华文仿宋" w:eastAsia="华文仿宋" w:cs="华文仿宋"/>
                <w:sz w:val="18"/>
                <w:szCs w:val="18"/>
              </w:rPr>
            </w:pPr>
            <w:r>
              <w:rPr>
                <w:rFonts w:ascii="华文仿宋" w:hAnsi="华文仿宋" w:eastAsia="华文仿宋" w:cs="华文仿宋"/>
                <w:spacing w:val="-3"/>
                <w:sz w:val="18"/>
                <w:szCs w:val="18"/>
              </w:rPr>
              <w:t>根据区民政局提供的工作计划、工作总结、工作</w:t>
            </w:r>
            <w:r>
              <w:rPr>
                <w:rFonts w:ascii="华文仿宋" w:hAnsi="华文仿宋" w:eastAsia="华文仿宋" w:cs="华文仿宋"/>
                <w:spacing w:val="-4"/>
                <w:sz w:val="18"/>
                <w:szCs w:val="18"/>
              </w:rPr>
              <w:t>记录等相关文件，经核查，区民政局各项工作任</w:t>
            </w:r>
            <w:r>
              <w:rPr>
                <w:rFonts w:ascii="华文仿宋" w:hAnsi="华文仿宋" w:eastAsia="华文仿宋" w:cs="华文仿宋"/>
                <w:spacing w:val="-2"/>
                <w:sz w:val="18"/>
                <w:szCs w:val="18"/>
              </w:rPr>
              <w:t>务在年度内积极开展并与年底前全部完成，</w:t>
            </w:r>
            <w:r>
              <w:rPr>
                <w:rFonts w:ascii="华文仿宋" w:hAnsi="华文仿宋" w:eastAsia="华文仿宋" w:cs="华文仿宋"/>
                <w:spacing w:val="-3"/>
                <w:sz w:val="18"/>
                <w:szCs w:val="18"/>
              </w:rPr>
              <w:t>工作</w:t>
            </w:r>
            <w:r>
              <w:rPr>
                <w:rFonts w:ascii="华文仿宋" w:hAnsi="华文仿宋" w:eastAsia="华文仿宋" w:cs="华文仿宋"/>
                <w:spacing w:val="-4"/>
                <w:sz w:val="18"/>
                <w:szCs w:val="18"/>
              </w:rPr>
              <w:t>任务完成及时率100%，依据评价标准，</w:t>
            </w:r>
            <w:r>
              <w:rPr>
                <w:rFonts w:ascii="华文仿宋" w:hAnsi="华文仿宋" w:eastAsia="华文仿宋" w:cs="华文仿宋"/>
                <w:spacing w:val="-5"/>
                <w:sz w:val="18"/>
                <w:szCs w:val="18"/>
              </w:rPr>
              <w:t>该指标</w:t>
            </w:r>
            <w:r>
              <w:rPr>
                <w:rFonts w:ascii="华文仿宋" w:hAnsi="华文仿宋" w:eastAsia="华文仿宋" w:cs="华文仿宋"/>
                <w:spacing w:val="-7"/>
                <w:sz w:val="18"/>
                <w:szCs w:val="18"/>
              </w:rPr>
              <w:t>得7分。</w:t>
            </w:r>
          </w:p>
        </w:tc>
        <w:tc>
          <w:tcPr>
            <w:tcW w:w="684" w:type="dxa"/>
            <w:vAlign w:val="top"/>
          </w:tcPr>
          <w:p>
            <w:pPr>
              <w:spacing w:line="284" w:lineRule="auto"/>
              <w:rPr>
                <w:rFonts w:ascii="Arial"/>
                <w:sz w:val="21"/>
              </w:rPr>
            </w:pPr>
          </w:p>
          <w:p>
            <w:pPr>
              <w:spacing w:line="284" w:lineRule="auto"/>
              <w:rPr>
                <w:rFonts w:ascii="Arial"/>
                <w:sz w:val="21"/>
              </w:rPr>
            </w:pPr>
          </w:p>
          <w:p>
            <w:pPr>
              <w:spacing w:line="284" w:lineRule="auto"/>
              <w:rPr>
                <w:rFonts w:ascii="Arial"/>
                <w:sz w:val="21"/>
              </w:rPr>
            </w:pPr>
          </w:p>
          <w:p>
            <w:pPr>
              <w:spacing w:before="65" w:line="175" w:lineRule="auto"/>
              <w:ind w:left="308"/>
              <w:rPr>
                <w:rFonts w:ascii="华文仿宋" w:hAnsi="华文仿宋" w:eastAsia="华文仿宋" w:cs="华文仿宋"/>
                <w:sz w:val="18"/>
                <w:szCs w:val="18"/>
              </w:rPr>
            </w:pPr>
            <w:r>
              <w:rPr>
                <w:rFonts w:ascii="华文仿宋" w:hAnsi="华文仿宋" w:eastAsia="华文仿宋" w:cs="华文仿宋"/>
                <w:sz w:val="18"/>
                <w:szCs w:val="18"/>
              </w:rPr>
              <w:t>7</w:t>
            </w:r>
          </w:p>
        </w:tc>
        <w:tc>
          <w:tcPr>
            <w:tcW w:w="832" w:type="dxa"/>
            <w:vAlign w:val="top"/>
          </w:tcPr>
          <w:p>
            <w:pPr>
              <w:spacing w:line="283" w:lineRule="auto"/>
              <w:rPr>
                <w:rFonts w:ascii="Arial"/>
                <w:sz w:val="21"/>
              </w:rPr>
            </w:pPr>
          </w:p>
          <w:p>
            <w:pPr>
              <w:spacing w:line="283" w:lineRule="auto"/>
              <w:rPr>
                <w:rFonts w:ascii="Arial"/>
                <w:sz w:val="21"/>
              </w:rPr>
            </w:pPr>
          </w:p>
          <w:p>
            <w:pPr>
              <w:spacing w:line="283" w:lineRule="auto"/>
              <w:rPr>
                <w:rFonts w:ascii="Arial"/>
                <w:sz w:val="21"/>
              </w:rPr>
            </w:pPr>
          </w:p>
          <w:p>
            <w:pPr>
              <w:spacing w:before="66"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bl>
    <w:p>
      <w:pPr>
        <w:pStyle w:val="2"/>
      </w:pPr>
    </w:p>
    <w:p>
      <w:pPr>
        <w:sectPr>
          <w:footerReference r:id="rId22" w:type="default"/>
          <w:pgSz w:w="16839" w:h="11906"/>
          <w:pgMar w:top="1012" w:right="595" w:bottom="1575" w:left="692" w:header="0" w:footer="1287" w:gutter="0"/>
          <w:pgNumType w:fmt="decimal"/>
          <w:cols w:space="720" w:num="1"/>
        </w:sectPr>
      </w:pPr>
    </w:p>
    <w:p>
      <w:pPr>
        <w:pStyle w:val="2"/>
        <w:spacing w:line="286" w:lineRule="auto"/>
      </w:pPr>
    </w:p>
    <w:p>
      <w:pPr>
        <w:spacing w:before="102" w:line="201" w:lineRule="auto"/>
        <w:ind w:left="140" w:firstLine="231" w:firstLineChars="100"/>
        <w:rPr>
          <w:rFonts w:hint="eastAsia" w:ascii="仿宋" w:hAnsi="仿宋" w:eastAsia="仿宋" w:cs="仿宋"/>
          <w:sz w:val="24"/>
          <w:szCs w:val="24"/>
        </w:rPr>
      </w:pPr>
      <w:r>
        <w:rPr>
          <w:rFonts w:hint="eastAsia" w:ascii="仿宋" w:hAnsi="仿宋" w:eastAsia="仿宋" w:cs="仿宋"/>
          <w:b/>
          <w:bCs/>
          <w:spacing w:val="-5"/>
          <w:sz w:val="24"/>
          <w:szCs w:val="24"/>
        </w:rPr>
        <w:t>附件一：部门整体绩效评价指标体系评分表</w:t>
      </w:r>
    </w:p>
    <w:p>
      <w:pPr>
        <w:spacing w:line="109" w:lineRule="exact"/>
      </w:pPr>
    </w:p>
    <w:tbl>
      <w:tblPr>
        <w:tblStyle w:val="7"/>
        <w:tblW w:w="155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999"/>
        <w:gridCol w:w="1167"/>
        <w:gridCol w:w="665"/>
        <w:gridCol w:w="3011"/>
        <w:gridCol w:w="918"/>
        <w:gridCol w:w="2171"/>
        <w:gridCol w:w="4007"/>
        <w:gridCol w:w="684"/>
        <w:gridCol w:w="8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6" w:hRule="atLeast"/>
        </w:trPr>
        <w:tc>
          <w:tcPr>
            <w:tcW w:w="1091" w:type="dxa"/>
            <w:vAlign w:val="top"/>
          </w:tcPr>
          <w:p>
            <w:pPr>
              <w:spacing w:before="112" w:line="199" w:lineRule="auto"/>
              <w:ind w:left="201"/>
              <w:rPr>
                <w:rFonts w:ascii="华文仿宋" w:hAnsi="华文仿宋" w:eastAsia="华文仿宋" w:cs="华文仿宋"/>
                <w:sz w:val="18"/>
                <w:szCs w:val="18"/>
              </w:rPr>
            </w:pPr>
            <w:r>
              <w:rPr>
                <w:rFonts w:ascii="华文仿宋" w:hAnsi="华文仿宋" w:eastAsia="华文仿宋" w:cs="华文仿宋"/>
                <w:b/>
                <w:bCs/>
                <w:spacing w:val="-7"/>
                <w:sz w:val="18"/>
                <w:szCs w:val="18"/>
              </w:rPr>
              <w:t>一级指标</w:t>
            </w:r>
          </w:p>
        </w:tc>
        <w:tc>
          <w:tcPr>
            <w:tcW w:w="999" w:type="dxa"/>
            <w:vAlign w:val="top"/>
          </w:tcPr>
          <w:p>
            <w:pPr>
              <w:spacing w:before="112" w:line="199" w:lineRule="auto"/>
              <w:ind w:left="152"/>
              <w:rPr>
                <w:rFonts w:ascii="华文仿宋" w:hAnsi="华文仿宋" w:eastAsia="华文仿宋" w:cs="华文仿宋"/>
                <w:sz w:val="18"/>
                <w:szCs w:val="18"/>
              </w:rPr>
            </w:pPr>
            <w:r>
              <w:rPr>
                <w:rFonts w:ascii="华文仿宋" w:hAnsi="华文仿宋" w:eastAsia="华文仿宋" w:cs="华文仿宋"/>
                <w:b/>
                <w:bCs/>
                <w:spacing w:val="-7"/>
                <w:sz w:val="18"/>
                <w:szCs w:val="18"/>
              </w:rPr>
              <w:t>二级指标</w:t>
            </w:r>
          </w:p>
        </w:tc>
        <w:tc>
          <w:tcPr>
            <w:tcW w:w="1167" w:type="dxa"/>
            <w:vAlign w:val="top"/>
          </w:tcPr>
          <w:p>
            <w:pPr>
              <w:spacing w:before="112" w:line="199" w:lineRule="auto"/>
              <w:ind w:left="241"/>
              <w:rPr>
                <w:rFonts w:ascii="华文仿宋" w:hAnsi="华文仿宋" w:eastAsia="华文仿宋" w:cs="华文仿宋"/>
                <w:sz w:val="18"/>
                <w:szCs w:val="18"/>
              </w:rPr>
            </w:pPr>
            <w:r>
              <w:rPr>
                <w:rFonts w:ascii="华文仿宋" w:hAnsi="华文仿宋" w:eastAsia="华文仿宋" w:cs="华文仿宋"/>
                <w:b/>
                <w:bCs/>
                <w:spacing w:val="-8"/>
                <w:sz w:val="18"/>
                <w:szCs w:val="18"/>
              </w:rPr>
              <w:t>三级指标</w:t>
            </w:r>
          </w:p>
        </w:tc>
        <w:tc>
          <w:tcPr>
            <w:tcW w:w="665" w:type="dxa"/>
            <w:vAlign w:val="top"/>
          </w:tcPr>
          <w:p>
            <w:pPr>
              <w:spacing w:before="113" w:line="198" w:lineRule="auto"/>
              <w:ind w:left="159"/>
              <w:rPr>
                <w:rFonts w:ascii="华文仿宋" w:hAnsi="华文仿宋" w:eastAsia="华文仿宋" w:cs="华文仿宋"/>
                <w:sz w:val="18"/>
                <w:szCs w:val="18"/>
              </w:rPr>
            </w:pPr>
            <w:r>
              <w:rPr>
                <w:rFonts w:ascii="华文仿宋" w:hAnsi="华文仿宋" w:eastAsia="华文仿宋" w:cs="华文仿宋"/>
                <w:b/>
                <w:bCs/>
                <w:spacing w:val="-7"/>
                <w:sz w:val="18"/>
                <w:szCs w:val="18"/>
              </w:rPr>
              <w:t>权重</w:t>
            </w:r>
          </w:p>
        </w:tc>
        <w:tc>
          <w:tcPr>
            <w:tcW w:w="3011" w:type="dxa"/>
            <w:vAlign w:val="top"/>
          </w:tcPr>
          <w:p>
            <w:pPr>
              <w:spacing w:before="112" w:line="199" w:lineRule="auto"/>
              <w:ind w:left="705"/>
              <w:rPr>
                <w:rFonts w:ascii="华文仿宋" w:hAnsi="华文仿宋" w:eastAsia="华文仿宋" w:cs="华文仿宋"/>
                <w:sz w:val="18"/>
                <w:szCs w:val="18"/>
              </w:rPr>
            </w:pPr>
            <w:r>
              <w:rPr>
                <w:rFonts w:ascii="华文仿宋" w:hAnsi="华文仿宋" w:eastAsia="华文仿宋" w:cs="华文仿宋"/>
                <w:b/>
                <w:bCs/>
                <w:spacing w:val="-4"/>
                <w:sz w:val="18"/>
                <w:szCs w:val="18"/>
              </w:rPr>
              <w:t>指标解释及评价要点</w:t>
            </w:r>
          </w:p>
        </w:tc>
        <w:tc>
          <w:tcPr>
            <w:tcW w:w="918" w:type="dxa"/>
            <w:vAlign w:val="top"/>
          </w:tcPr>
          <w:p>
            <w:pPr>
              <w:spacing w:before="112" w:line="199" w:lineRule="auto"/>
              <w:ind w:left="197"/>
              <w:rPr>
                <w:rFonts w:ascii="华文仿宋" w:hAnsi="华文仿宋" w:eastAsia="华文仿宋" w:cs="华文仿宋"/>
                <w:sz w:val="18"/>
                <w:szCs w:val="18"/>
              </w:rPr>
            </w:pPr>
            <w:r>
              <w:rPr>
                <w:rFonts w:ascii="华文仿宋" w:hAnsi="华文仿宋" w:eastAsia="华文仿宋" w:cs="华文仿宋"/>
                <w:b/>
                <w:bCs/>
                <w:spacing w:val="-6"/>
                <w:sz w:val="18"/>
                <w:szCs w:val="18"/>
              </w:rPr>
              <w:t>标杆值</w:t>
            </w:r>
          </w:p>
        </w:tc>
        <w:tc>
          <w:tcPr>
            <w:tcW w:w="2171" w:type="dxa"/>
            <w:vAlign w:val="top"/>
          </w:tcPr>
          <w:p>
            <w:pPr>
              <w:spacing w:before="112" w:line="199" w:lineRule="auto"/>
              <w:ind w:left="730"/>
              <w:rPr>
                <w:rFonts w:ascii="华文仿宋" w:hAnsi="华文仿宋" w:eastAsia="华文仿宋" w:cs="华文仿宋"/>
                <w:sz w:val="18"/>
                <w:szCs w:val="18"/>
              </w:rPr>
            </w:pPr>
            <w:r>
              <w:rPr>
                <w:rFonts w:ascii="华文仿宋" w:hAnsi="华文仿宋" w:eastAsia="华文仿宋" w:cs="华文仿宋"/>
                <w:b/>
                <w:bCs/>
                <w:spacing w:val="-4"/>
                <w:sz w:val="18"/>
                <w:szCs w:val="18"/>
              </w:rPr>
              <w:t>评价标准</w:t>
            </w:r>
          </w:p>
        </w:tc>
        <w:tc>
          <w:tcPr>
            <w:tcW w:w="4007" w:type="dxa"/>
            <w:vAlign w:val="top"/>
          </w:tcPr>
          <w:p>
            <w:pPr>
              <w:spacing w:before="113" w:line="198" w:lineRule="auto"/>
              <w:ind w:left="1648"/>
              <w:rPr>
                <w:rFonts w:ascii="华文仿宋" w:hAnsi="华文仿宋" w:eastAsia="华文仿宋" w:cs="华文仿宋"/>
                <w:sz w:val="18"/>
                <w:szCs w:val="18"/>
              </w:rPr>
            </w:pPr>
            <w:r>
              <w:rPr>
                <w:rFonts w:ascii="华文仿宋" w:hAnsi="华文仿宋" w:eastAsia="华文仿宋" w:cs="华文仿宋"/>
                <w:b/>
                <w:bCs/>
                <w:spacing w:val="-4"/>
                <w:sz w:val="18"/>
                <w:szCs w:val="18"/>
              </w:rPr>
              <w:t>评分过程</w:t>
            </w:r>
          </w:p>
        </w:tc>
        <w:tc>
          <w:tcPr>
            <w:tcW w:w="684" w:type="dxa"/>
            <w:vAlign w:val="top"/>
          </w:tcPr>
          <w:p>
            <w:pPr>
              <w:spacing w:before="114" w:line="197" w:lineRule="auto"/>
              <w:ind w:left="172"/>
              <w:rPr>
                <w:rFonts w:ascii="华文仿宋" w:hAnsi="华文仿宋" w:eastAsia="华文仿宋" w:cs="华文仿宋"/>
                <w:sz w:val="18"/>
                <w:szCs w:val="18"/>
              </w:rPr>
            </w:pPr>
            <w:r>
              <w:rPr>
                <w:rFonts w:ascii="华文仿宋" w:hAnsi="华文仿宋" w:eastAsia="华文仿宋" w:cs="华文仿宋"/>
                <w:b/>
                <w:bCs/>
                <w:spacing w:val="-8"/>
                <w:sz w:val="18"/>
                <w:szCs w:val="18"/>
              </w:rPr>
              <w:t>得分</w:t>
            </w:r>
          </w:p>
        </w:tc>
        <w:tc>
          <w:tcPr>
            <w:tcW w:w="832" w:type="dxa"/>
            <w:vAlign w:val="top"/>
          </w:tcPr>
          <w:p>
            <w:pPr>
              <w:spacing w:before="111" w:line="200" w:lineRule="auto"/>
              <w:ind w:left="152"/>
              <w:rPr>
                <w:rFonts w:ascii="华文仿宋" w:hAnsi="华文仿宋" w:eastAsia="华文仿宋" w:cs="华文仿宋"/>
                <w:sz w:val="18"/>
                <w:szCs w:val="18"/>
              </w:rPr>
            </w:pPr>
            <w:r>
              <w:rPr>
                <w:rFonts w:ascii="华文仿宋" w:hAnsi="华文仿宋" w:eastAsia="华文仿宋" w:cs="华文仿宋"/>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371" w:hRule="atLeast"/>
        </w:trPr>
        <w:tc>
          <w:tcPr>
            <w:tcW w:w="1091"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before="65" w:line="290" w:lineRule="auto"/>
              <w:ind w:left="306" w:right="182" w:hanging="109"/>
              <w:rPr>
                <w:rFonts w:ascii="华文仿宋" w:hAnsi="华文仿宋" w:eastAsia="华文仿宋" w:cs="华文仿宋"/>
                <w:sz w:val="18"/>
                <w:szCs w:val="18"/>
              </w:rPr>
            </w:pPr>
            <w:r>
              <w:rPr>
                <w:rFonts w:ascii="华文仿宋" w:hAnsi="华文仿宋" w:eastAsia="华文仿宋" w:cs="华文仿宋"/>
                <w:spacing w:val="-4"/>
                <w:sz w:val="18"/>
                <w:szCs w:val="18"/>
              </w:rPr>
              <w:t>部门绩效</w:t>
            </w:r>
            <w:r>
              <w:rPr>
                <w:rFonts w:ascii="华文仿宋" w:hAnsi="华文仿宋" w:eastAsia="华文仿宋" w:cs="华文仿宋"/>
                <w:spacing w:val="-7"/>
                <w:sz w:val="18"/>
                <w:szCs w:val="18"/>
              </w:rPr>
              <w:t>（50）</w:t>
            </w:r>
          </w:p>
        </w:tc>
        <w:tc>
          <w:tcPr>
            <w:tcW w:w="999"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66" w:line="300" w:lineRule="auto"/>
              <w:ind w:left="146" w:right="139" w:firstLine="1"/>
              <w:jc w:val="both"/>
              <w:rPr>
                <w:rFonts w:ascii="华文仿宋" w:hAnsi="华文仿宋" w:eastAsia="华文仿宋" w:cs="华文仿宋"/>
                <w:sz w:val="18"/>
                <w:szCs w:val="18"/>
              </w:rPr>
            </w:pPr>
            <w:r>
              <w:rPr>
                <w:rFonts w:ascii="华文仿宋" w:hAnsi="华文仿宋" w:eastAsia="华文仿宋" w:cs="华文仿宋"/>
                <w:spacing w:val="-4"/>
                <w:sz w:val="18"/>
                <w:szCs w:val="18"/>
              </w:rPr>
              <w:t>部门履职</w:t>
            </w:r>
            <w:r>
              <w:rPr>
                <w:rFonts w:ascii="华文仿宋" w:hAnsi="华文仿宋" w:eastAsia="华文仿宋" w:cs="华文仿宋"/>
                <w:spacing w:val="-3"/>
                <w:sz w:val="18"/>
                <w:szCs w:val="18"/>
              </w:rPr>
              <w:t>社会效益</w:t>
            </w:r>
            <w:r>
              <w:rPr>
                <w:rFonts w:ascii="华文仿宋" w:hAnsi="华文仿宋" w:eastAsia="华文仿宋" w:cs="华文仿宋"/>
                <w:spacing w:val="30"/>
                <w:w w:val="108"/>
                <w:sz w:val="18"/>
                <w:szCs w:val="18"/>
              </w:rPr>
              <w:t>（7）</w:t>
            </w:r>
          </w:p>
        </w:tc>
        <w:tc>
          <w:tcPr>
            <w:tcW w:w="1167" w:type="dxa"/>
            <w:vAlign w:val="top"/>
          </w:tcPr>
          <w:p>
            <w:pPr>
              <w:spacing w:line="266" w:lineRule="auto"/>
              <w:rPr>
                <w:rFonts w:ascii="Arial"/>
                <w:sz w:val="21"/>
              </w:rPr>
            </w:pPr>
          </w:p>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before="65" w:line="293" w:lineRule="auto"/>
              <w:ind w:left="142" w:right="133" w:hanging="3"/>
              <w:rPr>
                <w:rFonts w:ascii="华文仿宋" w:hAnsi="华文仿宋" w:eastAsia="华文仿宋" w:cs="华文仿宋"/>
                <w:sz w:val="18"/>
                <w:szCs w:val="18"/>
              </w:rPr>
            </w:pPr>
            <w:r>
              <w:rPr>
                <w:rFonts w:ascii="华文仿宋" w:hAnsi="华文仿宋" w:eastAsia="华文仿宋" w:cs="华文仿宋"/>
                <w:spacing w:val="-3"/>
                <w:sz w:val="18"/>
                <w:szCs w:val="18"/>
              </w:rPr>
              <w:t>提升殡葬领域改革工作</w:t>
            </w:r>
          </w:p>
        </w:tc>
        <w:tc>
          <w:tcPr>
            <w:tcW w:w="665" w:type="dxa"/>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65" w:line="177" w:lineRule="auto"/>
              <w:ind w:left="291"/>
              <w:rPr>
                <w:rFonts w:ascii="华文仿宋" w:hAnsi="华文仿宋" w:eastAsia="华文仿宋" w:cs="华文仿宋"/>
                <w:sz w:val="18"/>
                <w:szCs w:val="18"/>
              </w:rPr>
            </w:pPr>
            <w:r>
              <w:rPr>
                <w:rFonts w:ascii="华文仿宋" w:hAnsi="华文仿宋" w:eastAsia="华文仿宋" w:cs="华文仿宋"/>
                <w:sz w:val="18"/>
                <w:szCs w:val="18"/>
              </w:rPr>
              <w:t>4</w:t>
            </w:r>
          </w:p>
        </w:tc>
        <w:tc>
          <w:tcPr>
            <w:tcW w:w="3011" w:type="dxa"/>
            <w:vAlign w:val="top"/>
          </w:tcPr>
          <w:p>
            <w:pPr>
              <w:spacing w:line="311" w:lineRule="auto"/>
              <w:rPr>
                <w:rFonts w:ascii="Arial"/>
                <w:sz w:val="21"/>
              </w:rPr>
            </w:pPr>
          </w:p>
          <w:p>
            <w:pPr>
              <w:spacing w:line="311" w:lineRule="auto"/>
              <w:rPr>
                <w:rFonts w:ascii="Arial"/>
                <w:sz w:val="21"/>
              </w:rPr>
            </w:pPr>
          </w:p>
          <w:p>
            <w:pPr>
              <w:spacing w:line="312" w:lineRule="auto"/>
              <w:rPr>
                <w:rFonts w:ascii="Arial"/>
                <w:sz w:val="21"/>
              </w:rPr>
            </w:pPr>
          </w:p>
          <w:p>
            <w:pPr>
              <w:spacing w:before="65" w:line="286" w:lineRule="auto"/>
              <w:ind w:left="118" w:right="202" w:hanging="4"/>
              <w:rPr>
                <w:rFonts w:ascii="华文仿宋" w:hAnsi="华文仿宋" w:eastAsia="华文仿宋" w:cs="华文仿宋"/>
                <w:sz w:val="18"/>
                <w:szCs w:val="18"/>
              </w:rPr>
            </w:pPr>
            <w:r>
              <w:rPr>
                <w:rFonts w:ascii="华文仿宋" w:hAnsi="华文仿宋" w:eastAsia="华文仿宋" w:cs="华文仿宋"/>
                <w:spacing w:val="-1"/>
                <w:sz w:val="18"/>
                <w:szCs w:val="18"/>
              </w:rPr>
              <w:t>反映当年民政部门关于殡葬领域改</w:t>
            </w:r>
            <w:r>
              <w:rPr>
                <w:rFonts w:ascii="华文仿宋" w:hAnsi="华文仿宋" w:eastAsia="华文仿宋" w:cs="华文仿宋"/>
                <w:spacing w:val="-2"/>
                <w:sz w:val="18"/>
                <w:szCs w:val="18"/>
              </w:rPr>
              <w:t>革工作推进情况。</w:t>
            </w:r>
          </w:p>
          <w:p>
            <w:pPr>
              <w:spacing w:before="2" w:line="285" w:lineRule="auto"/>
              <w:ind w:left="120" w:right="202" w:hanging="3"/>
              <w:rPr>
                <w:rFonts w:ascii="华文仿宋" w:hAnsi="华文仿宋" w:eastAsia="华文仿宋" w:cs="华文仿宋"/>
                <w:sz w:val="18"/>
                <w:szCs w:val="18"/>
              </w:rPr>
            </w:pPr>
            <w:r>
              <w:rPr>
                <w:rFonts w:ascii="华文仿宋" w:hAnsi="华文仿宋" w:eastAsia="华文仿宋" w:cs="华文仿宋"/>
                <w:spacing w:val="-3"/>
                <w:sz w:val="18"/>
                <w:szCs w:val="18"/>
              </w:rPr>
              <w:t>1.是否做好殡葬改革工作，加强殡</w:t>
            </w:r>
            <w:r>
              <w:rPr>
                <w:rFonts w:ascii="华文仿宋" w:hAnsi="华文仿宋" w:eastAsia="华文仿宋" w:cs="华文仿宋"/>
                <w:spacing w:val="-5"/>
                <w:sz w:val="18"/>
                <w:szCs w:val="18"/>
              </w:rPr>
              <w:t>葬文化建设，倡导移风易俗，营造</w:t>
            </w:r>
            <w:r>
              <w:rPr>
                <w:rFonts w:ascii="华文仿宋" w:hAnsi="华文仿宋" w:eastAsia="华文仿宋" w:cs="华文仿宋"/>
                <w:spacing w:val="-3"/>
                <w:sz w:val="18"/>
                <w:szCs w:val="18"/>
              </w:rPr>
              <w:t>良好的社会氛围。</w:t>
            </w:r>
          </w:p>
          <w:p>
            <w:pPr>
              <w:spacing w:line="290" w:lineRule="auto"/>
              <w:ind w:left="117" w:right="202" w:hanging="10"/>
              <w:rPr>
                <w:rFonts w:ascii="华文仿宋" w:hAnsi="华文仿宋" w:eastAsia="华文仿宋" w:cs="华文仿宋"/>
                <w:sz w:val="18"/>
                <w:szCs w:val="18"/>
              </w:rPr>
            </w:pPr>
            <w:r>
              <w:rPr>
                <w:rFonts w:ascii="华文仿宋" w:hAnsi="华文仿宋" w:eastAsia="华文仿宋" w:cs="华文仿宋"/>
                <w:spacing w:val="-1"/>
                <w:sz w:val="18"/>
                <w:szCs w:val="18"/>
              </w:rPr>
              <w:t>2.是否做好提升殡葬基础设施建设</w:t>
            </w:r>
            <w:r>
              <w:rPr>
                <w:rFonts w:ascii="华文仿宋" w:hAnsi="华文仿宋" w:eastAsia="华文仿宋" w:cs="华文仿宋"/>
                <w:spacing w:val="-5"/>
                <w:sz w:val="18"/>
                <w:szCs w:val="18"/>
              </w:rPr>
              <w:t>工作，推进南山墓园、殡仪馆环境</w:t>
            </w:r>
            <w:r>
              <w:rPr>
                <w:rFonts w:ascii="华文仿宋" w:hAnsi="华文仿宋" w:eastAsia="华文仿宋" w:cs="华文仿宋"/>
                <w:spacing w:val="-4"/>
                <w:sz w:val="18"/>
                <w:szCs w:val="18"/>
              </w:rPr>
              <w:t>绿化、提升改造工作。</w:t>
            </w:r>
          </w:p>
        </w:tc>
        <w:tc>
          <w:tcPr>
            <w:tcW w:w="918" w:type="dxa"/>
            <w:vAlign w:val="top"/>
          </w:tcPr>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66" w:line="198" w:lineRule="auto"/>
              <w:ind w:left="296"/>
              <w:rPr>
                <w:rFonts w:ascii="华文仿宋" w:hAnsi="华文仿宋" w:eastAsia="华文仿宋" w:cs="华文仿宋"/>
                <w:sz w:val="18"/>
                <w:szCs w:val="18"/>
              </w:rPr>
            </w:pPr>
            <w:r>
              <w:rPr>
                <w:rFonts w:ascii="华文仿宋" w:hAnsi="华文仿宋" w:eastAsia="华文仿宋" w:cs="华文仿宋"/>
                <w:spacing w:val="-10"/>
                <w:sz w:val="18"/>
                <w:szCs w:val="18"/>
              </w:rPr>
              <w:t>完成</w:t>
            </w:r>
          </w:p>
        </w:tc>
        <w:tc>
          <w:tcPr>
            <w:tcW w:w="2171" w:type="dxa"/>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before="65" w:line="200" w:lineRule="auto"/>
              <w:ind w:left="117"/>
              <w:rPr>
                <w:rFonts w:ascii="华文仿宋" w:hAnsi="华文仿宋" w:eastAsia="华文仿宋" w:cs="华文仿宋"/>
                <w:sz w:val="18"/>
                <w:szCs w:val="18"/>
              </w:rPr>
            </w:pPr>
            <w:r>
              <w:rPr>
                <w:rFonts w:ascii="华文仿宋" w:hAnsi="华文仿宋" w:eastAsia="华文仿宋" w:cs="华文仿宋"/>
                <w:spacing w:val="-2"/>
                <w:sz w:val="18"/>
                <w:szCs w:val="18"/>
              </w:rPr>
              <w:t>提升殡葬领域改革工</w:t>
            </w:r>
          </w:p>
          <w:p>
            <w:pPr>
              <w:spacing w:before="92" w:line="201" w:lineRule="auto"/>
              <w:ind w:left="117"/>
              <w:rPr>
                <w:rFonts w:ascii="华文仿宋" w:hAnsi="华文仿宋" w:eastAsia="华文仿宋" w:cs="华文仿宋"/>
                <w:sz w:val="18"/>
                <w:szCs w:val="18"/>
              </w:rPr>
            </w:pPr>
            <w:r>
              <w:rPr>
                <w:rFonts w:ascii="华文仿宋" w:hAnsi="华文仿宋" w:eastAsia="华文仿宋" w:cs="华文仿宋"/>
                <w:spacing w:val="-5"/>
                <w:sz w:val="18"/>
                <w:szCs w:val="18"/>
              </w:rPr>
              <w:t>作，全部符合评价要</w:t>
            </w:r>
          </w:p>
          <w:p>
            <w:pPr>
              <w:spacing w:before="93" w:line="292" w:lineRule="auto"/>
              <w:ind w:left="121" w:right="259" w:firstLine="11"/>
              <w:rPr>
                <w:rFonts w:ascii="华文仿宋" w:hAnsi="华文仿宋" w:eastAsia="华文仿宋" w:cs="华文仿宋"/>
                <w:sz w:val="18"/>
                <w:szCs w:val="18"/>
              </w:rPr>
            </w:pPr>
            <w:r>
              <w:rPr>
                <w:rFonts w:ascii="华文仿宋" w:hAnsi="华文仿宋" w:eastAsia="华文仿宋" w:cs="华文仿宋"/>
                <w:spacing w:val="-10"/>
                <w:sz w:val="18"/>
                <w:szCs w:val="18"/>
              </w:rPr>
              <w:t>点，得满分，每有一项</w:t>
            </w:r>
            <w:r>
              <w:rPr>
                <w:rFonts w:ascii="华文仿宋" w:hAnsi="华文仿宋" w:eastAsia="华文仿宋" w:cs="华文仿宋"/>
                <w:spacing w:val="-3"/>
                <w:sz w:val="18"/>
                <w:szCs w:val="18"/>
              </w:rPr>
              <w:t>不符合扣2分。</w:t>
            </w:r>
          </w:p>
        </w:tc>
        <w:tc>
          <w:tcPr>
            <w:tcW w:w="4007" w:type="dxa"/>
            <w:vAlign w:val="top"/>
          </w:tcPr>
          <w:p>
            <w:pPr>
              <w:spacing w:before="68" w:line="286" w:lineRule="auto"/>
              <w:ind w:left="116" w:right="114"/>
              <w:rPr>
                <w:rFonts w:ascii="华文仿宋" w:hAnsi="华文仿宋" w:eastAsia="华文仿宋" w:cs="华文仿宋"/>
                <w:sz w:val="18"/>
                <w:szCs w:val="18"/>
              </w:rPr>
            </w:pPr>
            <w:r>
              <w:rPr>
                <w:rFonts w:ascii="华文仿宋" w:hAnsi="华文仿宋" w:eastAsia="华文仿宋" w:cs="华文仿宋"/>
                <w:spacing w:val="-4"/>
                <w:sz w:val="18"/>
                <w:szCs w:val="18"/>
              </w:rPr>
              <w:t>根据区民政局提供的工作计划和项目资料，区</w:t>
            </w:r>
            <w:r>
              <w:rPr>
                <w:rFonts w:ascii="华文仿宋" w:hAnsi="华文仿宋" w:eastAsia="华文仿宋" w:cs="华文仿宋"/>
                <w:spacing w:val="-5"/>
                <w:sz w:val="18"/>
                <w:szCs w:val="18"/>
              </w:rPr>
              <w:t>民</w:t>
            </w:r>
            <w:r>
              <w:rPr>
                <w:rFonts w:ascii="华文仿宋" w:hAnsi="华文仿宋" w:eastAsia="华文仿宋" w:cs="华文仿宋"/>
                <w:sz w:val="18"/>
                <w:szCs w:val="18"/>
              </w:rPr>
              <w:t>政局2025年，通过开展“伊州区殡葬领域墓地</w:t>
            </w:r>
            <w:r>
              <w:rPr>
                <w:rFonts w:ascii="华文仿宋" w:hAnsi="华文仿宋" w:eastAsia="华文仿宋" w:cs="华文仿宋"/>
                <w:spacing w:val="-4"/>
                <w:sz w:val="18"/>
                <w:szCs w:val="18"/>
              </w:rPr>
              <w:t>基础设施规范化建设项目”，针对殡葬墓地周</w:t>
            </w:r>
          </w:p>
          <w:p>
            <w:pPr>
              <w:spacing w:before="1" w:line="285" w:lineRule="auto"/>
              <w:ind w:left="115" w:right="114" w:firstLine="26"/>
              <w:rPr>
                <w:rFonts w:ascii="华文仿宋" w:hAnsi="华文仿宋" w:eastAsia="华文仿宋" w:cs="华文仿宋"/>
                <w:sz w:val="18"/>
                <w:szCs w:val="18"/>
              </w:rPr>
            </w:pPr>
            <w:r>
              <w:rPr>
                <w:rFonts w:ascii="华文仿宋" w:hAnsi="华文仿宋" w:eastAsia="华文仿宋" w:cs="华文仿宋"/>
                <w:spacing w:val="-7"/>
                <w:sz w:val="18"/>
                <w:szCs w:val="18"/>
              </w:rPr>
              <w:t>围，做绿化修缮工作，通过项目资料可知，修建</w:t>
            </w:r>
            <w:r>
              <w:rPr>
                <w:rFonts w:ascii="华文仿宋" w:hAnsi="华文仿宋" w:eastAsia="华文仿宋" w:cs="华文仿宋"/>
                <w:spacing w:val="-4"/>
                <w:sz w:val="18"/>
                <w:szCs w:val="18"/>
              </w:rPr>
              <w:t>G30南侧墓地修建围栏5480米，并做殡仪馆绿</w:t>
            </w:r>
            <w:r>
              <w:rPr>
                <w:rFonts w:ascii="华文仿宋" w:hAnsi="华文仿宋" w:eastAsia="华文仿宋" w:cs="华文仿宋"/>
                <w:spacing w:val="-6"/>
                <w:sz w:val="18"/>
                <w:szCs w:val="18"/>
              </w:rPr>
              <w:t>化服务1次，通过项目完成，有效提升城市风</w:t>
            </w:r>
          </w:p>
          <w:p>
            <w:pPr>
              <w:spacing w:before="8" w:line="276" w:lineRule="auto"/>
              <w:ind w:left="117" w:right="114"/>
              <w:rPr>
                <w:rFonts w:ascii="华文仿宋" w:hAnsi="华文仿宋" w:eastAsia="华文仿宋" w:cs="华文仿宋"/>
                <w:sz w:val="18"/>
                <w:szCs w:val="18"/>
              </w:rPr>
            </w:pPr>
            <w:r>
              <w:rPr>
                <w:rFonts w:ascii="华文仿宋" w:hAnsi="华文仿宋" w:eastAsia="华文仿宋" w:cs="华文仿宋"/>
                <w:spacing w:val="-4"/>
                <w:sz w:val="18"/>
                <w:szCs w:val="18"/>
              </w:rPr>
              <w:t>貌，推动殡葬领域健康有序发展。但部门单位未</w:t>
            </w:r>
            <w:r>
              <w:rPr>
                <w:rFonts w:ascii="华文仿宋" w:hAnsi="华文仿宋" w:eastAsia="华文仿宋" w:cs="华文仿宋"/>
                <w:spacing w:val="-2"/>
                <w:sz w:val="18"/>
                <w:szCs w:val="18"/>
              </w:rPr>
              <w:t>提供有关殡葬改革相关工作文件、会议纪要或落实措施，同时针对整治殡葬领域腐败乱象专项行</w:t>
            </w:r>
            <w:r>
              <w:rPr>
                <w:rFonts w:ascii="华文仿宋" w:hAnsi="华文仿宋" w:eastAsia="华文仿宋" w:cs="华文仿宋"/>
                <w:spacing w:val="-1"/>
                <w:sz w:val="18"/>
                <w:szCs w:val="18"/>
              </w:rPr>
              <w:t>动方面的工作未提供相关整改措施和落实内容，无法印证2025年殡葬文化建设工作是否得到有</w:t>
            </w:r>
            <w:r>
              <w:rPr>
                <w:rFonts w:ascii="华文仿宋" w:hAnsi="华文仿宋" w:eastAsia="华文仿宋" w:cs="华文仿宋"/>
                <w:spacing w:val="-4"/>
                <w:sz w:val="18"/>
                <w:szCs w:val="18"/>
              </w:rPr>
              <w:t>效改革，故该部分内容无法印证是否达到预期</w:t>
            </w:r>
            <w:r>
              <w:rPr>
                <w:rFonts w:ascii="华文仿宋" w:hAnsi="华文仿宋" w:eastAsia="华文仿宋" w:cs="华文仿宋"/>
                <w:spacing w:val="-5"/>
                <w:sz w:val="18"/>
                <w:szCs w:val="18"/>
              </w:rPr>
              <w:t>目</w:t>
            </w:r>
            <w:r>
              <w:rPr>
                <w:rFonts w:ascii="华文仿宋" w:hAnsi="华文仿宋" w:eastAsia="华文仿宋" w:cs="华文仿宋"/>
                <w:spacing w:val="-3"/>
                <w:sz w:val="18"/>
                <w:szCs w:val="18"/>
              </w:rPr>
              <w:t>标。故该部分内容无法印证是否达到预期目标。依据评价标准，该指标扣2分。</w:t>
            </w:r>
          </w:p>
        </w:tc>
        <w:tc>
          <w:tcPr>
            <w:tcW w:w="684" w:type="dxa"/>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65" w:line="177" w:lineRule="auto"/>
              <w:ind w:left="304"/>
              <w:rPr>
                <w:rFonts w:ascii="华文仿宋" w:hAnsi="华文仿宋" w:eastAsia="华文仿宋" w:cs="华文仿宋"/>
                <w:sz w:val="18"/>
                <w:szCs w:val="18"/>
              </w:rPr>
            </w:pPr>
            <w:r>
              <w:rPr>
                <w:rFonts w:ascii="华文仿宋" w:hAnsi="华文仿宋" w:eastAsia="华文仿宋" w:cs="华文仿宋"/>
                <w:sz w:val="18"/>
                <w:szCs w:val="18"/>
              </w:rPr>
              <w:t>2</w:t>
            </w:r>
          </w:p>
        </w:tc>
        <w:tc>
          <w:tcPr>
            <w:tcW w:w="832" w:type="dxa"/>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65" w:line="178" w:lineRule="auto"/>
              <w:ind w:left="265"/>
              <w:rPr>
                <w:rFonts w:ascii="华文仿宋" w:hAnsi="华文仿宋" w:eastAsia="华文仿宋" w:cs="华文仿宋"/>
                <w:sz w:val="18"/>
                <w:szCs w:val="18"/>
              </w:rPr>
            </w:pPr>
            <w:r>
              <w:rPr>
                <w:rFonts w:ascii="华文仿宋" w:hAnsi="华文仿宋" w:eastAsia="华文仿宋" w:cs="华文仿宋"/>
                <w:spacing w:val="-4"/>
                <w:sz w:val="18"/>
                <w:szCs w:val="18"/>
              </w:rPr>
              <w:t>50%</w:t>
            </w:r>
          </w:p>
        </w:tc>
      </w:tr>
    </w:tbl>
    <w:p>
      <w:pPr>
        <w:pStyle w:val="2"/>
      </w:pPr>
    </w:p>
    <w:p>
      <w:pPr>
        <w:sectPr>
          <w:footerReference r:id="rId23" w:type="default"/>
          <w:pgSz w:w="16839" w:h="11906"/>
          <w:pgMar w:top="1012" w:right="595" w:bottom="1575" w:left="692" w:header="0" w:footer="1289" w:gutter="0"/>
          <w:pgNumType w:fmt="decimal"/>
          <w:cols w:space="720" w:num="1"/>
        </w:sectPr>
      </w:pPr>
    </w:p>
    <w:p>
      <w:pPr>
        <w:pStyle w:val="2"/>
        <w:spacing w:line="287" w:lineRule="auto"/>
      </w:pPr>
    </w:p>
    <w:p>
      <w:pPr>
        <w:spacing w:before="102" w:line="201" w:lineRule="auto"/>
        <w:ind w:left="140" w:firstLine="231" w:firstLineChars="100"/>
        <w:rPr>
          <w:rFonts w:hint="eastAsia" w:ascii="仿宋" w:hAnsi="仿宋" w:eastAsia="仿宋" w:cs="仿宋"/>
          <w:sz w:val="24"/>
          <w:szCs w:val="24"/>
        </w:rPr>
      </w:pPr>
      <w:r>
        <w:rPr>
          <w:rFonts w:hint="eastAsia" w:ascii="仿宋" w:hAnsi="仿宋" w:eastAsia="仿宋" w:cs="仿宋"/>
          <w:b/>
          <w:bCs/>
          <w:spacing w:val="-5"/>
          <w:sz w:val="24"/>
          <w:szCs w:val="24"/>
        </w:rPr>
        <w:t>附件一：部门整体绩效评价指标体系评分表</w:t>
      </w:r>
    </w:p>
    <w:p>
      <w:pPr>
        <w:spacing w:line="109" w:lineRule="exact"/>
      </w:pPr>
    </w:p>
    <w:tbl>
      <w:tblPr>
        <w:tblStyle w:val="7"/>
        <w:tblW w:w="155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999"/>
        <w:gridCol w:w="1167"/>
        <w:gridCol w:w="665"/>
        <w:gridCol w:w="3011"/>
        <w:gridCol w:w="918"/>
        <w:gridCol w:w="2171"/>
        <w:gridCol w:w="4007"/>
        <w:gridCol w:w="684"/>
        <w:gridCol w:w="8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6" w:hRule="atLeast"/>
        </w:trPr>
        <w:tc>
          <w:tcPr>
            <w:tcW w:w="1091" w:type="dxa"/>
            <w:vAlign w:val="top"/>
          </w:tcPr>
          <w:p>
            <w:pPr>
              <w:spacing w:before="112" w:line="199" w:lineRule="auto"/>
              <w:ind w:left="201"/>
              <w:rPr>
                <w:rFonts w:ascii="华文仿宋" w:hAnsi="华文仿宋" w:eastAsia="华文仿宋" w:cs="华文仿宋"/>
                <w:sz w:val="18"/>
                <w:szCs w:val="18"/>
              </w:rPr>
            </w:pPr>
            <w:r>
              <w:rPr>
                <w:rFonts w:ascii="华文仿宋" w:hAnsi="华文仿宋" w:eastAsia="华文仿宋" w:cs="华文仿宋"/>
                <w:b/>
                <w:bCs/>
                <w:spacing w:val="-7"/>
                <w:sz w:val="18"/>
                <w:szCs w:val="18"/>
              </w:rPr>
              <w:t>一级指标</w:t>
            </w:r>
          </w:p>
        </w:tc>
        <w:tc>
          <w:tcPr>
            <w:tcW w:w="999" w:type="dxa"/>
            <w:vAlign w:val="top"/>
          </w:tcPr>
          <w:p>
            <w:pPr>
              <w:spacing w:before="112" w:line="199" w:lineRule="auto"/>
              <w:ind w:left="152"/>
              <w:rPr>
                <w:rFonts w:ascii="华文仿宋" w:hAnsi="华文仿宋" w:eastAsia="华文仿宋" w:cs="华文仿宋"/>
                <w:sz w:val="18"/>
                <w:szCs w:val="18"/>
              </w:rPr>
            </w:pPr>
            <w:r>
              <w:rPr>
                <w:rFonts w:ascii="华文仿宋" w:hAnsi="华文仿宋" w:eastAsia="华文仿宋" w:cs="华文仿宋"/>
                <w:b/>
                <w:bCs/>
                <w:spacing w:val="-7"/>
                <w:sz w:val="18"/>
                <w:szCs w:val="18"/>
              </w:rPr>
              <w:t>二级指标</w:t>
            </w:r>
          </w:p>
        </w:tc>
        <w:tc>
          <w:tcPr>
            <w:tcW w:w="1167" w:type="dxa"/>
            <w:vAlign w:val="top"/>
          </w:tcPr>
          <w:p>
            <w:pPr>
              <w:spacing w:before="112" w:line="199" w:lineRule="auto"/>
              <w:ind w:left="241"/>
              <w:rPr>
                <w:rFonts w:ascii="华文仿宋" w:hAnsi="华文仿宋" w:eastAsia="华文仿宋" w:cs="华文仿宋"/>
                <w:sz w:val="18"/>
                <w:szCs w:val="18"/>
              </w:rPr>
            </w:pPr>
            <w:r>
              <w:rPr>
                <w:rFonts w:ascii="华文仿宋" w:hAnsi="华文仿宋" w:eastAsia="华文仿宋" w:cs="华文仿宋"/>
                <w:b/>
                <w:bCs/>
                <w:spacing w:val="-8"/>
                <w:sz w:val="18"/>
                <w:szCs w:val="18"/>
              </w:rPr>
              <w:t>三级指标</w:t>
            </w:r>
          </w:p>
        </w:tc>
        <w:tc>
          <w:tcPr>
            <w:tcW w:w="665" w:type="dxa"/>
            <w:vAlign w:val="top"/>
          </w:tcPr>
          <w:p>
            <w:pPr>
              <w:spacing w:before="113" w:line="198" w:lineRule="auto"/>
              <w:ind w:left="159"/>
              <w:rPr>
                <w:rFonts w:ascii="华文仿宋" w:hAnsi="华文仿宋" w:eastAsia="华文仿宋" w:cs="华文仿宋"/>
                <w:sz w:val="18"/>
                <w:szCs w:val="18"/>
              </w:rPr>
            </w:pPr>
            <w:r>
              <w:rPr>
                <w:rFonts w:ascii="华文仿宋" w:hAnsi="华文仿宋" w:eastAsia="华文仿宋" w:cs="华文仿宋"/>
                <w:b/>
                <w:bCs/>
                <w:spacing w:val="-7"/>
                <w:sz w:val="18"/>
                <w:szCs w:val="18"/>
              </w:rPr>
              <w:t>权重</w:t>
            </w:r>
          </w:p>
        </w:tc>
        <w:tc>
          <w:tcPr>
            <w:tcW w:w="3011" w:type="dxa"/>
            <w:vAlign w:val="top"/>
          </w:tcPr>
          <w:p>
            <w:pPr>
              <w:spacing w:before="112" w:line="199" w:lineRule="auto"/>
              <w:ind w:left="705"/>
              <w:rPr>
                <w:rFonts w:ascii="华文仿宋" w:hAnsi="华文仿宋" w:eastAsia="华文仿宋" w:cs="华文仿宋"/>
                <w:sz w:val="18"/>
                <w:szCs w:val="18"/>
              </w:rPr>
            </w:pPr>
            <w:r>
              <w:rPr>
                <w:rFonts w:ascii="华文仿宋" w:hAnsi="华文仿宋" w:eastAsia="华文仿宋" w:cs="华文仿宋"/>
                <w:b/>
                <w:bCs/>
                <w:spacing w:val="-4"/>
                <w:sz w:val="18"/>
                <w:szCs w:val="18"/>
              </w:rPr>
              <w:t>指标解释及评价要点</w:t>
            </w:r>
          </w:p>
        </w:tc>
        <w:tc>
          <w:tcPr>
            <w:tcW w:w="918" w:type="dxa"/>
            <w:vAlign w:val="top"/>
          </w:tcPr>
          <w:p>
            <w:pPr>
              <w:spacing w:before="112" w:line="199" w:lineRule="auto"/>
              <w:ind w:left="197"/>
              <w:rPr>
                <w:rFonts w:ascii="华文仿宋" w:hAnsi="华文仿宋" w:eastAsia="华文仿宋" w:cs="华文仿宋"/>
                <w:sz w:val="18"/>
                <w:szCs w:val="18"/>
              </w:rPr>
            </w:pPr>
            <w:r>
              <w:rPr>
                <w:rFonts w:ascii="华文仿宋" w:hAnsi="华文仿宋" w:eastAsia="华文仿宋" w:cs="华文仿宋"/>
                <w:b/>
                <w:bCs/>
                <w:spacing w:val="-6"/>
                <w:sz w:val="18"/>
                <w:szCs w:val="18"/>
              </w:rPr>
              <w:t>标杆值</w:t>
            </w:r>
          </w:p>
        </w:tc>
        <w:tc>
          <w:tcPr>
            <w:tcW w:w="2171" w:type="dxa"/>
            <w:vAlign w:val="top"/>
          </w:tcPr>
          <w:p>
            <w:pPr>
              <w:spacing w:before="112" w:line="199" w:lineRule="auto"/>
              <w:ind w:left="730"/>
              <w:rPr>
                <w:rFonts w:ascii="华文仿宋" w:hAnsi="华文仿宋" w:eastAsia="华文仿宋" w:cs="华文仿宋"/>
                <w:sz w:val="18"/>
                <w:szCs w:val="18"/>
              </w:rPr>
            </w:pPr>
            <w:r>
              <w:rPr>
                <w:rFonts w:ascii="华文仿宋" w:hAnsi="华文仿宋" w:eastAsia="华文仿宋" w:cs="华文仿宋"/>
                <w:b/>
                <w:bCs/>
                <w:spacing w:val="-4"/>
                <w:sz w:val="18"/>
                <w:szCs w:val="18"/>
              </w:rPr>
              <w:t>评价标准</w:t>
            </w:r>
          </w:p>
        </w:tc>
        <w:tc>
          <w:tcPr>
            <w:tcW w:w="4007" w:type="dxa"/>
            <w:vAlign w:val="top"/>
          </w:tcPr>
          <w:p>
            <w:pPr>
              <w:spacing w:before="113" w:line="198" w:lineRule="auto"/>
              <w:ind w:left="1648"/>
              <w:rPr>
                <w:rFonts w:ascii="华文仿宋" w:hAnsi="华文仿宋" w:eastAsia="华文仿宋" w:cs="华文仿宋"/>
                <w:sz w:val="18"/>
                <w:szCs w:val="18"/>
              </w:rPr>
            </w:pPr>
            <w:r>
              <w:rPr>
                <w:rFonts w:ascii="华文仿宋" w:hAnsi="华文仿宋" w:eastAsia="华文仿宋" w:cs="华文仿宋"/>
                <w:b/>
                <w:bCs/>
                <w:spacing w:val="-4"/>
                <w:sz w:val="18"/>
                <w:szCs w:val="18"/>
              </w:rPr>
              <w:t>评分过程</w:t>
            </w:r>
          </w:p>
        </w:tc>
        <w:tc>
          <w:tcPr>
            <w:tcW w:w="684" w:type="dxa"/>
            <w:vAlign w:val="top"/>
          </w:tcPr>
          <w:p>
            <w:pPr>
              <w:spacing w:before="114" w:line="197" w:lineRule="auto"/>
              <w:ind w:left="172"/>
              <w:rPr>
                <w:rFonts w:ascii="华文仿宋" w:hAnsi="华文仿宋" w:eastAsia="华文仿宋" w:cs="华文仿宋"/>
                <w:sz w:val="18"/>
                <w:szCs w:val="18"/>
              </w:rPr>
            </w:pPr>
            <w:r>
              <w:rPr>
                <w:rFonts w:ascii="华文仿宋" w:hAnsi="华文仿宋" w:eastAsia="华文仿宋" w:cs="华文仿宋"/>
                <w:b/>
                <w:bCs/>
                <w:spacing w:val="-8"/>
                <w:sz w:val="18"/>
                <w:szCs w:val="18"/>
              </w:rPr>
              <w:t>得分</w:t>
            </w:r>
          </w:p>
        </w:tc>
        <w:tc>
          <w:tcPr>
            <w:tcW w:w="832" w:type="dxa"/>
            <w:vAlign w:val="top"/>
          </w:tcPr>
          <w:p>
            <w:pPr>
              <w:spacing w:before="111" w:line="200" w:lineRule="auto"/>
              <w:ind w:left="152"/>
              <w:rPr>
                <w:rFonts w:ascii="华文仿宋" w:hAnsi="华文仿宋" w:eastAsia="华文仿宋" w:cs="华文仿宋"/>
                <w:sz w:val="18"/>
                <w:szCs w:val="18"/>
              </w:rPr>
            </w:pPr>
            <w:r>
              <w:rPr>
                <w:rFonts w:ascii="华文仿宋" w:hAnsi="华文仿宋" w:eastAsia="华文仿宋" w:cs="华文仿宋"/>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370" w:hRule="atLeast"/>
        </w:trPr>
        <w:tc>
          <w:tcPr>
            <w:tcW w:w="1091" w:type="dxa"/>
            <w:vAlign w:val="top"/>
          </w:tcPr>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7" w:lineRule="auto"/>
              <w:rPr>
                <w:rFonts w:ascii="Arial"/>
                <w:sz w:val="21"/>
              </w:rPr>
            </w:pPr>
          </w:p>
          <w:p>
            <w:pPr>
              <w:spacing w:line="267" w:lineRule="auto"/>
              <w:rPr>
                <w:rFonts w:ascii="Arial"/>
                <w:sz w:val="21"/>
              </w:rPr>
            </w:pPr>
          </w:p>
          <w:p>
            <w:pPr>
              <w:spacing w:line="267" w:lineRule="auto"/>
              <w:rPr>
                <w:rFonts w:ascii="Arial"/>
                <w:sz w:val="21"/>
              </w:rPr>
            </w:pPr>
          </w:p>
          <w:p>
            <w:pPr>
              <w:spacing w:before="65" w:line="290" w:lineRule="auto"/>
              <w:ind w:left="306" w:right="182" w:hanging="109"/>
              <w:rPr>
                <w:rFonts w:ascii="华文仿宋" w:hAnsi="华文仿宋" w:eastAsia="华文仿宋" w:cs="华文仿宋"/>
                <w:sz w:val="18"/>
                <w:szCs w:val="18"/>
              </w:rPr>
            </w:pPr>
            <w:r>
              <w:rPr>
                <w:rFonts w:ascii="华文仿宋" w:hAnsi="华文仿宋" w:eastAsia="华文仿宋" w:cs="华文仿宋"/>
                <w:spacing w:val="-4"/>
                <w:sz w:val="18"/>
                <w:szCs w:val="18"/>
              </w:rPr>
              <w:t>部门绩效</w:t>
            </w:r>
            <w:r>
              <w:rPr>
                <w:rFonts w:ascii="华文仿宋" w:hAnsi="华文仿宋" w:eastAsia="华文仿宋" w:cs="华文仿宋"/>
                <w:spacing w:val="-7"/>
                <w:sz w:val="18"/>
                <w:szCs w:val="18"/>
              </w:rPr>
              <w:t>（50）</w:t>
            </w:r>
          </w:p>
        </w:tc>
        <w:tc>
          <w:tcPr>
            <w:tcW w:w="999"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before="66" w:line="300" w:lineRule="auto"/>
              <w:ind w:left="146" w:right="139" w:firstLine="1"/>
              <w:jc w:val="both"/>
              <w:rPr>
                <w:rFonts w:ascii="华文仿宋" w:hAnsi="华文仿宋" w:eastAsia="华文仿宋" w:cs="华文仿宋"/>
                <w:sz w:val="18"/>
                <w:szCs w:val="18"/>
              </w:rPr>
            </w:pPr>
            <w:r>
              <w:rPr>
                <w:rFonts w:ascii="华文仿宋" w:hAnsi="华文仿宋" w:eastAsia="华文仿宋" w:cs="华文仿宋"/>
                <w:spacing w:val="-4"/>
                <w:sz w:val="18"/>
                <w:szCs w:val="18"/>
              </w:rPr>
              <w:t>部门履职</w:t>
            </w:r>
            <w:r>
              <w:rPr>
                <w:rFonts w:ascii="华文仿宋" w:hAnsi="华文仿宋" w:eastAsia="华文仿宋" w:cs="华文仿宋"/>
                <w:spacing w:val="-3"/>
                <w:sz w:val="18"/>
                <w:szCs w:val="18"/>
              </w:rPr>
              <w:t>社会效益</w:t>
            </w:r>
            <w:r>
              <w:rPr>
                <w:rFonts w:ascii="华文仿宋" w:hAnsi="华文仿宋" w:eastAsia="华文仿宋" w:cs="华文仿宋"/>
                <w:spacing w:val="30"/>
                <w:w w:val="108"/>
                <w:sz w:val="18"/>
                <w:szCs w:val="18"/>
              </w:rPr>
              <w:t>（7）</w:t>
            </w:r>
          </w:p>
        </w:tc>
        <w:tc>
          <w:tcPr>
            <w:tcW w:w="1167"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before="65" w:line="200" w:lineRule="auto"/>
              <w:ind w:left="144"/>
              <w:rPr>
                <w:rFonts w:ascii="华文仿宋" w:hAnsi="华文仿宋" w:eastAsia="华文仿宋" w:cs="华文仿宋"/>
                <w:sz w:val="18"/>
                <w:szCs w:val="18"/>
              </w:rPr>
            </w:pPr>
            <w:r>
              <w:rPr>
                <w:rFonts w:ascii="华文仿宋" w:hAnsi="华文仿宋" w:eastAsia="华文仿宋" w:cs="华文仿宋"/>
                <w:spacing w:val="-4"/>
                <w:sz w:val="18"/>
                <w:szCs w:val="18"/>
              </w:rPr>
              <w:t>扎实做好社</w:t>
            </w:r>
          </w:p>
          <w:p>
            <w:pPr>
              <w:spacing w:before="93" w:line="200" w:lineRule="auto"/>
              <w:ind w:left="139"/>
              <w:rPr>
                <w:rFonts w:ascii="华文仿宋" w:hAnsi="华文仿宋" w:eastAsia="华文仿宋" w:cs="华文仿宋"/>
                <w:sz w:val="18"/>
                <w:szCs w:val="18"/>
              </w:rPr>
            </w:pPr>
            <w:r>
              <w:rPr>
                <w:rFonts w:ascii="华文仿宋" w:hAnsi="华文仿宋" w:eastAsia="华文仿宋" w:cs="华文仿宋"/>
                <w:spacing w:val="-3"/>
                <w:sz w:val="18"/>
                <w:szCs w:val="18"/>
              </w:rPr>
              <w:t>会事务管理</w:t>
            </w:r>
          </w:p>
          <w:p>
            <w:pPr>
              <w:spacing w:before="94" w:line="199" w:lineRule="auto"/>
              <w:ind w:left="414"/>
              <w:rPr>
                <w:rFonts w:ascii="华文仿宋" w:hAnsi="华文仿宋" w:eastAsia="华文仿宋" w:cs="华文仿宋"/>
                <w:sz w:val="18"/>
                <w:szCs w:val="18"/>
              </w:rPr>
            </w:pPr>
            <w:r>
              <w:rPr>
                <w:rFonts w:ascii="华文仿宋" w:hAnsi="华文仿宋" w:eastAsia="华文仿宋" w:cs="华文仿宋"/>
                <w:spacing w:val="-8"/>
                <w:sz w:val="18"/>
                <w:szCs w:val="18"/>
              </w:rPr>
              <w:t>工作</w:t>
            </w:r>
          </w:p>
        </w:tc>
        <w:tc>
          <w:tcPr>
            <w:tcW w:w="665" w:type="dxa"/>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65" w:line="177" w:lineRule="auto"/>
              <w:ind w:left="295"/>
              <w:rPr>
                <w:rFonts w:ascii="华文仿宋" w:hAnsi="华文仿宋" w:eastAsia="华文仿宋" w:cs="华文仿宋"/>
                <w:sz w:val="18"/>
                <w:szCs w:val="18"/>
              </w:rPr>
            </w:pPr>
            <w:r>
              <w:rPr>
                <w:rFonts w:ascii="华文仿宋" w:hAnsi="华文仿宋" w:eastAsia="华文仿宋" w:cs="华文仿宋"/>
                <w:sz w:val="18"/>
                <w:szCs w:val="18"/>
              </w:rPr>
              <w:t>3</w:t>
            </w:r>
          </w:p>
        </w:tc>
        <w:tc>
          <w:tcPr>
            <w:tcW w:w="3011" w:type="dxa"/>
            <w:vAlign w:val="top"/>
          </w:tcPr>
          <w:p>
            <w:pPr>
              <w:spacing w:line="311" w:lineRule="auto"/>
              <w:rPr>
                <w:rFonts w:ascii="Arial"/>
                <w:sz w:val="21"/>
              </w:rPr>
            </w:pPr>
          </w:p>
          <w:p>
            <w:pPr>
              <w:spacing w:line="311" w:lineRule="auto"/>
              <w:rPr>
                <w:rFonts w:ascii="Arial"/>
                <w:sz w:val="21"/>
              </w:rPr>
            </w:pPr>
          </w:p>
          <w:p>
            <w:pPr>
              <w:spacing w:line="312" w:lineRule="auto"/>
              <w:rPr>
                <w:rFonts w:ascii="Arial"/>
                <w:sz w:val="21"/>
              </w:rPr>
            </w:pPr>
          </w:p>
          <w:p>
            <w:pPr>
              <w:spacing w:before="65" w:line="286" w:lineRule="auto"/>
              <w:ind w:left="114" w:right="202"/>
              <w:rPr>
                <w:rFonts w:ascii="华文仿宋" w:hAnsi="华文仿宋" w:eastAsia="华文仿宋" w:cs="华文仿宋"/>
                <w:sz w:val="18"/>
                <w:szCs w:val="18"/>
              </w:rPr>
            </w:pPr>
            <w:r>
              <w:rPr>
                <w:rFonts w:ascii="华文仿宋" w:hAnsi="华文仿宋" w:eastAsia="华文仿宋" w:cs="华文仿宋"/>
                <w:spacing w:val="-1"/>
                <w:sz w:val="18"/>
                <w:szCs w:val="18"/>
              </w:rPr>
              <w:t>反映当年民政部门社会事务管理工</w:t>
            </w:r>
            <w:r>
              <w:rPr>
                <w:rFonts w:ascii="华文仿宋" w:hAnsi="华文仿宋" w:eastAsia="华文仿宋" w:cs="华文仿宋"/>
                <w:spacing w:val="-2"/>
                <w:sz w:val="18"/>
                <w:szCs w:val="18"/>
              </w:rPr>
              <w:t>作的推进情况。</w:t>
            </w:r>
          </w:p>
          <w:p>
            <w:pPr>
              <w:spacing w:line="285" w:lineRule="auto"/>
              <w:ind w:left="113" w:right="202" w:firstLine="3"/>
              <w:rPr>
                <w:rFonts w:ascii="华文仿宋" w:hAnsi="华文仿宋" w:eastAsia="华文仿宋" w:cs="华文仿宋"/>
                <w:sz w:val="18"/>
                <w:szCs w:val="18"/>
              </w:rPr>
            </w:pPr>
            <w:r>
              <w:rPr>
                <w:rFonts w:ascii="华文仿宋" w:hAnsi="华文仿宋" w:eastAsia="华文仿宋" w:cs="华文仿宋"/>
                <w:spacing w:val="-3"/>
                <w:sz w:val="18"/>
                <w:szCs w:val="18"/>
              </w:rPr>
              <w:t>1.是否做好婚姻登记服务工作，推进相关法律法规宣传，推进婚俗改</w:t>
            </w:r>
            <w:r>
              <w:rPr>
                <w:rFonts w:ascii="华文仿宋" w:hAnsi="华文仿宋" w:eastAsia="华文仿宋" w:cs="华文仿宋"/>
                <w:spacing w:val="-5"/>
                <w:sz w:val="18"/>
                <w:szCs w:val="18"/>
              </w:rPr>
              <w:t>革。</w:t>
            </w:r>
          </w:p>
          <w:p>
            <w:pPr>
              <w:spacing w:line="290" w:lineRule="auto"/>
              <w:ind w:left="114" w:right="202" w:hanging="7"/>
              <w:rPr>
                <w:rFonts w:ascii="华文仿宋" w:hAnsi="华文仿宋" w:eastAsia="华文仿宋" w:cs="华文仿宋"/>
                <w:sz w:val="18"/>
                <w:szCs w:val="18"/>
              </w:rPr>
            </w:pPr>
            <w:r>
              <w:rPr>
                <w:rFonts w:ascii="华文仿宋" w:hAnsi="华文仿宋" w:eastAsia="华文仿宋" w:cs="华文仿宋"/>
                <w:spacing w:val="-2"/>
                <w:sz w:val="18"/>
                <w:szCs w:val="18"/>
              </w:rPr>
              <w:t>2是否开展精神障碍社区康复服务</w:t>
            </w:r>
            <w:r>
              <w:rPr>
                <w:rFonts w:ascii="华文仿宋" w:hAnsi="华文仿宋" w:eastAsia="华文仿宋" w:cs="华文仿宋"/>
                <w:spacing w:val="-3"/>
                <w:sz w:val="18"/>
                <w:szCs w:val="18"/>
              </w:rPr>
              <w:t>融合行动工作，未精神障碍患者提</w:t>
            </w:r>
            <w:r>
              <w:rPr>
                <w:rFonts w:ascii="华文仿宋" w:hAnsi="华文仿宋" w:eastAsia="华文仿宋" w:cs="华文仿宋"/>
                <w:spacing w:val="-2"/>
                <w:sz w:val="18"/>
                <w:szCs w:val="18"/>
              </w:rPr>
              <w:t>供康复服务。</w:t>
            </w:r>
          </w:p>
        </w:tc>
        <w:tc>
          <w:tcPr>
            <w:tcW w:w="918" w:type="dxa"/>
            <w:vAlign w:val="top"/>
          </w:tcPr>
          <w:p>
            <w:pPr>
              <w:spacing w:line="252" w:lineRule="auto"/>
              <w:rPr>
                <w:rFonts w:ascii="Arial"/>
                <w:sz w:val="21"/>
              </w:rPr>
            </w:pPr>
          </w:p>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before="66" w:line="198" w:lineRule="auto"/>
              <w:ind w:left="296"/>
              <w:rPr>
                <w:rFonts w:ascii="华文仿宋" w:hAnsi="华文仿宋" w:eastAsia="华文仿宋" w:cs="华文仿宋"/>
                <w:sz w:val="18"/>
                <w:szCs w:val="18"/>
              </w:rPr>
            </w:pPr>
            <w:r>
              <w:rPr>
                <w:rFonts w:ascii="华文仿宋" w:hAnsi="华文仿宋" w:eastAsia="华文仿宋" w:cs="华文仿宋"/>
                <w:spacing w:val="-10"/>
                <w:sz w:val="18"/>
                <w:szCs w:val="18"/>
              </w:rPr>
              <w:t>完成</w:t>
            </w:r>
          </w:p>
        </w:tc>
        <w:tc>
          <w:tcPr>
            <w:tcW w:w="2171" w:type="dxa"/>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before="66" w:line="286" w:lineRule="auto"/>
              <w:ind w:left="120" w:right="259" w:firstLine="1"/>
              <w:rPr>
                <w:rFonts w:ascii="华文仿宋" w:hAnsi="华文仿宋" w:eastAsia="华文仿宋" w:cs="华文仿宋"/>
                <w:sz w:val="18"/>
                <w:szCs w:val="18"/>
              </w:rPr>
            </w:pPr>
            <w:r>
              <w:rPr>
                <w:rFonts w:ascii="华文仿宋" w:hAnsi="华文仿宋" w:eastAsia="华文仿宋" w:cs="华文仿宋"/>
                <w:spacing w:val="-2"/>
                <w:sz w:val="18"/>
                <w:szCs w:val="18"/>
              </w:rPr>
              <w:t>扎实做好社会事务管理工作全部符合评价要</w:t>
            </w:r>
          </w:p>
          <w:p>
            <w:pPr>
              <w:spacing w:before="1" w:line="291" w:lineRule="auto"/>
              <w:ind w:left="115" w:right="259" w:firstLine="16"/>
              <w:rPr>
                <w:rFonts w:ascii="华文仿宋" w:hAnsi="华文仿宋" w:eastAsia="华文仿宋" w:cs="华文仿宋"/>
                <w:sz w:val="18"/>
                <w:szCs w:val="18"/>
              </w:rPr>
            </w:pPr>
            <w:r>
              <w:rPr>
                <w:rFonts w:ascii="华文仿宋" w:hAnsi="华文仿宋" w:eastAsia="华文仿宋" w:cs="华文仿宋"/>
                <w:spacing w:val="-10"/>
                <w:sz w:val="18"/>
                <w:szCs w:val="18"/>
              </w:rPr>
              <w:t>点，得满分，每一项不</w:t>
            </w:r>
            <w:r>
              <w:rPr>
                <w:rFonts w:ascii="华文仿宋" w:hAnsi="华文仿宋" w:eastAsia="华文仿宋" w:cs="华文仿宋"/>
                <w:spacing w:val="-3"/>
                <w:sz w:val="18"/>
                <w:szCs w:val="18"/>
              </w:rPr>
              <w:t>合格扣2分。</w:t>
            </w:r>
          </w:p>
        </w:tc>
        <w:tc>
          <w:tcPr>
            <w:tcW w:w="4007" w:type="dxa"/>
            <w:vAlign w:val="top"/>
          </w:tcPr>
          <w:p>
            <w:pPr>
              <w:spacing w:before="67" w:line="286" w:lineRule="auto"/>
              <w:ind w:left="117" w:right="114" w:hanging="1"/>
              <w:rPr>
                <w:rFonts w:ascii="华文仿宋" w:hAnsi="华文仿宋" w:eastAsia="华文仿宋" w:cs="华文仿宋"/>
                <w:sz w:val="18"/>
                <w:szCs w:val="18"/>
              </w:rPr>
            </w:pPr>
            <w:r>
              <w:rPr>
                <w:rFonts w:ascii="华文仿宋" w:hAnsi="华文仿宋" w:eastAsia="华文仿宋" w:cs="华文仿宋"/>
                <w:spacing w:val="-2"/>
                <w:sz w:val="18"/>
                <w:szCs w:val="18"/>
              </w:rPr>
              <w:t>根据区民政局提供的工作总结、项目资料及访现</w:t>
            </w:r>
            <w:r>
              <w:rPr>
                <w:rFonts w:ascii="华文仿宋" w:hAnsi="华文仿宋" w:eastAsia="华文仿宋" w:cs="华文仿宋"/>
                <w:sz w:val="18"/>
                <w:szCs w:val="18"/>
              </w:rPr>
              <w:t>场访谈可知，区民政局2025年严格要求政</w:t>
            </w:r>
            <w:r>
              <w:rPr>
                <w:rFonts w:ascii="华文仿宋" w:hAnsi="华文仿宋" w:eastAsia="华文仿宋" w:cs="华文仿宋"/>
                <w:spacing w:val="-1"/>
                <w:sz w:val="18"/>
                <w:szCs w:val="18"/>
              </w:rPr>
              <w:t>务服</w:t>
            </w:r>
            <w:r>
              <w:rPr>
                <w:rFonts w:ascii="华文仿宋" w:hAnsi="华文仿宋" w:eastAsia="华文仿宋" w:cs="华文仿宋"/>
                <w:spacing w:val="-2"/>
                <w:sz w:val="18"/>
                <w:szCs w:val="18"/>
              </w:rPr>
              <w:t>务大厅做好婚姻咨询、登记等服务工作，2025</w:t>
            </w:r>
          </w:p>
          <w:p>
            <w:pPr>
              <w:spacing w:line="284" w:lineRule="auto"/>
              <w:ind w:left="117" w:right="205"/>
              <w:rPr>
                <w:rFonts w:ascii="华文仿宋" w:hAnsi="华文仿宋" w:eastAsia="华文仿宋" w:cs="华文仿宋"/>
                <w:sz w:val="18"/>
                <w:szCs w:val="18"/>
              </w:rPr>
            </w:pPr>
            <w:r>
              <w:rPr>
                <w:rFonts w:ascii="华文仿宋" w:hAnsi="华文仿宋" w:eastAsia="华文仿宋" w:cs="华文仿宋"/>
                <w:spacing w:val="-3"/>
                <w:sz w:val="18"/>
                <w:szCs w:val="18"/>
              </w:rPr>
              <w:t>年哈密市全年婚姻登记3039对，离婚登记1014</w:t>
            </w:r>
            <w:r>
              <w:rPr>
                <w:rFonts w:ascii="华文仿宋" w:hAnsi="华文仿宋" w:eastAsia="华文仿宋" w:cs="华文仿宋"/>
                <w:spacing w:val="-4"/>
                <w:sz w:val="18"/>
                <w:szCs w:val="18"/>
              </w:rPr>
              <w:t>对，有效推进婚姻服务工作。部门单位2025</w:t>
            </w:r>
          </w:p>
          <w:p>
            <w:pPr>
              <w:spacing w:before="6" w:line="286" w:lineRule="auto"/>
              <w:ind w:left="117" w:right="114"/>
              <w:rPr>
                <w:rFonts w:ascii="华文仿宋" w:hAnsi="华文仿宋" w:eastAsia="华文仿宋" w:cs="华文仿宋"/>
                <w:sz w:val="18"/>
                <w:szCs w:val="18"/>
              </w:rPr>
            </w:pPr>
            <w:r>
              <w:rPr>
                <w:rFonts w:ascii="华文仿宋" w:hAnsi="华文仿宋" w:eastAsia="华文仿宋" w:cs="华文仿宋"/>
                <w:spacing w:val="-3"/>
                <w:sz w:val="18"/>
                <w:szCs w:val="18"/>
              </w:rPr>
              <w:t>年，区民政局通过开展“政府购买靖康融合行动</w:t>
            </w:r>
            <w:r>
              <w:rPr>
                <w:rFonts w:ascii="华文仿宋" w:hAnsi="华文仿宋" w:eastAsia="华文仿宋" w:cs="华文仿宋"/>
                <w:spacing w:val="-7"/>
                <w:sz w:val="18"/>
                <w:szCs w:val="18"/>
              </w:rPr>
              <w:t>服务“项目，通过项目资料可知，区民政局在市</w:t>
            </w:r>
            <w:r>
              <w:rPr>
                <w:rFonts w:ascii="华文仿宋" w:hAnsi="华文仿宋" w:eastAsia="华文仿宋" w:cs="华文仿宋"/>
                <w:sz w:val="18"/>
                <w:szCs w:val="18"/>
              </w:rPr>
              <w:t>区里设立了精神障碍社区康复服务示范点2个，</w:t>
            </w:r>
            <w:r>
              <w:rPr>
                <w:rFonts w:ascii="华文仿宋" w:hAnsi="华文仿宋" w:eastAsia="华文仿宋" w:cs="华文仿宋"/>
                <w:spacing w:val="-2"/>
                <w:sz w:val="18"/>
                <w:szCs w:val="18"/>
              </w:rPr>
              <w:t>开展上门服务或宣传引导、入户走访辖区居家患</w:t>
            </w:r>
            <w:r>
              <w:rPr>
                <w:rFonts w:ascii="华文仿宋" w:hAnsi="华文仿宋" w:eastAsia="华文仿宋" w:cs="华文仿宋"/>
                <w:spacing w:val="-3"/>
                <w:sz w:val="18"/>
                <w:szCs w:val="18"/>
              </w:rPr>
              <w:t>者数量300人，有效保障了精神障碍社区康复服</w:t>
            </w:r>
            <w:r>
              <w:rPr>
                <w:rFonts w:ascii="华文仿宋" w:hAnsi="华文仿宋" w:eastAsia="华文仿宋" w:cs="华文仿宋"/>
                <w:spacing w:val="-4"/>
                <w:sz w:val="18"/>
                <w:szCs w:val="18"/>
              </w:rPr>
              <w:t>务融合，促进精神障碍患者更好融入社会。综上</w:t>
            </w:r>
            <w:r>
              <w:rPr>
                <w:rFonts w:ascii="华文仿宋" w:hAnsi="华文仿宋" w:eastAsia="华文仿宋" w:cs="华文仿宋"/>
                <w:spacing w:val="-3"/>
                <w:sz w:val="18"/>
                <w:szCs w:val="18"/>
              </w:rPr>
              <w:t>所述，区民政局在做好社会事务管理工作方面，取得了部分成效。依据评价标准，该指标得3</w:t>
            </w:r>
          </w:p>
          <w:p>
            <w:pPr>
              <w:spacing w:line="196" w:lineRule="auto"/>
              <w:ind w:left="116"/>
              <w:rPr>
                <w:rFonts w:ascii="华文仿宋" w:hAnsi="华文仿宋" w:eastAsia="华文仿宋" w:cs="华文仿宋"/>
                <w:sz w:val="18"/>
                <w:szCs w:val="18"/>
              </w:rPr>
            </w:pPr>
            <w:r>
              <w:rPr>
                <w:rFonts w:ascii="华文仿宋" w:hAnsi="华文仿宋" w:eastAsia="华文仿宋" w:cs="华文仿宋"/>
                <w:spacing w:val="-5"/>
                <w:sz w:val="18"/>
                <w:szCs w:val="18"/>
              </w:rPr>
              <w:t>分。</w:t>
            </w:r>
          </w:p>
        </w:tc>
        <w:tc>
          <w:tcPr>
            <w:tcW w:w="684" w:type="dxa"/>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65" w:line="177" w:lineRule="auto"/>
              <w:ind w:left="308"/>
              <w:rPr>
                <w:rFonts w:ascii="华文仿宋" w:hAnsi="华文仿宋" w:eastAsia="华文仿宋" w:cs="华文仿宋"/>
                <w:sz w:val="18"/>
                <w:szCs w:val="18"/>
              </w:rPr>
            </w:pPr>
            <w:r>
              <w:rPr>
                <w:rFonts w:ascii="华文仿宋" w:hAnsi="华文仿宋" w:eastAsia="华文仿宋" w:cs="华文仿宋"/>
                <w:sz w:val="18"/>
                <w:szCs w:val="18"/>
              </w:rPr>
              <w:t>3</w:t>
            </w:r>
          </w:p>
        </w:tc>
        <w:tc>
          <w:tcPr>
            <w:tcW w:w="832" w:type="dxa"/>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spacing w:before="65"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566" w:hRule="atLeast"/>
        </w:trPr>
        <w:tc>
          <w:tcPr>
            <w:tcW w:w="1091" w:type="dxa"/>
            <w:vAlign w:val="top"/>
          </w:tcPr>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before="66" w:line="290" w:lineRule="auto"/>
              <w:ind w:left="306" w:right="182" w:hanging="109"/>
              <w:rPr>
                <w:rFonts w:ascii="华文仿宋" w:hAnsi="华文仿宋" w:eastAsia="华文仿宋" w:cs="华文仿宋"/>
                <w:sz w:val="18"/>
                <w:szCs w:val="18"/>
              </w:rPr>
            </w:pPr>
            <w:r>
              <w:rPr>
                <w:rFonts w:ascii="华文仿宋" w:hAnsi="华文仿宋" w:eastAsia="华文仿宋" w:cs="华文仿宋"/>
                <w:spacing w:val="-4"/>
                <w:sz w:val="18"/>
                <w:szCs w:val="18"/>
              </w:rPr>
              <w:t>部门绩效</w:t>
            </w:r>
            <w:r>
              <w:rPr>
                <w:rFonts w:ascii="华文仿宋" w:hAnsi="华文仿宋" w:eastAsia="华文仿宋" w:cs="华文仿宋"/>
                <w:spacing w:val="-7"/>
                <w:sz w:val="18"/>
                <w:szCs w:val="18"/>
              </w:rPr>
              <w:t>（50）</w:t>
            </w:r>
          </w:p>
        </w:tc>
        <w:tc>
          <w:tcPr>
            <w:tcW w:w="999" w:type="dxa"/>
            <w:vAlign w:val="top"/>
          </w:tcPr>
          <w:p>
            <w:pPr>
              <w:spacing w:line="270" w:lineRule="auto"/>
              <w:rPr>
                <w:rFonts w:ascii="Arial"/>
                <w:sz w:val="21"/>
              </w:rPr>
            </w:pPr>
          </w:p>
          <w:p>
            <w:pPr>
              <w:spacing w:line="271" w:lineRule="auto"/>
              <w:rPr>
                <w:rFonts w:ascii="Arial"/>
                <w:sz w:val="21"/>
              </w:rPr>
            </w:pPr>
          </w:p>
          <w:p>
            <w:pPr>
              <w:spacing w:line="271" w:lineRule="auto"/>
              <w:rPr>
                <w:rFonts w:ascii="Arial"/>
                <w:sz w:val="21"/>
              </w:rPr>
            </w:pPr>
          </w:p>
          <w:p>
            <w:pPr>
              <w:spacing w:before="65" w:line="270" w:lineRule="auto"/>
              <w:ind w:left="416" w:right="139" w:hanging="268"/>
              <w:rPr>
                <w:rFonts w:ascii="华文仿宋" w:hAnsi="华文仿宋" w:eastAsia="华文仿宋" w:cs="华文仿宋"/>
                <w:sz w:val="18"/>
                <w:szCs w:val="18"/>
              </w:rPr>
            </w:pPr>
            <w:r>
              <w:rPr>
                <w:rFonts w:ascii="华文仿宋" w:hAnsi="华文仿宋" w:eastAsia="华文仿宋" w:cs="华文仿宋"/>
                <w:spacing w:val="-4"/>
                <w:sz w:val="18"/>
                <w:szCs w:val="18"/>
              </w:rPr>
              <w:t>满意度情</w:t>
            </w:r>
            <w:r>
              <w:rPr>
                <w:rFonts w:ascii="华文仿宋" w:hAnsi="华文仿宋" w:eastAsia="华文仿宋" w:cs="华文仿宋"/>
                <w:sz w:val="18"/>
                <w:szCs w:val="18"/>
              </w:rPr>
              <w:t>况</w:t>
            </w:r>
          </w:p>
          <w:p>
            <w:pPr>
              <w:spacing w:line="283" w:lineRule="exact"/>
              <w:ind w:left="300"/>
              <w:rPr>
                <w:rFonts w:ascii="华文仿宋" w:hAnsi="华文仿宋" w:eastAsia="华文仿宋" w:cs="华文仿宋"/>
                <w:sz w:val="18"/>
                <w:szCs w:val="18"/>
              </w:rPr>
            </w:pPr>
            <w:r>
              <w:rPr>
                <w:rFonts w:ascii="华文仿宋" w:hAnsi="华文仿宋" w:eastAsia="华文仿宋" w:cs="华文仿宋"/>
                <w:spacing w:val="-9"/>
                <w:position w:val="3"/>
                <w:sz w:val="18"/>
                <w:szCs w:val="18"/>
              </w:rPr>
              <w:t>（5）</w:t>
            </w:r>
          </w:p>
        </w:tc>
        <w:tc>
          <w:tcPr>
            <w:tcW w:w="1167" w:type="dxa"/>
            <w:vAlign w:val="top"/>
          </w:tcPr>
          <w:p>
            <w:pPr>
              <w:spacing w:line="271" w:lineRule="auto"/>
              <w:rPr>
                <w:rFonts w:ascii="Arial"/>
                <w:sz w:val="21"/>
              </w:rPr>
            </w:pPr>
          </w:p>
          <w:p>
            <w:pPr>
              <w:spacing w:line="271" w:lineRule="auto"/>
              <w:rPr>
                <w:rFonts w:ascii="Arial"/>
                <w:sz w:val="21"/>
              </w:rPr>
            </w:pPr>
          </w:p>
          <w:p>
            <w:pPr>
              <w:spacing w:line="271" w:lineRule="auto"/>
              <w:rPr>
                <w:rFonts w:ascii="Arial"/>
                <w:sz w:val="21"/>
              </w:rPr>
            </w:pPr>
          </w:p>
          <w:p>
            <w:pPr>
              <w:spacing w:before="65" w:line="291" w:lineRule="auto"/>
              <w:ind w:left="142" w:right="133" w:firstLine="3"/>
              <w:jc w:val="both"/>
              <w:rPr>
                <w:rFonts w:ascii="华文仿宋" w:hAnsi="华文仿宋" w:eastAsia="华文仿宋" w:cs="华文仿宋"/>
                <w:sz w:val="18"/>
                <w:szCs w:val="18"/>
              </w:rPr>
            </w:pPr>
            <w:r>
              <w:rPr>
                <w:rFonts w:ascii="华文仿宋" w:hAnsi="华文仿宋" w:eastAsia="华文仿宋" w:cs="华文仿宋"/>
                <w:spacing w:val="-4"/>
                <w:sz w:val="18"/>
                <w:szCs w:val="18"/>
              </w:rPr>
              <w:t>补助对象对</w:t>
            </w:r>
            <w:r>
              <w:rPr>
                <w:rFonts w:ascii="华文仿宋" w:hAnsi="华文仿宋" w:eastAsia="华文仿宋" w:cs="华文仿宋"/>
                <w:spacing w:val="-3"/>
                <w:sz w:val="18"/>
                <w:szCs w:val="18"/>
              </w:rPr>
              <w:t>部门履职工</w:t>
            </w:r>
            <w:r>
              <w:rPr>
                <w:rFonts w:ascii="华文仿宋" w:hAnsi="华文仿宋" w:eastAsia="华文仿宋" w:cs="华文仿宋"/>
                <w:spacing w:val="19"/>
                <w:sz w:val="18"/>
                <w:szCs w:val="18"/>
              </w:rPr>
              <w:t>作满意度</w:t>
            </w:r>
          </w:p>
        </w:tc>
        <w:tc>
          <w:tcPr>
            <w:tcW w:w="665" w:type="dxa"/>
            <w:vAlign w:val="top"/>
          </w:tcPr>
          <w:p>
            <w:pPr>
              <w:spacing w:line="286" w:lineRule="auto"/>
              <w:rPr>
                <w:rFonts w:ascii="Arial"/>
                <w:sz w:val="21"/>
              </w:rPr>
            </w:pPr>
          </w:p>
          <w:p>
            <w:pPr>
              <w:spacing w:line="287" w:lineRule="auto"/>
              <w:rPr>
                <w:rFonts w:ascii="Arial"/>
                <w:sz w:val="21"/>
              </w:rPr>
            </w:pPr>
          </w:p>
          <w:p>
            <w:pPr>
              <w:spacing w:line="287" w:lineRule="auto"/>
              <w:rPr>
                <w:rFonts w:ascii="Arial"/>
                <w:sz w:val="21"/>
              </w:rPr>
            </w:pPr>
          </w:p>
          <w:p>
            <w:pPr>
              <w:spacing w:line="287" w:lineRule="auto"/>
              <w:rPr>
                <w:rFonts w:ascii="Arial"/>
                <w:sz w:val="21"/>
              </w:rPr>
            </w:pPr>
          </w:p>
          <w:p>
            <w:pPr>
              <w:spacing w:before="66" w:line="178" w:lineRule="auto"/>
              <w:ind w:left="297"/>
              <w:rPr>
                <w:rFonts w:ascii="华文仿宋" w:hAnsi="华文仿宋" w:eastAsia="华文仿宋" w:cs="华文仿宋"/>
                <w:sz w:val="18"/>
                <w:szCs w:val="18"/>
              </w:rPr>
            </w:pPr>
            <w:r>
              <w:rPr>
                <w:rFonts w:ascii="华文仿宋" w:hAnsi="华文仿宋" w:eastAsia="华文仿宋" w:cs="华文仿宋"/>
                <w:sz w:val="18"/>
                <w:szCs w:val="18"/>
              </w:rPr>
              <w:t>5</w:t>
            </w:r>
          </w:p>
        </w:tc>
        <w:tc>
          <w:tcPr>
            <w:tcW w:w="3011" w:type="dxa"/>
            <w:vAlign w:val="top"/>
          </w:tcPr>
          <w:p>
            <w:pPr>
              <w:spacing w:line="312" w:lineRule="auto"/>
              <w:rPr>
                <w:rFonts w:ascii="Arial"/>
                <w:sz w:val="21"/>
              </w:rPr>
            </w:pPr>
          </w:p>
          <w:p>
            <w:pPr>
              <w:spacing w:before="65" w:line="286" w:lineRule="auto"/>
              <w:ind w:left="114" w:right="202"/>
              <w:rPr>
                <w:rFonts w:ascii="华文仿宋" w:hAnsi="华文仿宋" w:eastAsia="华文仿宋" w:cs="华文仿宋"/>
                <w:sz w:val="18"/>
                <w:szCs w:val="18"/>
              </w:rPr>
            </w:pPr>
            <w:r>
              <w:rPr>
                <w:rFonts w:ascii="华文仿宋" w:hAnsi="华文仿宋" w:eastAsia="华文仿宋" w:cs="华文仿宋"/>
                <w:spacing w:val="-3"/>
                <w:sz w:val="18"/>
                <w:szCs w:val="18"/>
              </w:rPr>
              <w:t>反映补助对象或部门（单位）的服</w:t>
            </w:r>
            <w:r>
              <w:rPr>
                <w:rFonts w:ascii="华文仿宋" w:hAnsi="华文仿宋" w:eastAsia="华文仿宋" w:cs="华文仿宋"/>
                <w:spacing w:val="-1"/>
                <w:sz w:val="18"/>
                <w:szCs w:val="18"/>
              </w:rPr>
              <w:t>务对象对部门履职效果的满意度。</w:t>
            </w:r>
          </w:p>
          <w:p>
            <w:pPr>
              <w:spacing w:line="284" w:lineRule="auto"/>
              <w:ind w:left="114" w:right="120" w:firstLine="2"/>
              <w:rPr>
                <w:rFonts w:ascii="华文仿宋" w:hAnsi="华文仿宋" w:eastAsia="华文仿宋" w:cs="华文仿宋"/>
                <w:sz w:val="18"/>
                <w:szCs w:val="18"/>
              </w:rPr>
            </w:pPr>
            <w:r>
              <w:rPr>
                <w:rFonts w:ascii="华文仿宋" w:hAnsi="华文仿宋" w:eastAsia="华文仿宋" w:cs="华文仿宋"/>
                <w:spacing w:val="-1"/>
                <w:sz w:val="18"/>
                <w:szCs w:val="18"/>
              </w:rPr>
              <w:t>每题满意度=(每题满意人数/每题调</w:t>
            </w:r>
            <w:r>
              <w:rPr>
                <w:rFonts w:ascii="华文仿宋" w:hAnsi="华文仿宋" w:eastAsia="华文仿宋" w:cs="华文仿宋"/>
                <w:spacing w:val="-6"/>
                <w:sz w:val="18"/>
                <w:szCs w:val="18"/>
              </w:rPr>
              <w:t>查总人数)×100%</w:t>
            </w:r>
          </w:p>
          <w:p>
            <w:pPr>
              <w:spacing w:before="3" w:line="293" w:lineRule="auto"/>
              <w:ind w:left="121" w:right="170" w:hanging="1"/>
              <w:rPr>
                <w:rFonts w:ascii="华文仿宋" w:hAnsi="华文仿宋" w:eastAsia="华文仿宋" w:cs="华文仿宋"/>
                <w:sz w:val="18"/>
                <w:szCs w:val="18"/>
              </w:rPr>
            </w:pPr>
            <w:r>
              <w:rPr>
                <w:rFonts w:ascii="华文仿宋" w:hAnsi="华文仿宋" w:eastAsia="华文仿宋" w:cs="华文仿宋"/>
                <w:spacing w:val="-1"/>
                <w:sz w:val="18"/>
                <w:szCs w:val="18"/>
              </w:rPr>
              <w:t>综合满意度=每题满意度合计/总题</w:t>
            </w:r>
            <w:r>
              <w:rPr>
                <w:rFonts w:ascii="华文仿宋" w:hAnsi="华文仿宋" w:eastAsia="华文仿宋" w:cs="华文仿宋"/>
                <w:sz w:val="18"/>
                <w:szCs w:val="18"/>
              </w:rPr>
              <w:t>数</w:t>
            </w:r>
          </w:p>
        </w:tc>
        <w:tc>
          <w:tcPr>
            <w:tcW w:w="918" w:type="dxa"/>
            <w:vAlign w:val="top"/>
          </w:tcPr>
          <w:p>
            <w:pPr>
              <w:spacing w:line="287" w:lineRule="auto"/>
              <w:rPr>
                <w:rFonts w:ascii="Arial"/>
                <w:sz w:val="21"/>
              </w:rPr>
            </w:pPr>
          </w:p>
          <w:p>
            <w:pPr>
              <w:spacing w:line="287" w:lineRule="auto"/>
              <w:rPr>
                <w:rFonts w:ascii="Arial"/>
                <w:sz w:val="21"/>
              </w:rPr>
            </w:pPr>
          </w:p>
          <w:p>
            <w:pPr>
              <w:spacing w:line="287" w:lineRule="auto"/>
              <w:rPr>
                <w:rFonts w:ascii="Arial"/>
                <w:sz w:val="21"/>
              </w:rPr>
            </w:pPr>
          </w:p>
          <w:p>
            <w:pPr>
              <w:spacing w:line="287" w:lineRule="auto"/>
              <w:rPr>
                <w:rFonts w:ascii="Arial"/>
                <w:sz w:val="21"/>
              </w:rPr>
            </w:pPr>
          </w:p>
          <w:p>
            <w:pPr>
              <w:spacing w:before="66" w:line="177" w:lineRule="auto"/>
              <w:ind w:left="239"/>
              <w:rPr>
                <w:rFonts w:ascii="华文仿宋" w:hAnsi="华文仿宋" w:eastAsia="华文仿宋" w:cs="华文仿宋"/>
                <w:sz w:val="18"/>
                <w:szCs w:val="18"/>
              </w:rPr>
            </w:pPr>
            <w:r>
              <w:rPr>
                <w:rFonts w:ascii="华文仿宋" w:hAnsi="华文仿宋" w:eastAsia="华文仿宋" w:cs="华文仿宋"/>
                <w:spacing w:val="-9"/>
                <w:sz w:val="18"/>
                <w:szCs w:val="18"/>
              </w:rPr>
              <w:t>≥90%</w:t>
            </w:r>
          </w:p>
        </w:tc>
        <w:tc>
          <w:tcPr>
            <w:tcW w:w="2171" w:type="dxa"/>
            <w:vAlign w:val="top"/>
          </w:tcPr>
          <w:p>
            <w:pPr>
              <w:spacing w:line="329" w:lineRule="auto"/>
              <w:rPr>
                <w:rFonts w:ascii="Arial"/>
                <w:sz w:val="21"/>
              </w:rPr>
            </w:pPr>
          </w:p>
          <w:p>
            <w:pPr>
              <w:spacing w:line="330" w:lineRule="auto"/>
              <w:rPr>
                <w:rFonts w:ascii="Arial"/>
                <w:sz w:val="21"/>
              </w:rPr>
            </w:pPr>
          </w:p>
          <w:p>
            <w:pPr>
              <w:spacing w:before="65" w:line="289" w:lineRule="auto"/>
              <w:ind w:left="112" w:right="259" w:firstLine="9"/>
              <w:jc w:val="both"/>
              <w:rPr>
                <w:rFonts w:ascii="华文仿宋" w:hAnsi="华文仿宋" w:eastAsia="华文仿宋" w:cs="华文仿宋"/>
                <w:sz w:val="18"/>
                <w:szCs w:val="18"/>
              </w:rPr>
            </w:pPr>
            <w:r>
              <w:rPr>
                <w:rFonts w:ascii="华文仿宋" w:hAnsi="华文仿宋" w:eastAsia="华文仿宋" w:cs="华文仿宋"/>
                <w:spacing w:val="-2"/>
                <w:sz w:val="18"/>
                <w:szCs w:val="18"/>
              </w:rPr>
              <w:t>调查的补助对象综合满</w:t>
            </w:r>
            <w:r>
              <w:rPr>
                <w:rFonts w:ascii="华文仿宋" w:hAnsi="华文仿宋" w:eastAsia="华文仿宋" w:cs="华文仿宋"/>
                <w:spacing w:val="-1"/>
                <w:sz w:val="18"/>
                <w:szCs w:val="18"/>
              </w:rPr>
              <w:t>意度达90%及以上的，</w:t>
            </w:r>
            <w:r>
              <w:rPr>
                <w:rFonts w:ascii="华文仿宋" w:hAnsi="华文仿宋" w:eastAsia="华文仿宋" w:cs="华文仿宋"/>
                <w:spacing w:val="-6"/>
                <w:sz w:val="18"/>
                <w:szCs w:val="18"/>
              </w:rPr>
              <w:t>得6分，每降低1%扣</w:t>
            </w:r>
            <w:r>
              <w:rPr>
                <w:rFonts w:ascii="华文仿宋" w:hAnsi="华文仿宋" w:eastAsia="华文仿宋" w:cs="华文仿宋"/>
                <w:spacing w:val="-4"/>
                <w:sz w:val="18"/>
                <w:szCs w:val="18"/>
              </w:rPr>
              <w:t>0.15分，扣完为止。</w:t>
            </w:r>
          </w:p>
        </w:tc>
        <w:tc>
          <w:tcPr>
            <w:tcW w:w="4007" w:type="dxa"/>
            <w:vAlign w:val="top"/>
          </w:tcPr>
          <w:p>
            <w:pPr>
              <w:spacing w:before="258" w:line="202" w:lineRule="auto"/>
              <w:ind w:left="116"/>
              <w:rPr>
                <w:rFonts w:ascii="华文仿宋" w:hAnsi="华文仿宋" w:eastAsia="华文仿宋" w:cs="华文仿宋"/>
                <w:sz w:val="18"/>
                <w:szCs w:val="18"/>
              </w:rPr>
            </w:pPr>
            <w:r>
              <w:rPr>
                <w:rFonts w:ascii="华文仿宋" w:hAnsi="华文仿宋" w:eastAsia="华文仿宋" w:cs="华文仿宋"/>
                <w:spacing w:val="-1"/>
                <w:sz w:val="18"/>
                <w:szCs w:val="18"/>
              </w:rPr>
              <w:t>根据区民政局主要履职工作及2025年工作内</w:t>
            </w:r>
          </w:p>
          <w:p>
            <w:pPr>
              <w:spacing w:before="95" w:line="287" w:lineRule="auto"/>
              <w:ind w:left="115" w:right="122" w:firstLine="1"/>
              <w:rPr>
                <w:rFonts w:ascii="华文仿宋" w:hAnsi="华文仿宋" w:eastAsia="华文仿宋" w:cs="华文仿宋"/>
                <w:sz w:val="18"/>
                <w:szCs w:val="18"/>
              </w:rPr>
            </w:pPr>
            <w:r>
              <w:rPr>
                <w:rFonts w:ascii="华文仿宋" w:hAnsi="华文仿宋" w:eastAsia="华文仿宋" w:cs="华文仿宋"/>
                <w:spacing w:val="-5"/>
                <w:sz w:val="18"/>
                <w:szCs w:val="18"/>
              </w:rPr>
              <w:t>容，评价组随机对100人进行满意度调查，共计</w:t>
            </w:r>
            <w:r>
              <w:rPr>
                <w:rFonts w:ascii="华文仿宋" w:hAnsi="华文仿宋" w:eastAsia="华文仿宋" w:cs="华文仿宋"/>
                <w:spacing w:val="-4"/>
                <w:sz w:val="18"/>
                <w:szCs w:val="18"/>
              </w:rPr>
              <w:t>发放100份问卷，实际收回有效问卷共100份。针对城市低保补助、残疾人两项、老年人补贴、</w:t>
            </w:r>
            <w:r>
              <w:rPr>
                <w:rFonts w:ascii="华文仿宋" w:hAnsi="华文仿宋" w:eastAsia="华文仿宋" w:cs="华文仿宋"/>
                <w:spacing w:val="-3"/>
                <w:sz w:val="18"/>
                <w:szCs w:val="18"/>
              </w:rPr>
              <w:t>失地搬迁补贴4方面做出满意度调查，补助对象</w:t>
            </w:r>
            <w:r>
              <w:rPr>
                <w:rFonts w:ascii="华文仿宋" w:hAnsi="华文仿宋" w:eastAsia="华文仿宋" w:cs="华文仿宋"/>
                <w:spacing w:val="-4"/>
                <w:sz w:val="18"/>
                <w:szCs w:val="18"/>
              </w:rPr>
              <w:t>整体满意度为100%。依据评价标准，该指标得</w:t>
            </w:r>
            <w:r>
              <w:rPr>
                <w:rFonts w:ascii="华文仿宋" w:hAnsi="华文仿宋" w:eastAsia="华文仿宋" w:cs="华文仿宋"/>
                <w:spacing w:val="-3"/>
                <w:sz w:val="18"/>
                <w:szCs w:val="18"/>
              </w:rPr>
              <w:t>满分。</w:t>
            </w:r>
          </w:p>
        </w:tc>
        <w:tc>
          <w:tcPr>
            <w:tcW w:w="684" w:type="dxa"/>
            <w:vAlign w:val="top"/>
          </w:tcPr>
          <w:p>
            <w:pPr>
              <w:spacing w:line="286" w:lineRule="auto"/>
              <w:rPr>
                <w:rFonts w:ascii="Arial"/>
                <w:sz w:val="21"/>
              </w:rPr>
            </w:pPr>
          </w:p>
          <w:p>
            <w:pPr>
              <w:spacing w:line="287" w:lineRule="auto"/>
              <w:rPr>
                <w:rFonts w:ascii="Arial"/>
                <w:sz w:val="21"/>
              </w:rPr>
            </w:pPr>
          </w:p>
          <w:p>
            <w:pPr>
              <w:spacing w:line="287" w:lineRule="auto"/>
              <w:rPr>
                <w:rFonts w:ascii="Arial"/>
                <w:sz w:val="21"/>
              </w:rPr>
            </w:pPr>
          </w:p>
          <w:p>
            <w:pPr>
              <w:spacing w:line="287" w:lineRule="auto"/>
              <w:rPr>
                <w:rFonts w:ascii="Arial"/>
                <w:sz w:val="21"/>
              </w:rPr>
            </w:pPr>
          </w:p>
          <w:p>
            <w:pPr>
              <w:spacing w:before="66" w:line="178" w:lineRule="auto"/>
              <w:ind w:left="311"/>
              <w:rPr>
                <w:rFonts w:ascii="华文仿宋" w:hAnsi="华文仿宋" w:eastAsia="华文仿宋" w:cs="华文仿宋"/>
                <w:sz w:val="18"/>
                <w:szCs w:val="18"/>
              </w:rPr>
            </w:pPr>
            <w:r>
              <w:rPr>
                <w:rFonts w:ascii="华文仿宋" w:hAnsi="华文仿宋" w:eastAsia="华文仿宋" w:cs="华文仿宋"/>
                <w:sz w:val="18"/>
                <w:szCs w:val="18"/>
              </w:rPr>
              <w:t>5</w:t>
            </w:r>
          </w:p>
        </w:tc>
        <w:tc>
          <w:tcPr>
            <w:tcW w:w="832" w:type="dxa"/>
            <w:vAlign w:val="top"/>
          </w:tcPr>
          <w:p>
            <w:pPr>
              <w:spacing w:line="287" w:lineRule="auto"/>
              <w:rPr>
                <w:rFonts w:ascii="Arial"/>
                <w:sz w:val="21"/>
              </w:rPr>
            </w:pPr>
          </w:p>
          <w:p>
            <w:pPr>
              <w:spacing w:line="287" w:lineRule="auto"/>
              <w:rPr>
                <w:rFonts w:ascii="Arial"/>
                <w:sz w:val="21"/>
              </w:rPr>
            </w:pPr>
          </w:p>
          <w:p>
            <w:pPr>
              <w:spacing w:line="287" w:lineRule="auto"/>
              <w:rPr>
                <w:rFonts w:ascii="Arial"/>
                <w:sz w:val="21"/>
              </w:rPr>
            </w:pPr>
          </w:p>
          <w:p>
            <w:pPr>
              <w:spacing w:line="287" w:lineRule="auto"/>
              <w:rPr>
                <w:rFonts w:ascii="Arial"/>
                <w:sz w:val="21"/>
              </w:rPr>
            </w:pPr>
          </w:p>
          <w:p>
            <w:pPr>
              <w:spacing w:before="66" w:line="177" w:lineRule="auto"/>
              <w:ind w:left="227"/>
              <w:rPr>
                <w:rFonts w:ascii="华文仿宋" w:hAnsi="华文仿宋" w:eastAsia="华文仿宋" w:cs="华文仿宋"/>
                <w:sz w:val="18"/>
                <w:szCs w:val="18"/>
              </w:rPr>
            </w:pPr>
            <w:r>
              <w:rPr>
                <w:rFonts w:ascii="华文仿宋" w:hAnsi="华文仿宋" w:eastAsia="华文仿宋" w:cs="华文仿宋"/>
                <w:spacing w:val="-4"/>
                <w:sz w:val="18"/>
                <w:szCs w:val="18"/>
              </w:rPr>
              <w:t>100%</w:t>
            </w:r>
          </w:p>
        </w:tc>
      </w:tr>
    </w:tbl>
    <w:p>
      <w:pPr>
        <w:pStyle w:val="2"/>
      </w:pPr>
    </w:p>
    <w:p>
      <w:pPr>
        <w:sectPr>
          <w:footerReference r:id="rId24" w:type="default"/>
          <w:pgSz w:w="16839" w:h="11906"/>
          <w:pgMar w:top="1012" w:right="595" w:bottom="1575" w:left="692" w:header="0" w:footer="1289" w:gutter="0"/>
          <w:pgNumType w:fmt="decimal"/>
          <w:cols w:space="720" w:num="1"/>
        </w:sectPr>
      </w:pPr>
    </w:p>
    <w:p>
      <w:pPr>
        <w:pStyle w:val="2"/>
        <w:spacing w:line="287" w:lineRule="auto"/>
      </w:pPr>
    </w:p>
    <w:p>
      <w:pPr>
        <w:pStyle w:val="2"/>
        <w:spacing w:line="287" w:lineRule="auto"/>
      </w:pPr>
    </w:p>
    <w:p>
      <w:pPr>
        <w:spacing w:before="102" w:line="201" w:lineRule="auto"/>
        <w:ind w:left="140" w:firstLine="231" w:firstLineChars="100"/>
        <w:rPr>
          <w:rFonts w:hint="eastAsia" w:ascii="仿宋" w:hAnsi="仿宋" w:eastAsia="仿宋" w:cs="仿宋"/>
          <w:sz w:val="24"/>
          <w:szCs w:val="24"/>
        </w:rPr>
      </w:pPr>
      <w:r>
        <w:rPr>
          <w:rFonts w:hint="eastAsia" w:ascii="仿宋" w:hAnsi="仿宋" w:eastAsia="仿宋" w:cs="仿宋"/>
          <w:b/>
          <w:bCs/>
          <w:spacing w:val="-5"/>
          <w:sz w:val="24"/>
          <w:szCs w:val="24"/>
        </w:rPr>
        <w:t>附件一：部门整体绩效评价指标体系评分表</w:t>
      </w:r>
    </w:p>
    <w:p>
      <w:pPr>
        <w:spacing w:line="109" w:lineRule="exact"/>
      </w:pPr>
    </w:p>
    <w:tbl>
      <w:tblPr>
        <w:tblStyle w:val="7"/>
        <w:tblW w:w="1554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1"/>
        <w:gridCol w:w="999"/>
        <w:gridCol w:w="1167"/>
        <w:gridCol w:w="665"/>
        <w:gridCol w:w="3011"/>
        <w:gridCol w:w="918"/>
        <w:gridCol w:w="2171"/>
        <w:gridCol w:w="4007"/>
        <w:gridCol w:w="684"/>
        <w:gridCol w:w="8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95" w:hRule="atLeast"/>
        </w:trPr>
        <w:tc>
          <w:tcPr>
            <w:tcW w:w="1091" w:type="dxa"/>
            <w:vAlign w:val="top"/>
          </w:tcPr>
          <w:p>
            <w:pPr>
              <w:spacing w:before="112" w:line="199" w:lineRule="auto"/>
              <w:ind w:left="201"/>
              <w:rPr>
                <w:rFonts w:ascii="华文仿宋" w:hAnsi="华文仿宋" w:eastAsia="华文仿宋" w:cs="华文仿宋"/>
                <w:sz w:val="18"/>
                <w:szCs w:val="18"/>
              </w:rPr>
            </w:pPr>
            <w:r>
              <w:rPr>
                <w:rFonts w:ascii="华文仿宋" w:hAnsi="华文仿宋" w:eastAsia="华文仿宋" w:cs="华文仿宋"/>
                <w:b/>
                <w:bCs/>
                <w:spacing w:val="-7"/>
                <w:sz w:val="18"/>
                <w:szCs w:val="18"/>
              </w:rPr>
              <w:t>一级指标</w:t>
            </w:r>
          </w:p>
        </w:tc>
        <w:tc>
          <w:tcPr>
            <w:tcW w:w="999" w:type="dxa"/>
            <w:vAlign w:val="top"/>
          </w:tcPr>
          <w:p>
            <w:pPr>
              <w:spacing w:before="112" w:line="199" w:lineRule="auto"/>
              <w:ind w:left="152"/>
              <w:rPr>
                <w:rFonts w:ascii="华文仿宋" w:hAnsi="华文仿宋" w:eastAsia="华文仿宋" w:cs="华文仿宋"/>
                <w:sz w:val="18"/>
                <w:szCs w:val="18"/>
              </w:rPr>
            </w:pPr>
            <w:r>
              <w:rPr>
                <w:rFonts w:ascii="华文仿宋" w:hAnsi="华文仿宋" w:eastAsia="华文仿宋" w:cs="华文仿宋"/>
                <w:b/>
                <w:bCs/>
                <w:spacing w:val="-7"/>
                <w:sz w:val="18"/>
                <w:szCs w:val="18"/>
              </w:rPr>
              <w:t>二级指标</w:t>
            </w:r>
          </w:p>
        </w:tc>
        <w:tc>
          <w:tcPr>
            <w:tcW w:w="1167" w:type="dxa"/>
            <w:vAlign w:val="top"/>
          </w:tcPr>
          <w:p>
            <w:pPr>
              <w:spacing w:before="112" w:line="199" w:lineRule="auto"/>
              <w:ind w:left="241"/>
              <w:rPr>
                <w:rFonts w:ascii="华文仿宋" w:hAnsi="华文仿宋" w:eastAsia="华文仿宋" w:cs="华文仿宋"/>
                <w:sz w:val="18"/>
                <w:szCs w:val="18"/>
              </w:rPr>
            </w:pPr>
            <w:r>
              <w:rPr>
                <w:rFonts w:ascii="华文仿宋" w:hAnsi="华文仿宋" w:eastAsia="华文仿宋" w:cs="华文仿宋"/>
                <w:b/>
                <w:bCs/>
                <w:spacing w:val="-8"/>
                <w:sz w:val="18"/>
                <w:szCs w:val="18"/>
              </w:rPr>
              <w:t>三级指标</w:t>
            </w:r>
          </w:p>
        </w:tc>
        <w:tc>
          <w:tcPr>
            <w:tcW w:w="665" w:type="dxa"/>
            <w:vAlign w:val="top"/>
          </w:tcPr>
          <w:p>
            <w:pPr>
              <w:spacing w:before="113" w:line="198" w:lineRule="auto"/>
              <w:ind w:left="159"/>
              <w:rPr>
                <w:rFonts w:ascii="华文仿宋" w:hAnsi="华文仿宋" w:eastAsia="华文仿宋" w:cs="华文仿宋"/>
                <w:sz w:val="18"/>
                <w:szCs w:val="18"/>
              </w:rPr>
            </w:pPr>
            <w:r>
              <w:rPr>
                <w:rFonts w:ascii="华文仿宋" w:hAnsi="华文仿宋" w:eastAsia="华文仿宋" w:cs="华文仿宋"/>
                <w:b/>
                <w:bCs/>
                <w:spacing w:val="-7"/>
                <w:sz w:val="18"/>
                <w:szCs w:val="18"/>
              </w:rPr>
              <w:t>权重</w:t>
            </w:r>
          </w:p>
        </w:tc>
        <w:tc>
          <w:tcPr>
            <w:tcW w:w="3011" w:type="dxa"/>
            <w:vAlign w:val="top"/>
          </w:tcPr>
          <w:p>
            <w:pPr>
              <w:spacing w:before="112" w:line="199" w:lineRule="auto"/>
              <w:ind w:left="705"/>
              <w:rPr>
                <w:rFonts w:ascii="华文仿宋" w:hAnsi="华文仿宋" w:eastAsia="华文仿宋" w:cs="华文仿宋"/>
                <w:sz w:val="18"/>
                <w:szCs w:val="18"/>
              </w:rPr>
            </w:pPr>
            <w:r>
              <w:rPr>
                <w:rFonts w:ascii="华文仿宋" w:hAnsi="华文仿宋" w:eastAsia="华文仿宋" w:cs="华文仿宋"/>
                <w:b/>
                <w:bCs/>
                <w:spacing w:val="-4"/>
                <w:sz w:val="18"/>
                <w:szCs w:val="18"/>
              </w:rPr>
              <w:t>指标解释及评价要点</w:t>
            </w:r>
          </w:p>
        </w:tc>
        <w:tc>
          <w:tcPr>
            <w:tcW w:w="918" w:type="dxa"/>
            <w:vAlign w:val="top"/>
          </w:tcPr>
          <w:p>
            <w:pPr>
              <w:spacing w:before="112" w:line="199" w:lineRule="auto"/>
              <w:ind w:left="197"/>
              <w:rPr>
                <w:rFonts w:ascii="华文仿宋" w:hAnsi="华文仿宋" w:eastAsia="华文仿宋" w:cs="华文仿宋"/>
                <w:sz w:val="18"/>
                <w:szCs w:val="18"/>
              </w:rPr>
            </w:pPr>
            <w:r>
              <w:rPr>
                <w:rFonts w:ascii="华文仿宋" w:hAnsi="华文仿宋" w:eastAsia="华文仿宋" w:cs="华文仿宋"/>
                <w:b/>
                <w:bCs/>
                <w:spacing w:val="-6"/>
                <w:sz w:val="18"/>
                <w:szCs w:val="18"/>
              </w:rPr>
              <w:t>标杆值</w:t>
            </w:r>
          </w:p>
        </w:tc>
        <w:tc>
          <w:tcPr>
            <w:tcW w:w="2171" w:type="dxa"/>
            <w:vAlign w:val="top"/>
          </w:tcPr>
          <w:p>
            <w:pPr>
              <w:spacing w:before="112" w:line="199" w:lineRule="auto"/>
              <w:ind w:left="730"/>
              <w:rPr>
                <w:rFonts w:ascii="华文仿宋" w:hAnsi="华文仿宋" w:eastAsia="华文仿宋" w:cs="华文仿宋"/>
                <w:sz w:val="18"/>
                <w:szCs w:val="18"/>
              </w:rPr>
            </w:pPr>
            <w:r>
              <w:rPr>
                <w:rFonts w:ascii="华文仿宋" w:hAnsi="华文仿宋" w:eastAsia="华文仿宋" w:cs="华文仿宋"/>
                <w:b/>
                <w:bCs/>
                <w:spacing w:val="-4"/>
                <w:sz w:val="18"/>
                <w:szCs w:val="18"/>
              </w:rPr>
              <w:t>评价标准</w:t>
            </w:r>
          </w:p>
        </w:tc>
        <w:tc>
          <w:tcPr>
            <w:tcW w:w="4007" w:type="dxa"/>
            <w:vAlign w:val="top"/>
          </w:tcPr>
          <w:p>
            <w:pPr>
              <w:spacing w:before="113" w:line="198" w:lineRule="auto"/>
              <w:ind w:left="1648"/>
              <w:rPr>
                <w:rFonts w:ascii="华文仿宋" w:hAnsi="华文仿宋" w:eastAsia="华文仿宋" w:cs="华文仿宋"/>
                <w:sz w:val="18"/>
                <w:szCs w:val="18"/>
              </w:rPr>
            </w:pPr>
            <w:r>
              <w:rPr>
                <w:rFonts w:ascii="华文仿宋" w:hAnsi="华文仿宋" w:eastAsia="华文仿宋" w:cs="华文仿宋"/>
                <w:b/>
                <w:bCs/>
                <w:spacing w:val="-4"/>
                <w:sz w:val="18"/>
                <w:szCs w:val="18"/>
              </w:rPr>
              <w:t>评分过程</w:t>
            </w:r>
          </w:p>
        </w:tc>
        <w:tc>
          <w:tcPr>
            <w:tcW w:w="684" w:type="dxa"/>
            <w:vAlign w:val="top"/>
          </w:tcPr>
          <w:p>
            <w:pPr>
              <w:spacing w:before="114" w:line="197" w:lineRule="auto"/>
              <w:ind w:left="172"/>
              <w:rPr>
                <w:rFonts w:ascii="华文仿宋" w:hAnsi="华文仿宋" w:eastAsia="华文仿宋" w:cs="华文仿宋"/>
                <w:sz w:val="18"/>
                <w:szCs w:val="18"/>
              </w:rPr>
            </w:pPr>
            <w:r>
              <w:rPr>
                <w:rFonts w:ascii="华文仿宋" w:hAnsi="华文仿宋" w:eastAsia="华文仿宋" w:cs="华文仿宋"/>
                <w:b/>
                <w:bCs/>
                <w:spacing w:val="-8"/>
                <w:sz w:val="18"/>
                <w:szCs w:val="18"/>
              </w:rPr>
              <w:t>得分</w:t>
            </w:r>
          </w:p>
        </w:tc>
        <w:tc>
          <w:tcPr>
            <w:tcW w:w="832" w:type="dxa"/>
            <w:vAlign w:val="top"/>
          </w:tcPr>
          <w:p>
            <w:pPr>
              <w:spacing w:before="111" w:line="200" w:lineRule="auto"/>
              <w:ind w:left="152"/>
              <w:rPr>
                <w:rFonts w:ascii="华文仿宋" w:hAnsi="华文仿宋" w:eastAsia="华文仿宋" w:cs="华文仿宋"/>
                <w:sz w:val="18"/>
                <w:szCs w:val="18"/>
              </w:rPr>
            </w:pPr>
            <w:r>
              <w:rPr>
                <w:rFonts w:ascii="华文仿宋" w:hAnsi="华文仿宋" w:eastAsia="华文仿宋" w:cs="华文仿宋"/>
                <w:b/>
                <w:bCs/>
                <w:spacing w:val="-6"/>
                <w:sz w:val="18"/>
                <w:szCs w:val="18"/>
              </w:rPr>
              <w:t>得分率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0" w:hRule="atLeast"/>
        </w:trPr>
        <w:tc>
          <w:tcPr>
            <w:tcW w:w="1091" w:type="dxa"/>
            <w:vAlign w:val="top"/>
          </w:tcPr>
          <w:p>
            <w:pPr>
              <w:spacing w:before="231" w:line="196" w:lineRule="auto"/>
              <w:ind w:left="388"/>
              <w:rPr>
                <w:rFonts w:ascii="华文仿宋" w:hAnsi="华文仿宋" w:eastAsia="华文仿宋" w:cs="华文仿宋"/>
                <w:sz w:val="18"/>
                <w:szCs w:val="18"/>
              </w:rPr>
            </w:pPr>
            <w:r>
              <w:rPr>
                <w:rFonts w:ascii="华文仿宋" w:hAnsi="华文仿宋" w:eastAsia="华文仿宋" w:cs="华文仿宋"/>
                <w:b/>
                <w:bCs/>
                <w:spacing w:val="-15"/>
                <w:sz w:val="18"/>
                <w:szCs w:val="18"/>
              </w:rPr>
              <w:t>总分</w:t>
            </w:r>
          </w:p>
        </w:tc>
        <w:tc>
          <w:tcPr>
            <w:tcW w:w="999" w:type="dxa"/>
            <w:vAlign w:val="top"/>
          </w:tcPr>
          <w:p>
            <w:pPr>
              <w:rPr>
                <w:rFonts w:ascii="Arial"/>
                <w:sz w:val="21"/>
              </w:rPr>
            </w:pPr>
          </w:p>
        </w:tc>
        <w:tc>
          <w:tcPr>
            <w:tcW w:w="1167" w:type="dxa"/>
            <w:vAlign w:val="top"/>
          </w:tcPr>
          <w:p>
            <w:pPr>
              <w:rPr>
                <w:rFonts w:ascii="Arial"/>
                <w:sz w:val="21"/>
              </w:rPr>
            </w:pPr>
          </w:p>
        </w:tc>
        <w:tc>
          <w:tcPr>
            <w:tcW w:w="665" w:type="dxa"/>
            <w:vAlign w:val="top"/>
          </w:tcPr>
          <w:p>
            <w:pPr>
              <w:spacing w:before="252" w:line="177" w:lineRule="auto"/>
              <w:ind w:left="216"/>
              <w:rPr>
                <w:rFonts w:ascii="华文仿宋" w:hAnsi="华文仿宋" w:eastAsia="华文仿宋" w:cs="华文仿宋"/>
                <w:sz w:val="18"/>
                <w:szCs w:val="18"/>
              </w:rPr>
            </w:pPr>
            <w:r>
              <w:rPr>
                <w:rFonts w:ascii="华文仿宋" w:hAnsi="华文仿宋" w:eastAsia="华文仿宋" w:cs="华文仿宋"/>
                <w:b/>
                <w:bCs/>
                <w:spacing w:val="-6"/>
                <w:sz w:val="18"/>
                <w:szCs w:val="18"/>
              </w:rPr>
              <w:t>100</w:t>
            </w:r>
          </w:p>
        </w:tc>
        <w:tc>
          <w:tcPr>
            <w:tcW w:w="3011" w:type="dxa"/>
            <w:vAlign w:val="top"/>
          </w:tcPr>
          <w:p>
            <w:pPr>
              <w:rPr>
                <w:rFonts w:ascii="Arial"/>
                <w:sz w:val="21"/>
              </w:rPr>
            </w:pPr>
          </w:p>
        </w:tc>
        <w:tc>
          <w:tcPr>
            <w:tcW w:w="918" w:type="dxa"/>
            <w:vAlign w:val="top"/>
          </w:tcPr>
          <w:p>
            <w:pPr>
              <w:rPr>
                <w:rFonts w:ascii="Arial"/>
                <w:sz w:val="21"/>
              </w:rPr>
            </w:pPr>
          </w:p>
        </w:tc>
        <w:tc>
          <w:tcPr>
            <w:tcW w:w="2171" w:type="dxa"/>
            <w:vAlign w:val="top"/>
          </w:tcPr>
          <w:p>
            <w:pPr>
              <w:rPr>
                <w:rFonts w:ascii="Arial"/>
                <w:sz w:val="21"/>
              </w:rPr>
            </w:pPr>
          </w:p>
        </w:tc>
        <w:tc>
          <w:tcPr>
            <w:tcW w:w="4007" w:type="dxa"/>
            <w:vAlign w:val="top"/>
          </w:tcPr>
          <w:p>
            <w:pPr>
              <w:rPr>
                <w:rFonts w:ascii="Arial"/>
                <w:sz w:val="21"/>
              </w:rPr>
            </w:pPr>
          </w:p>
        </w:tc>
        <w:tc>
          <w:tcPr>
            <w:tcW w:w="684" w:type="dxa"/>
            <w:vAlign w:val="top"/>
          </w:tcPr>
          <w:p>
            <w:pPr>
              <w:spacing w:before="98" w:line="239" w:lineRule="auto"/>
              <w:ind w:left="260" w:right="191" w:hanging="54"/>
              <w:rPr>
                <w:rFonts w:ascii="华文仿宋" w:hAnsi="华文仿宋" w:eastAsia="华文仿宋" w:cs="华文仿宋"/>
                <w:sz w:val="18"/>
                <w:szCs w:val="18"/>
              </w:rPr>
            </w:pPr>
            <w:r>
              <w:rPr>
                <w:rFonts w:ascii="华文仿宋" w:hAnsi="华文仿宋" w:eastAsia="华文仿宋" w:cs="华文仿宋"/>
                <w:b/>
                <w:bCs/>
                <w:spacing w:val="-5"/>
                <w:sz w:val="18"/>
                <w:szCs w:val="18"/>
              </w:rPr>
              <w:t>89.1</w:t>
            </w:r>
            <w:r>
              <w:rPr>
                <w:rFonts w:ascii="华文仿宋" w:hAnsi="华文仿宋" w:eastAsia="华文仿宋" w:cs="华文仿宋"/>
                <w:b/>
                <w:bCs/>
                <w:spacing w:val="-2"/>
                <w:sz w:val="18"/>
                <w:szCs w:val="18"/>
              </w:rPr>
              <w:t>分</w:t>
            </w:r>
          </w:p>
        </w:tc>
        <w:tc>
          <w:tcPr>
            <w:tcW w:w="832" w:type="dxa"/>
            <w:vAlign w:val="top"/>
          </w:tcPr>
          <w:p>
            <w:pPr>
              <w:spacing w:before="252" w:line="177" w:lineRule="auto"/>
              <w:ind w:left="204"/>
              <w:rPr>
                <w:rFonts w:ascii="华文仿宋" w:hAnsi="华文仿宋" w:eastAsia="华文仿宋" w:cs="华文仿宋"/>
                <w:sz w:val="18"/>
                <w:szCs w:val="18"/>
              </w:rPr>
            </w:pPr>
            <w:r>
              <w:rPr>
                <w:rFonts w:ascii="华文仿宋" w:hAnsi="华文仿宋" w:eastAsia="华文仿宋" w:cs="华文仿宋"/>
                <w:b/>
                <w:bCs/>
                <w:spacing w:val="-4"/>
                <w:sz w:val="18"/>
                <w:szCs w:val="18"/>
              </w:rPr>
              <w:t>89.1%</w:t>
            </w:r>
          </w:p>
        </w:tc>
      </w:tr>
    </w:tbl>
    <w:p>
      <w:pPr>
        <w:pStyle w:val="2"/>
      </w:pPr>
    </w:p>
    <w:p>
      <w:pPr>
        <w:sectPr>
          <w:footerReference r:id="rId25" w:type="default"/>
          <w:pgSz w:w="16839" w:h="11906"/>
          <w:pgMar w:top="1012" w:right="595" w:bottom="1575" w:left="692" w:header="0" w:footer="1289" w:gutter="0"/>
          <w:pgNumType w:fmt="decimal"/>
          <w:cols w:space="720" w:num="1"/>
        </w:sectPr>
      </w:pPr>
    </w:p>
    <w:p>
      <w:pPr>
        <w:spacing w:before="245" w:line="322" w:lineRule="auto"/>
        <w:ind w:left="27" w:firstLine="636"/>
        <w:jc w:val="both"/>
        <w:rPr>
          <w:rFonts w:hint="eastAsia" w:ascii="Times New Roman" w:hAnsi="Times New Roman" w:eastAsia="仿宋_GB2312" w:cstheme="minorBidi"/>
          <w:b/>
          <w:bCs/>
          <w:snapToGrid/>
          <w:kern w:val="2"/>
          <w:sz w:val="32"/>
          <w:szCs w:val="32"/>
          <w:lang w:val="en-US" w:eastAsia="zh-CN" w:bidi="ar-SA"/>
        </w:rPr>
      </w:pPr>
      <w:r>
        <w:rPr>
          <w:rFonts w:hint="eastAsia" w:ascii="Times New Roman" w:hAnsi="Times New Roman" w:eastAsia="仿宋_GB2312" w:cstheme="minorBidi"/>
          <w:b/>
          <w:bCs/>
          <w:snapToGrid/>
          <w:kern w:val="2"/>
          <w:sz w:val="32"/>
          <w:szCs w:val="32"/>
          <w:lang w:val="en-US" w:eastAsia="zh-CN" w:bidi="ar-SA"/>
        </w:rPr>
        <w:t>附件二：满意度问卷及调查结果分析报告</w:t>
      </w:r>
    </w:p>
    <w:p>
      <w:pPr>
        <w:spacing w:before="63" w:line="11824" w:lineRule="exact"/>
        <w:ind w:firstLine="11"/>
      </w:pPr>
      <w:r>
        <w:rPr>
          <w:position w:val="-236"/>
        </w:rPr>
        <w:drawing>
          <wp:inline distT="0" distB="0" distL="0" distR="0">
            <wp:extent cx="5563870" cy="750824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31"/>
                    <a:stretch>
                      <a:fillRect/>
                    </a:stretch>
                  </pic:blipFill>
                  <pic:spPr>
                    <a:xfrm>
                      <a:off x="0" y="0"/>
                      <a:ext cx="5564123" cy="7508747"/>
                    </a:xfrm>
                    <a:prstGeom prst="rect">
                      <a:avLst/>
                    </a:prstGeom>
                  </pic:spPr>
                </pic:pic>
              </a:graphicData>
            </a:graphic>
          </wp:inline>
        </w:drawing>
      </w:r>
    </w:p>
    <w:p>
      <w:pPr>
        <w:spacing w:line="11824" w:lineRule="exact"/>
        <w:sectPr>
          <w:footerReference r:id="rId26" w:type="default"/>
          <w:pgSz w:w="11906" w:h="16839"/>
          <w:pgMar w:top="1431" w:right="1345" w:bottom="1575" w:left="1785" w:header="0" w:footer="1287" w:gutter="0"/>
          <w:pgNumType w:fmt="decimal"/>
          <w:cols w:space="720" w:num="1"/>
        </w:sectPr>
      </w:pPr>
    </w:p>
    <w:p>
      <w:pPr>
        <w:pStyle w:val="2"/>
        <w:spacing w:line="293" w:lineRule="auto"/>
      </w:pPr>
    </w:p>
    <w:p>
      <w:pPr>
        <w:pStyle w:val="2"/>
        <w:spacing w:line="293" w:lineRule="auto"/>
      </w:pPr>
    </w:p>
    <w:p>
      <w:pPr>
        <w:pStyle w:val="2"/>
        <w:spacing w:line="293" w:lineRule="auto"/>
      </w:pPr>
    </w:p>
    <w:p>
      <w:pPr>
        <w:spacing w:line="10500" w:lineRule="exact"/>
        <w:ind w:firstLine="11"/>
      </w:pPr>
      <w:r>
        <w:rPr>
          <w:position w:val="-210"/>
        </w:rPr>
        <w:drawing>
          <wp:inline distT="0" distB="0" distL="0" distR="0">
            <wp:extent cx="5228590" cy="66675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32"/>
                    <a:stretch>
                      <a:fillRect/>
                    </a:stretch>
                  </pic:blipFill>
                  <pic:spPr>
                    <a:xfrm>
                      <a:off x="0" y="0"/>
                      <a:ext cx="5228844" cy="6667500"/>
                    </a:xfrm>
                    <a:prstGeom prst="rect">
                      <a:avLst/>
                    </a:prstGeom>
                  </pic:spPr>
                </pic:pic>
              </a:graphicData>
            </a:graphic>
          </wp:inline>
        </w:drawing>
      </w:r>
    </w:p>
    <w:p>
      <w:pPr>
        <w:spacing w:line="10500" w:lineRule="exact"/>
        <w:sectPr>
          <w:footerReference r:id="rId27" w:type="default"/>
          <w:pgSz w:w="11906" w:h="16839"/>
          <w:pgMar w:top="1431" w:right="1785" w:bottom="1575" w:left="1785" w:header="0" w:footer="1287" w:gutter="0"/>
          <w:pgNumType w:fmt="decimal"/>
          <w:cols w:space="720" w:num="1"/>
        </w:sectPr>
      </w:pPr>
    </w:p>
    <w:p>
      <w:pPr>
        <w:pStyle w:val="2"/>
        <w:spacing w:line="312" w:lineRule="auto"/>
      </w:pPr>
    </w:p>
    <w:p>
      <w:pPr>
        <w:pStyle w:val="2"/>
        <w:spacing w:line="313" w:lineRule="auto"/>
      </w:pPr>
    </w:p>
    <w:p>
      <w:pPr>
        <w:pStyle w:val="2"/>
        <w:spacing w:line="313" w:lineRule="auto"/>
      </w:pPr>
    </w:p>
    <w:p>
      <w:pPr>
        <w:spacing w:line="7575" w:lineRule="exact"/>
        <w:ind w:firstLine="11"/>
      </w:pPr>
      <w:r>
        <w:rPr>
          <w:position w:val="-151"/>
        </w:rPr>
        <w:drawing>
          <wp:inline distT="0" distB="0" distL="0" distR="0">
            <wp:extent cx="4714875" cy="480949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3"/>
                    <a:stretch>
                      <a:fillRect/>
                    </a:stretch>
                  </pic:blipFill>
                  <pic:spPr>
                    <a:xfrm>
                      <a:off x="0" y="0"/>
                      <a:ext cx="4715255" cy="4809744"/>
                    </a:xfrm>
                    <a:prstGeom prst="rect">
                      <a:avLst/>
                    </a:prstGeom>
                  </pic:spPr>
                </pic:pic>
              </a:graphicData>
            </a:graphic>
          </wp:inline>
        </w:drawing>
      </w:r>
    </w:p>
    <w:p>
      <w:pPr>
        <w:spacing w:line="7575" w:lineRule="exact"/>
        <w:sectPr>
          <w:pgSz w:w="11906" w:h="16839"/>
          <w:pgMar w:top="1431" w:right="1785" w:bottom="1575" w:left="1785" w:header="0" w:footer="1287" w:gutter="0"/>
          <w:pgNumType w:fmt="decimal"/>
          <w:cols w:space="720" w:num="1"/>
        </w:sectPr>
      </w:pPr>
    </w:p>
    <w:p>
      <w:pPr>
        <w:pStyle w:val="2"/>
        <w:spacing w:line="267" w:lineRule="auto"/>
      </w:pPr>
    </w:p>
    <w:p>
      <w:pPr>
        <w:spacing w:before="245" w:line="322" w:lineRule="auto"/>
        <w:ind w:left="27" w:firstLine="636"/>
        <w:jc w:val="both"/>
        <w:rPr>
          <w:rFonts w:hint="eastAsia" w:ascii="Times New Roman" w:hAnsi="Times New Roman" w:eastAsia="仿宋_GB2312" w:cstheme="minorBidi"/>
          <w:b/>
          <w:bCs/>
          <w:snapToGrid/>
          <w:kern w:val="2"/>
          <w:sz w:val="32"/>
          <w:szCs w:val="32"/>
          <w:lang w:val="en-US" w:eastAsia="zh-CN" w:bidi="ar-SA"/>
        </w:rPr>
      </w:pPr>
      <w:r>
        <w:rPr>
          <w:rFonts w:hint="eastAsia" w:ascii="Times New Roman" w:hAnsi="Times New Roman" w:eastAsia="仿宋_GB2312" w:cstheme="minorBidi"/>
          <w:b/>
          <w:bCs/>
          <w:snapToGrid/>
          <w:kern w:val="2"/>
          <w:sz w:val="32"/>
          <w:szCs w:val="32"/>
          <w:lang w:val="en-US" w:eastAsia="zh-CN" w:bidi="ar-SA"/>
        </w:rPr>
        <w:t>附件三：基础数据表</w:t>
      </w:r>
    </w:p>
    <w:p>
      <w:pPr>
        <w:spacing w:before="158" w:line="5703" w:lineRule="exact"/>
        <w:rPr>
          <w:rFonts w:hint="eastAsia" w:eastAsia="宋体"/>
          <w:lang w:eastAsia="zh-CN"/>
        </w:rPr>
      </w:pPr>
      <w:r>
        <w:rPr>
          <w:rFonts w:hint="eastAsia" w:eastAsia="宋体"/>
          <w:lang w:eastAsia="zh-CN"/>
        </w:rPr>
        <w:drawing>
          <wp:inline distT="0" distB="0" distL="114300" distR="114300">
            <wp:extent cx="8172450" cy="2174240"/>
            <wp:effectExtent l="0" t="0" r="11430" b="5080"/>
            <wp:docPr id="1" name="图片 1" descr="b25bffb5-564b-425c-98f6-b6c284067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b25bffb5-564b-425c-98f6-b6c284067070"/>
                    <pic:cNvPicPr>
                      <a:picLocks noChangeAspect="1"/>
                    </pic:cNvPicPr>
                  </pic:nvPicPr>
                  <pic:blipFill>
                    <a:blip r:embed="rId34"/>
                    <a:stretch>
                      <a:fillRect/>
                    </a:stretch>
                  </pic:blipFill>
                  <pic:spPr>
                    <a:xfrm>
                      <a:off x="0" y="0"/>
                      <a:ext cx="8172450" cy="2174240"/>
                    </a:xfrm>
                    <a:prstGeom prst="rect">
                      <a:avLst/>
                    </a:prstGeom>
                  </pic:spPr>
                </pic:pic>
              </a:graphicData>
            </a:graphic>
          </wp:inline>
        </w:drawing>
      </w:r>
    </w:p>
    <w:sectPr>
      <w:footerReference r:id="rId28" w:type="default"/>
      <w:pgSz w:w="16839" w:h="11906"/>
      <w:pgMar w:top="1012" w:right="2267" w:bottom="1575" w:left="1701" w:header="0" w:footer="1287"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Narrow">
    <w:panose1 w:val="020B0606020202030204"/>
    <w:charset w:val="00"/>
    <w:family w:val="swiss"/>
    <w:pitch w:val="default"/>
    <w:sig w:usb0="00000287" w:usb1="00000800" w:usb2="00000000" w:usb3="00000000" w:csb0="2000009F" w:csb1="DFD70000"/>
  </w:font>
  <w:font w:name="方正小标宋简体">
    <w:panose1 w:val="02000000000000000000"/>
    <w:charset w:val="86"/>
    <w:family w:val="auto"/>
    <w:pitch w:val="default"/>
    <w:sig w:usb0="A00002BF" w:usb1="184F6CFA" w:usb2="00000012" w:usb3="00000000" w:csb0="00040001" w:csb1="00000000"/>
  </w:font>
  <w:font w:name="方正舒体">
    <w:panose1 w:val="02010601030101010101"/>
    <w:charset w:val="86"/>
    <w:family w:val="auto"/>
    <w:pitch w:val="default"/>
    <w:sig w:usb0="00000003"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23" w:lineRule="auto"/>
      <w:ind w:left="3234"/>
      <w:rPr>
        <w:rFonts w:ascii="黑体" w:hAnsi="黑体" w:eastAsia="黑体" w:cs="黑体"/>
        <w:sz w:val="35"/>
        <w:szCs w:val="3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1" w:lineRule="auto"/>
      <w:ind w:left="4123"/>
      <w:rPr>
        <w:rFonts w:hint="default" w:ascii="宋体" w:hAnsi="宋体" w:eastAsia="宋体" w:cs="宋体"/>
        <w:sz w:val="22"/>
        <w:szCs w:val="22"/>
        <w:lang w:val="en-US" w:eastAsia="zh-CN"/>
      </w:rPr>
    </w:pPr>
    <w:r>
      <w:rPr>
        <w:sz w:val="2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YFfpEU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pgV+kR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1" w:lineRule="auto"/>
      <w:ind w:left="4121"/>
      <w:rPr>
        <w:rFonts w:ascii="宋体" w:hAnsi="宋体" w:eastAsia="宋体" w:cs="宋体"/>
        <w:sz w:val="22"/>
        <w:szCs w:val="22"/>
      </w:rPr>
    </w:pPr>
    <w:r>
      <w:rPr>
        <w:sz w:val="22"/>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H7t3oV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H7t3o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1" w:lineRule="auto"/>
      <w:ind w:left="4069"/>
      <w:rPr>
        <w:rFonts w:ascii="宋体" w:hAnsi="宋体" w:eastAsia="宋体" w:cs="宋体"/>
        <w:sz w:val="22"/>
        <w:szCs w:val="22"/>
      </w:rPr>
    </w:pPr>
    <w:r>
      <w:rPr>
        <w:sz w:val="22"/>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4AVXYVAgAAFQQAAA4AAABkcnMvZTJvRG9jLnhtbK1Ty47TMBTdI/EP&#10;lvc0aQd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mRDOFHZ2+fzv9+HX6+ZVAB4Ba62fw21h4hu6t6bDoQe+hjHN3&#10;lVPxxkQEdkB9vMArukB4DJpOptMcJg7b8ED+7DHcOh/eCaNIFArqsL8EKzusfehdB5dYTZtVI2Xa&#10;odSkLej11Z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G4AVXY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1" w:lineRule="auto"/>
      <w:ind w:left="4071"/>
      <w:rPr>
        <w:rFonts w:ascii="宋体" w:hAnsi="宋体" w:eastAsia="宋体" w:cs="宋体"/>
        <w:sz w:val="22"/>
        <w:szCs w:val="22"/>
      </w:rPr>
    </w:pPr>
    <w:r>
      <w:rPr>
        <w:sz w:val="22"/>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yowpk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7413"/>
      <w:rPr>
        <w:rFonts w:ascii="宋体" w:hAnsi="宋体" w:eastAsia="宋体" w:cs="宋体"/>
        <w:sz w:val="22"/>
        <w:szCs w:val="22"/>
      </w:rPr>
    </w:pPr>
    <w:r>
      <w:rPr>
        <w:sz w:val="22"/>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KtWC3I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36</w:t>
                    </w:r>
                    <w:r>
                      <w:fldChar w:fldCharType="end"/>
                    </w:r>
                  </w:p>
                </w:txbxContent>
              </v:textbox>
            </v:shape>
          </w:pict>
        </mc:Fallback>
      </mc:AlternateContent>
    </w:r>
    <w:r>
      <w:rPr>
        <w:rFonts w:ascii="宋体" w:hAnsi="宋体" w:eastAsia="宋体" w:cs="宋体"/>
        <w:sz w:val="22"/>
        <w:szCs w:val="22"/>
      </w:rPr>
      <w:t>1</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7399"/>
      <w:rPr>
        <w:rFonts w:ascii="宋体" w:hAnsi="宋体" w:eastAsia="宋体" w:cs="宋体"/>
        <w:sz w:val="22"/>
        <w:szCs w:val="22"/>
      </w:rPr>
    </w:pPr>
    <w:r>
      <w:rPr>
        <w:sz w:val="22"/>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n+nJ0VAgAAFQQAAA4AAABkcnMvZTJvRG9jLnhtbK1Ty47TMBTdI/EP&#10;lvc0aUcM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hRDOFHZ2+fzv9+HX6+ZVAB4Ba62fw21h4hu6t6bDoQe+hjHN3&#10;lVPxxkQEdkB9vMArukB4DJpOptMcJg7b8ED+7DHcOh/eCaNIFArqsL8EKzusfehdB5dYTZtVI2Xa&#10;odSkLej11e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On+nJ0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1" w:lineRule="auto"/>
      <w:ind w:left="7401"/>
      <w:rPr>
        <w:rFonts w:ascii="宋体" w:hAnsi="宋体" w:eastAsia="宋体" w:cs="宋体"/>
        <w:sz w:val="22"/>
        <w:szCs w:val="22"/>
      </w:rPr>
    </w:pPr>
    <w:r>
      <w:rPr>
        <w:sz w:val="22"/>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D2kG8V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PD2kG8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7396"/>
      <w:rPr>
        <w:rFonts w:ascii="宋体" w:hAnsi="宋体" w:eastAsia="宋体" w:cs="宋体"/>
        <w:sz w:val="22"/>
        <w:szCs w:val="22"/>
      </w:rPr>
    </w:pPr>
    <w:r>
      <w:rPr>
        <w:sz w:val="22"/>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JeB4AVAgAAFQQAAA4AAABkcnMvZTJvRG9jLnhtbK1Ty47TMBTdI/EP&#10;lvc0aUeMSt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r2hRDOFHZ2+fzv9+HX6+ZVAB4Ba62fw21h4hu6t6bDoQe+hjHN3&#10;lVPxxkQEdkB9vMArukB4DJpOptMcJg7b8ED+7DHcOh/eCaNIFArqsL8EKzusfehdB5dYTZtVI2Xa&#10;odSkLej11e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LJeB4A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1" w:lineRule="auto"/>
      <w:ind w:left="7401"/>
      <w:rPr>
        <w:rFonts w:ascii="宋体" w:hAnsi="宋体" w:eastAsia="宋体" w:cs="宋体"/>
        <w:sz w:val="22"/>
        <w:szCs w:val="22"/>
      </w:rPr>
    </w:pPr>
    <w:r>
      <w:rPr>
        <w:sz w:val="22"/>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zSVju0AAAAAUBAAAPAAAAAAAAAAEA&#10;IAAAACIAAABkcnMvZG93bnJldi54bWxQSwECFAAUAAAACACHTuJACqS7ABcCAAAVBAAADgAAAAAA&#10;AAABACAAAAAfAQAAZHJzL2Uyb0RvYy54bWxQSwUGAAAAAAYABgBZAQAAq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1" w:lineRule="auto"/>
      <w:ind w:left="7398"/>
      <w:rPr>
        <w:rFonts w:ascii="宋体" w:hAnsi="宋体" w:eastAsia="宋体" w:cs="宋体"/>
        <w:sz w:val="22"/>
        <w:szCs w:val="22"/>
      </w:rPr>
    </w:pPr>
    <w:r>
      <w:rPr>
        <w:sz w:val="22"/>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gMLO8U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SAws7x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1" w:lineRule="auto"/>
      <w:ind w:left="7402"/>
      <w:rPr>
        <w:rFonts w:ascii="宋体" w:hAnsi="宋体" w:eastAsia="宋体" w:cs="宋体"/>
        <w:sz w:val="22"/>
        <w:szCs w:val="22"/>
      </w:rPr>
    </w:pPr>
    <w:r>
      <w:rPr>
        <w:sz w:val="22"/>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y5QQV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M/y5QQ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1" w:lineRule="auto"/>
      <w:ind w:left="7398"/>
      <w:rPr>
        <w:rFonts w:ascii="宋体" w:hAnsi="宋体" w:eastAsia="宋体" w:cs="宋体"/>
        <w:sz w:val="22"/>
        <w:szCs w:val="22"/>
      </w:rPr>
    </w:pPr>
    <w:r>
      <w:rPr>
        <w:sz w:val="22"/>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1acusVAgAAFQQAAA4AAABkcnMvZTJvRG9jLnhtbK1Ty47TMBTdI/EP&#10;lvc0aQd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vr6iRDOFHZ2+fzv9+HX6+ZVAB4Ba62fw21h4hu6t6bDoQe+hjHN3&#10;lVPxxkQEdkB9vMArukB4DJpOptMcJg7b8ED+7DHcOh/eCaNIFArqsL8EKzusfehdB5dYTZtVI2Xa&#10;odSkLej11Z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1acus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1" w:lineRule="auto"/>
      <w:ind w:left="7398"/>
      <w:rPr>
        <w:rFonts w:ascii="宋体" w:hAnsi="宋体" w:eastAsia="宋体" w:cs="宋体"/>
        <w:sz w:val="22"/>
        <w:szCs w:val="22"/>
      </w:rPr>
    </w:pPr>
    <w:r>
      <w:rPr>
        <w:sz w:val="22"/>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AJBwgVAgAAFQQAAA4AAABkcnMvZTJvRG9jLnhtbK1Ty47TMBTdI/EP&#10;lvc0aRl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Xl1RopnCjk7fv51+/Dr9/EqgA0Ct9TP4bSw8Q/fWdFj0oPdQxrm7&#10;yql4YyICO6A+XuAVXSA8Bk0n02kOE4dteCB/9hhunQ/vhFEkCgV12F+ClR3WPvSug0usps2qkTLt&#10;UGrSFvT69Z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AJBwg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1" w:lineRule="auto"/>
      <w:ind w:left="7358"/>
      <w:rPr>
        <w:rFonts w:ascii="宋体" w:hAnsi="宋体" w:eastAsia="宋体" w:cs="宋体"/>
        <w:sz w:val="22"/>
        <w:szCs w:val="22"/>
      </w:rPr>
    </w:pPr>
    <w:r>
      <w:rPr>
        <w:sz w:val="22"/>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KhkOcVAgAAFQQAAA4AAABkcnMvZTJvRG9jLnhtbK1Ty47TMBTdI/EP&#10;lvc0aWF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vrmiRDOFHZ2+fzv9+HX6+ZVAB4Ba62fw21h4hu6t6bDoQe+hjHN3&#10;lVPxxkQEdkB9vMArukB4DJpOptMcJg7b8ED+7DHcOh/eCaNIFArqsL8EKzusfehdB5dYTZtVI2Xa&#10;odSkLej166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MKhkOc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7358"/>
      <w:rPr>
        <w:rFonts w:ascii="宋体" w:hAnsi="宋体" w:eastAsia="宋体" w:cs="宋体"/>
        <w:sz w:val="22"/>
        <w:szCs w:val="22"/>
      </w:rPr>
    </w:pPr>
    <w:r>
      <w:rPr>
        <w:sz w:val="22"/>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RV9ZDB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7358"/>
      <w:rPr>
        <w:rFonts w:ascii="宋体" w:hAnsi="宋体" w:eastAsia="宋体" w:cs="宋体"/>
        <w:sz w:val="22"/>
        <w:szCs w:val="22"/>
      </w:rPr>
    </w:pPr>
    <w:r>
      <w:rPr>
        <w:sz w:val="22"/>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4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Af3zuM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1" w:lineRule="auto"/>
      <w:ind w:left="7358"/>
      <w:rPr>
        <w:rFonts w:ascii="宋体" w:hAnsi="宋体" w:eastAsia="宋体" w:cs="宋体"/>
        <w:sz w:val="22"/>
        <w:szCs w:val="22"/>
      </w:rPr>
    </w:pPr>
    <w:r>
      <w:rPr>
        <w:sz w:val="22"/>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7/whEV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B7/whE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7358"/>
      <w:rPr>
        <w:rFonts w:ascii="宋体" w:hAnsi="宋体" w:eastAsia="宋体" w:cs="宋体"/>
        <w:sz w:val="22"/>
        <w:szCs w:val="22"/>
      </w:rPr>
    </w:pPr>
    <w:r>
      <w:rPr>
        <w:sz w:val="22"/>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FxXVf4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1" w:lineRule="auto"/>
      <w:ind w:left="7358"/>
      <w:rPr>
        <w:rFonts w:ascii="宋体" w:hAnsi="宋体" w:eastAsia="宋体" w:cs="宋体"/>
        <w:sz w:val="22"/>
        <w:szCs w:val="22"/>
      </w:rPr>
    </w:pPr>
    <w:r>
      <w:rPr>
        <w:sz w:val="22"/>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B4Thpg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1" w:lineRule="auto"/>
      <w:ind w:left="7358"/>
      <w:rPr>
        <w:rFonts w:ascii="宋体" w:hAnsi="宋体" w:eastAsia="宋体" w:cs="宋体"/>
        <w:sz w:val="22"/>
        <w:szCs w:val="22"/>
      </w:rPr>
    </w:pPr>
    <w:r>
      <w:rPr>
        <w:sz w:val="22"/>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y7EXcU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LsRdxQCAAAVBAAADgAAAAAAAAAB&#10;ACAAAAAfAQAAZHJzL2Uyb0RvYy54bWxQSwUGAAAAAAYABgBZAQAAp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 w:line="231" w:lineRule="auto"/>
      <w:ind w:left="7358"/>
      <w:rPr>
        <w:rFonts w:ascii="宋体" w:hAnsi="宋体" w:eastAsia="宋体" w:cs="宋体"/>
        <w:sz w:val="22"/>
        <w:szCs w:val="22"/>
      </w:rPr>
    </w:pPr>
    <w:r>
      <w:rPr>
        <w:sz w:val="22"/>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F2JwV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F2Jw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4135"/>
      <w:rPr>
        <w:rFonts w:ascii="宋体" w:hAnsi="宋体" w:eastAsia="宋体" w:cs="宋体"/>
        <w:sz w:val="22"/>
        <w:szCs w:val="22"/>
      </w:rPr>
    </w:pPr>
    <w:r>
      <w:rPr>
        <w:sz w:val="22"/>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ntT3M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4135"/>
      <w:rPr>
        <w:rFonts w:hint="default" w:ascii="宋体" w:hAnsi="宋体" w:eastAsia="宋体" w:cs="宋体"/>
        <w:sz w:val="22"/>
        <w:szCs w:val="22"/>
        <w:lang w:val="en-US" w:eastAsia="zh-CN"/>
      </w:rPr>
    </w:pPr>
    <w:r>
      <w:rPr>
        <w:rFonts w:hint="default"/>
        <w:sz w:val="22"/>
        <w:lang w:val="en-US"/>
      </w:rPr>
      <mc:AlternateContent>
        <mc:Choice Requires="wps">
          <w:drawing>
            <wp:anchor distT="0" distB="0" distL="114300" distR="114300" simplePos="0" relativeHeight="251681792" behindDoc="0" locked="0" layoutInCell="1" allowOverlap="1">
              <wp:simplePos x="0" y="0"/>
              <wp:positionH relativeFrom="margin">
                <wp:posOffset>-1263015</wp:posOffset>
              </wp:positionH>
              <wp:positionV relativeFrom="paragraph">
                <wp:posOffset>-20572095</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99.45pt;margin-top:-1619.85pt;height:144pt;width:144pt;mso-position-horizontal-relative:margin;mso-wrap-style:none;z-index:251681792;mso-width-relative:page;mso-height-relative:page;" filled="f" stroked="f" coordsize="21600,21600" o:gfxdata="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D56kVT2wAAAA8BAAAP&#10;AAAAAAAAAAEAIAAAACIAAABkcnMvZG93bnJldi54bWxQSwECFAAUAAAACACHTuJAlL46kBUCAAAV&#10;BAAADgAAAAAAAAABACAAAAAqAQAAZHJzL2Uyb0RvYy54bWxQSwUGAAAAAAYABgBZAQAAs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54</w:t>
                    </w:r>
                    <w:r>
                      <w:fldChar w:fldCharType="end"/>
                    </w:r>
                  </w:p>
                </w:txbxContent>
              </v:textbox>
            </v:shape>
          </w:pict>
        </mc:Fallback>
      </mc:AlternateContent>
    </w:r>
    <w:r>
      <w:rPr>
        <w:rFonts w:hint="eastAsia" w:eastAsia="宋体"/>
        <w:sz w:val="22"/>
        <w:lang w:val="en-US" w:eastAsia="zh-CN"/>
      </w:rPr>
      <w:t>55</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3" w:lineRule="auto"/>
      <w:ind w:left="6404"/>
      <w:rPr>
        <w:rFonts w:ascii="宋体" w:hAnsi="宋体" w:eastAsia="宋体" w:cs="宋体"/>
        <w:sz w:val="22"/>
        <w:szCs w:val="22"/>
      </w:rPr>
    </w:pPr>
    <w:r>
      <w:rPr>
        <w:sz w:val="22"/>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YWrX8VAgAAFQQAAA4AAAAAAAAA&#10;AQAgAAAAHwEAAGRycy9lMm9Eb2MueG1sUEsFBgAAAAAGAAYAWQEAAKY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56</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documentProtection w:enforcement="0"/>
  <w:characterSpacingControl w:val="doNotCompress"/>
  <w:compat>
    <w:spaceForUL/>
    <w:ulTrailSpace/>
    <w:useFELayout/>
    <w:compatSetting w:name="compatibilityMode" w:uri="http://schemas.microsoft.com/office/word" w:val="14"/>
  </w:compat>
  <w:rsids>
    <w:rsidRoot w:val="00000000"/>
    <w:rsid w:val="0245602F"/>
    <w:rsid w:val="0260028D"/>
    <w:rsid w:val="02F8388F"/>
    <w:rsid w:val="03522419"/>
    <w:rsid w:val="03835F17"/>
    <w:rsid w:val="099934E2"/>
    <w:rsid w:val="0FEB1C2B"/>
    <w:rsid w:val="125515DD"/>
    <w:rsid w:val="13AB3BAB"/>
    <w:rsid w:val="15115C90"/>
    <w:rsid w:val="15372FD1"/>
    <w:rsid w:val="158474E0"/>
    <w:rsid w:val="166149F5"/>
    <w:rsid w:val="17086BA5"/>
    <w:rsid w:val="18FE477D"/>
    <w:rsid w:val="1F980D5B"/>
    <w:rsid w:val="210B3EDB"/>
    <w:rsid w:val="233907A1"/>
    <w:rsid w:val="23A14683"/>
    <w:rsid w:val="281F201A"/>
    <w:rsid w:val="29852351"/>
    <w:rsid w:val="2AEB07F7"/>
    <w:rsid w:val="2C7E6AAD"/>
    <w:rsid w:val="30B561BF"/>
    <w:rsid w:val="314E113C"/>
    <w:rsid w:val="32081D71"/>
    <w:rsid w:val="344A48C2"/>
    <w:rsid w:val="34EF0FC6"/>
    <w:rsid w:val="37623CD1"/>
    <w:rsid w:val="389556F7"/>
    <w:rsid w:val="39296809"/>
    <w:rsid w:val="3A9E3272"/>
    <w:rsid w:val="3AEC26A2"/>
    <w:rsid w:val="3BCC044D"/>
    <w:rsid w:val="3DF67475"/>
    <w:rsid w:val="3EB63280"/>
    <w:rsid w:val="3EEB24F7"/>
    <w:rsid w:val="3FFB2F15"/>
    <w:rsid w:val="40BE01CA"/>
    <w:rsid w:val="422624CB"/>
    <w:rsid w:val="4497145E"/>
    <w:rsid w:val="4F955FD3"/>
    <w:rsid w:val="52A13C07"/>
    <w:rsid w:val="541C002C"/>
    <w:rsid w:val="54511CC3"/>
    <w:rsid w:val="54E32777"/>
    <w:rsid w:val="58353010"/>
    <w:rsid w:val="59614356"/>
    <w:rsid w:val="5A17771F"/>
    <w:rsid w:val="5AF26F96"/>
    <w:rsid w:val="5C250D3B"/>
    <w:rsid w:val="5D131446"/>
    <w:rsid w:val="616C7377"/>
    <w:rsid w:val="636F2DDC"/>
    <w:rsid w:val="650C50F9"/>
    <w:rsid w:val="67472418"/>
    <w:rsid w:val="68F312F9"/>
    <w:rsid w:val="6A57631E"/>
    <w:rsid w:val="6BAF5448"/>
    <w:rsid w:val="6E9A19C7"/>
    <w:rsid w:val="6F8B25C4"/>
    <w:rsid w:val="764A3CD3"/>
    <w:rsid w:val="77216B0C"/>
    <w:rsid w:val="79297BCF"/>
    <w:rsid w:val="7CD662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Layout w:type="fixed"/>
      <w:tblCellMar>
        <w:top w:w="0" w:type="dxa"/>
        <w:left w:w="0" w:type="dxa"/>
        <w:bottom w:w="0" w:type="dxa"/>
        <w:right w:w="0" w:type="dxa"/>
      </w:tblCellMar>
    </w:tblPr>
  </w:style>
  <w:style w:type="paragraph" w:customStyle="1" w:styleId="8">
    <w:name w:val="Table Text"/>
    <w:basedOn w:val="1"/>
    <w:semiHidden/>
    <w:qFormat/>
    <w:uiPriority w:val="0"/>
    <w:rPr>
      <w:rFonts w:ascii="宋体" w:hAnsi="宋体" w:eastAsia="宋体" w:cs="宋体"/>
      <w:sz w:val="20"/>
      <w:szCs w:val="20"/>
      <w:lang w:val="en-US" w:eastAsia="en-US" w:bidi="ar-SA"/>
    </w:rPr>
  </w:style>
  <w:style w:type="paragraph" w:customStyle="1" w:styleId="9">
    <w:name w:val="Default"/>
    <w:semiHidden/>
    <w:qFormat/>
    <w:uiPriority w:val="0"/>
    <w:pPr>
      <w:widowControl w:val="0"/>
      <w:autoSpaceDE w:val="0"/>
      <w:autoSpaceDN w:val="0"/>
      <w:adjustRightInd w:val="0"/>
    </w:pPr>
    <w:rPr>
      <w:rFonts w:ascii="Arial Narrow" w:hAnsi="Arial Narrow" w:eastAsia="宋体" w:cs="Arial Narrow"/>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5.png"/><Relationship Id="rId33" Type="http://schemas.openxmlformats.org/officeDocument/2006/relationships/image" Target="media/image4.jpeg"/><Relationship Id="rId32" Type="http://schemas.openxmlformats.org/officeDocument/2006/relationships/image" Target="media/image3.jpeg"/><Relationship Id="rId31" Type="http://schemas.openxmlformats.org/officeDocument/2006/relationships/image" Target="media/image2.jpeg"/><Relationship Id="rId30" Type="http://schemas.openxmlformats.org/officeDocument/2006/relationships/image" Target="media/image1.png"/><Relationship Id="rId3" Type="http://schemas.openxmlformats.org/officeDocument/2006/relationships/footer" Target="footer1.xml"/><Relationship Id="rId29" Type="http://schemas.openxmlformats.org/officeDocument/2006/relationships/theme" Target="theme/theme1.xml"/><Relationship Id="rId28" Type="http://schemas.openxmlformats.org/officeDocument/2006/relationships/footer" Target="footer26.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69</Pages>
  <Words>1608</Words>
  <Characters>1669</Characters>
  <TotalTime>181</TotalTime>
  <ScaleCrop>false</ScaleCrop>
  <LinksUpToDate>false</LinksUpToDate>
  <CharactersWithSpaces>1956</CharactersWithSpaces>
  <Application>WPS Office_11.8.2.8621_F1E327BC-269C-435d-A152-05C5408002CA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2026-09-21T17:38:00Z</dcterms:created>
  <dc:creator>LYZz</dc:creator>
  <cp:lastModifiedBy>Administrator</cp:lastModifiedBy>
  <dcterms:modified xsi:type="dcterms:W3CDTF">2026-10-23T04:59:07Z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2026-10-15T16:41:03Z</vt:filetime>
  </property>
  <property fmtid="{D5CDD505-2E9C-101B-9397-08002B2CF9AE}" pid="4" name="KSOTemplateDocerSaveRecord">
    <vt:lpwstr>eyJoZGlkIjoiN2YzNjBkOTgyNWQ1YTMxYzM3MzMwNWFiODNmOWIzYWMiLCJ1c2VySWQiOiI3NTc1MDIxMjYifQ==</vt:lpwstr>
  </property>
  <property fmtid="{D5CDD505-2E9C-101B-9397-08002B2CF9AE}" pid="5" name="KSOProductBuildVer">
    <vt:lpwstr>2052-11.8.2.8621</vt:lpwstr>
  </property>
  <property fmtid="{D5CDD505-2E9C-101B-9397-08002B2CF9AE}" pid="6" name="ICV">
    <vt:lpwstr>C88F4C2637504439BCE80F86952F2BEF_12</vt:lpwstr>
  </property>
</Properties>
</file>