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3" w:lineRule="auto"/>
        <w:rPr>
          <w:rFonts w:hint="default" w:ascii="Times New Roman" w:hAnsi="Times New Roman" w:cs="Times New Roman"/>
          <w:sz w:val="21"/>
        </w:rPr>
      </w:pPr>
    </w:p>
    <w:p>
      <w:pPr>
        <w:spacing w:line="273" w:lineRule="auto"/>
        <w:rPr>
          <w:rFonts w:hint="default" w:ascii="Times New Roman" w:hAnsi="Times New Roman" w:cs="Times New Roman"/>
          <w:sz w:val="21"/>
        </w:rPr>
      </w:pPr>
    </w:p>
    <w:p>
      <w:pPr>
        <w:spacing w:line="273" w:lineRule="auto"/>
        <w:rPr>
          <w:rFonts w:hint="default" w:ascii="Times New Roman" w:hAnsi="Times New Roman" w:cs="Times New Roman"/>
          <w:sz w:val="21"/>
        </w:rPr>
      </w:pPr>
    </w:p>
    <w:p>
      <w:pPr>
        <w:widowControl w:val="0"/>
        <w:kinsoku/>
        <w:autoSpaceDE/>
        <w:autoSpaceDN/>
        <w:adjustRightInd/>
        <w:snapToGrid/>
        <w:spacing w:line="800" w:lineRule="exact"/>
        <w:jc w:val="center"/>
        <w:textAlignment w:val="auto"/>
        <w:rPr>
          <w:rFonts w:hint="default" w:ascii="Times New Roman" w:hAnsi="Times New Roman" w:eastAsia="方正小标宋简体" w:cs="Times New Roman"/>
          <w:snapToGrid/>
          <w:kern w:val="2"/>
          <w:sz w:val="44"/>
          <w:szCs w:val="44"/>
          <w:lang w:eastAsia="zh-CN"/>
        </w:rPr>
      </w:pPr>
      <w:r>
        <w:rPr>
          <w:rFonts w:hint="default" w:ascii="Times New Roman" w:hAnsi="Times New Roman" w:eastAsia="方正小标宋简体" w:cs="Times New Roman"/>
          <w:snapToGrid/>
          <w:kern w:val="2"/>
          <w:sz w:val="44"/>
          <w:szCs w:val="44"/>
          <w:lang w:eastAsia="zh-CN"/>
        </w:rPr>
        <w:t>2026年度预算绩效评价报告</w:t>
      </w:r>
    </w:p>
    <w:p>
      <w:pPr>
        <w:widowControl w:val="0"/>
        <w:kinsoku/>
        <w:autoSpaceDE/>
        <w:autoSpaceDN/>
        <w:adjustRightInd/>
        <w:snapToGrid/>
        <w:spacing w:line="800" w:lineRule="exact"/>
        <w:jc w:val="center"/>
        <w:textAlignment w:val="auto"/>
        <w:rPr>
          <w:rFonts w:hint="default" w:ascii="Times New Roman" w:hAnsi="Times New Roman" w:eastAsia="方正舒体" w:cs="Times New Roman"/>
          <w:sz w:val="44"/>
          <w:szCs w:val="44"/>
        </w:rPr>
      </w:pPr>
      <w:r>
        <w:rPr>
          <w:rFonts w:hint="default" w:ascii="Times New Roman" w:hAnsi="Times New Roman" w:eastAsia="方正小标宋简体" w:cs="Times New Roman"/>
          <w:snapToGrid/>
          <w:kern w:val="2"/>
          <w:sz w:val="44"/>
          <w:szCs w:val="44"/>
          <w:lang w:eastAsia="zh-CN"/>
        </w:rPr>
        <w:t>（2026年度）</w:t>
      </w:r>
    </w:p>
    <w:p>
      <w:pPr>
        <w:pStyle w:val="2"/>
        <w:rPr>
          <w:rFonts w:hint="default" w:ascii="Times New Roman" w:hAnsi="Times New Roman" w:cs="Times New Roman"/>
          <w:lang w:eastAsia="zh-CN"/>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3"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spacing w:line="244" w:lineRule="auto"/>
        <w:rPr>
          <w:rFonts w:hint="default" w:ascii="Times New Roman" w:hAnsi="Times New Roman" w:cs="Times New Roman"/>
          <w:sz w:val="21"/>
        </w:rPr>
      </w:pPr>
    </w:p>
    <w:p>
      <w:pPr>
        <w:pStyle w:val="3"/>
        <w:spacing w:before="113" w:line="480" w:lineRule="auto"/>
        <w:ind w:left="2797" w:right="277" w:hanging="2237"/>
        <w:rPr>
          <w:rFonts w:hint="default" w:ascii="Times New Roman" w:hAnsi="Times New Roman" w:eastAsia="仿宋_GB2312" w:cs="Times New Roman"/>
          <w:snapToGrid/>
          <w:kern w:val="2"/>
          <w:sz w:val="32"/>
          <w:szCs w:val="32"/>
          <w:u w:val="single"/>
          <w:lang w:val="en-US" w:eastAsia="zh-CN" w:bidi="ar-SA"/>
        </w:rPr>
      </w:pPr>
      <w:r>
        <w:rPr>
          <w:rFonts w:hint="default" w:ascii="Times New Roman" w:hAnsi="Times New Roman" w:eastAsia="仿宋_GB2312" w:cs="Times New Roman"/>
          <w:snapToGrid/>
          <w:kern w:val="2"/>
          <w:sz w:val="32"/>
          <w:szCs w:val="32"/>
          <w:u w:val="none"/>
          <w:lang w:val="en-US" w:eastAsia="zh-CN" w:bidi="ar-SA"/>
        </w:rPr>
        <w:pict>
          <v:shape id="_x0000_s1026" o:spid="_x0000_s1026" style="position:absolute;left:0pt;margin-left:139.2pt;margin-top:66.9pt;height:0.85pt;width:135.95pt;z-index:251660288;mso-width-relative:page;mso-height-relative:page;" filled="f" stroked="t" coordsize="2718,17" path="m0,8l2718,8e">
            <v:fill on="f" focussize="0,0"/>
            <v:stroke weight="0.84pt" color="#000000" miterlimit="2" joinstyle="bevel"/>
            <v:imagedata o:title=""/>
            <o:lock v:ext="edit"/>
          </v:shape>
        </w:pict>
      </w:r>
      <w:r>
        <w:rPr>
          <w:rFonts w:hint="default" w:ascii="Times New Roman" w:hAnsi="Times New Roman" w:eastAsia="仿宋_GB2312" w:cs="Times New Roman"/>
          <w:snapToGrid/>
          <w:kern w:val="2"/>
          <w:sz w:val="32"/>
          <w:szCs w:val="32"/>
          <w:u w:val="none"/>
          <w:lang w:val="en-US" w:eastAsia="zh-CN" w:bidi="ar-SA"/>
        </w:rPr>
        <w:t>项目名称：</w:t>
      </w:r>
      <w:r>
        <w:rPr>
          <w:rFonts w:hint="default" w:ascii="Times New Roman" w:hAnsi="Times New Roman" w:eastAsia="仿宋_GB2312" w:cs="Times New Roman"/>
          <w:snapToGrid/>
          <w:kern w:val="2"/>
          <w:sz w:val="32"/>
          <w:szCs w:val="32"/>
          <w:u w:val="single"/>
          <w:lang w:val="en-US" w:eastAsia="zh-CN" w:bidi="ar-SA"/>
        </w:rPr>
        <w:t>“市政、园林、环卫一体化”第三</w:t>
      </w:r>
      <w:r>
        <w:rPr>
          <w:rFonts w:hint="default" w:ascii="Times New Roman" w:hAnsi="Times New Roman" w:eastAsia="仿宋_GB2312" w:cs="Times New Roman"/>
          <w:snapToGrid/>
          <w:kern w:val="2"/>
          <w:sz w:val="32"/>
          <w:szCs w:val="32"/>
          <w:u w:val="none"/>
          <w:lang w:val="en-US" w:eastAsia="zh-CN" w:bidi="ar-SA"/>
        </w:rPr>
        <w:t>方服务采购项目</w:t>
      </w:r>
    </w:p>
    <w:p>
      <w:pPr>
        <w:pStyle w:val="3"/>
        <w:spacing w:before="1" w:line="205" w:lineRule="auto"/>
        <w:ind w:left="516"/>
        <w:rPr>
          <w:rFonts w:hint="default" w:ascii="Times New Roman" w:hAnsi="Times New Roman" w:eastAsia="仿宋_GB2312" w:cs="Times New Roman"/>
          <w:snapToGrid/>
          <w:kern w:val="2"/>
          <w:sz w:val="32"/>
          <w:szCs w:val="32"/>
          <w:u w:val="single"/>
          <w:lang w:val="en-US" w:eastAsia="zh-CN" w:bidi="ar-SA"/>
        </w:rPr>
      </w:pPr>
      <w:r>
        <w:rPr>
          <w:rFonts w:hint="default" w:ascii="Times New Roman" w:hAnsi="Times New Roman" w:eastAsia="仿宋_GB2312" w:cs="Times New Roman"/>
          <w:snapToGrid/>
          <w:kern w:val="2"/>
          <w:sz w:val="32"/>
          <w:szCs w:val="32"/>
          <w:u w:val="none"/>
          <w:lang w:val="en-US" w:eastAsia="zh-CN" w:bidi="ar-SA"/>
        </w:rPr>
        <w:t>项目单位：</w:t>
      </w:r>
      <w:r>
        <w:rPr>
          <w:rFonts w:hint="default" w:ascii="Times New Roman" w:hAnsi="Times New Roman" w:eastAsia="仿宋_GB2312" w:cs="Times New Roman"/>
          <w:snapToGrid/>
          <w:kern w:val="2"/>
          <w:sz w:val="32"/>
          <w:szCs w:val="32"/>
          <w:u w:val="single"/>
          <w:lang w:val="en-US" w:eastAsia="zh-CN" w:bidi="ar-SA"/>
        </w:rPr>
        <w:t>哈密市伊州区城市公共事业服务中心</w:t>
      </w:r>
    </w:p>
    <w:p>
      <w:pPr>
        <w:spacing w:line="401" w:lineRule="auto"/>
        <w:rPr>
          <w:rFonts w:hint="default" w:ascii="Times New Roman" w:hAnsi="Times New Roman" w:eastAsia="仿宋_GB2312" w:cs="Times New Roman"/>
          <w:snapToGrid/>
          <w:kern w:val="2"/>
          <w:sz w:val="32"/>
          <w:szCs w:val="32"/>
          <w:u w:val="single"/>
          <w:lang w:val="en-US" w:eastAsia="zh-CN" w:bidi="ar-SA"/>
        </w:rPr>
      </w:pPr>
    </w:p>
    <w:p>
      <w:pPr>
        <w:pStyle w:val="3"/>
        <w:spacing w:before="112" w:line="204" w:lineRule="auto"/>
        <w:ind w:left="522"/>
        <w:rPr>
          <w:rFonts w:hint="default" w:ascii="Times New Roman" w:hAnsi="Times New Roman" w:eastAsia="仿宋_GB2312" w:cs="Times New Roman"/>
          <w:snapToGrid/>
          <w:kern w:val="2"/>
          <w:sz w:val="32"/>
          <w:szCs w:val="32"/>
          <w:u w:val="single"/>
          <w:lang w:val="en-US" w:eastAsia="zh-CN" w:bidi="ar-SA"/>
        </w:rPr>
      </w:pPr>
      <w:r>
        <w:rPr>
          <w:rFonts w:hint="default" w:ascii="Times New Roman" w:hAnsi="Times New Roman" w:eastAsia="仿宋_GB2312" w:cs="Times New Roman"/>
          <w:snapToGrid/>
          <w:kern w:val="2"/>
          <w:sz w:val="32"/>
          <w:szCs w:val="32"/>
          <w:u w:val="none"/>
          <w:lang w:val="en-US" w:eastAsia="zh-CN" w:bidi="ar-SA"/>
        </w:rPr>
        <w:t>主管部门：</w:t>
      </w:r>
      <w:r>
        <w:rPr>
          <w:rFonts w:hint="default" w:ascii="Times New Roman" w:hAnsi="Times New Roman" w:eastAsia="仿宋_GB2312" w:cs="Times New Roman"/>
          <w:snapToGrid/>
          <w:kern w:val="2"/>
          <w:sz w:val="32"/>
          <w:szCs w:val="32"/>
          <w:u w:val="single"/>
          <w:lang w:val="en-US" w:eastAsia="zh-CN" w:bidi="ar-SA"/>
        </w:rPr>
        <w:t>哈密市伊州区住房和城乡建设局</w:t>
      </w:r>
    </w:p>
    <w:p>
      <w:pPr>
        <w:spacing w:line="399" w:lineRule="auto"/>
        <w:rPr>
          <w:rFonts w:hint="default" w:ascii="Times New Roman" w:hAnsi="Times New Roman" w:eastAsia="仿宋_GB2312" w:cs="Times New Roman"/>
          <w:snapToGrid/>
          <w:kern w:val="2"/>
          <w:sz w:val="32"/>
          <w:szCs w:val="32"/>
          <w:u w:val="single"/>
          <w:lang w:val="en-US" w:eastAsia="zh-CN" w:bidi="ar-SA"/>
        </w:rPr>
      </w:pPr>
    </w:p>
    <w:p>
      <w:pPr>
        <w:pStyle w:val="3"/>
        <w:spacing w:before="113" w:line="205" w:lineRule="auto"/>
        <w:ind w:left="504"/>
        <w:rPr>
          <w:rFonts w:hint="default" w:ascii="Times New Roman" w:hAnsi="Times New Roman" w:eastAsia="仿宋_GB2312" w:cs="Times New Roman"/>
          <w:snapToGrid/>
          <w:kern w:val="2"/>
          <w:sz w:val="32"/>
          <w:szCs w:val="32"/>
          <w:u w:val="single"/>
          <w:lang w:val="en-US" w:eastAsia="zh-CN" w:bidi="ar-SA"/>
        </w:rPr>
      </w:pPr>
      <w:r>
        <w:rPr>
          <w:rFonts w:hint="default" w:ascii="Times New Roman" w:hAnsi="Times New Roman" w:eastAsia="仿宋_GB2312" w:cs="Times New Roman"/>
          <w:snapToGrid/>
          <w:kern w:val="2"/>
          <w:sz w:val="32"/>
          <w:szCs w:val="32"/>
          <w:u w:val="none"/>
          <w:lang w:val="en-US" w:eastAsia="zh-CN" w:bidi="ar-SA"/>
        </w:rPr>
        <w:t>评价机构：</w:t>
      </w:r>
      <w:r>
        <w:rPr>
          <w:rFonts w:hint="default" w:ascii="Times New Roman" w:hAnsi="Times New Roman" w:eastAsia="仿宋_GB2312" w:cs="Times New Roman"/>
          <w:snapToGrid/>
          <w:kern w:val="2"/>
          <w:sz w:val="32"/>
          <w:szCs w:val="32"/>
          <w:u w:val="single"/>
          <w:lang w:val="en-US" w:eastAsia="zh-CN" w:bidi="ar-SA"/>
        </w:rPr>
        <w:t>天津安信管理咨询有限公司</w:t>
      </w:r>
    </w:p>
    <w:p>
      <w:pPr>
        <w:spacing w:line="397" w:lineRule="auto"/>
        <w:rPr>
          <w:rFonts w:hint="default" w:ascii="Times New Roman" w:hAnsi="Times New Roman" w:eastAsia="仿宋_GB2312" w:cs="Times New Roman"/>
          <w:snapToGrid/>
          <w:kern w:val="2"/>
          <w:sz w:val="32"/>
          <w:szCs w:val="32"/>
          <w:u w:val="single"/>
          <w:lang w:val="en-US" w:eastAsia="zh-CN" w:bidi="ar-SA"/>
        </w:rPr>
      </w:pPr>
    </w:p>
    <w:p>
      <w:pPr>
        <w:pStyle w:val="3"/>
        <w:spacing w:before="114" w:line="206" w:lineRule="auto"/>
        <w:ind w:left="504"/>
        <w:rPr>
          <w:rFonts w:hint="default" w:ascii="Times New Roman" w:hAnsi="Times New Roman" w:cs="Times New Roman"/>
        </w:rPr>
        <w:sectPr>
          <w:footerReference r:id="rId3" w:type="default"/>
          <w:pgSz w:w="11906" w:h="16839"/>
          <w:pgMar w:top="2098" w:right="1587" w:bottom="1984" w:left="1587" w:header="0" w:footer="0" w:gutter="0"/>
          <w:cols w:space="0" w:num="1"/>
          <w:rtlGutter w:val="0"/>
          <w:docGrid w:linePitch="0" w:charSpace="0"/>
        </w:sectPr>
      </w:pPr>
      <w:r>
        <w:rPr>
          <w:rFonts w:hint="default" w:ascii="Times New Roman" w:hAnsi="Times New Roman" w:eastAsia="仿宋_GB2312" w:cs="Times New Roman"/>
          <w:snapToGrid/>
          <w:kern w:val="2"/>
          <w:sz w:val="32"/>
          <w:szCs w:val="32"/>
          <w:u w:val="none"/>
          <w:lang w:val="en-US" w:eastAsia="zh-CN" w:bidi="ar-SA"/>
        </w:rPr>
        <w:t>评价日期：</w:t>
      </w:r>
      <w:r>
        <w:rPr>
          <w:rFonts w:hint="default" w:ascii="Times New Roman" w:hAnsi="Times New Roman" w:eastAsia="仿宋_GB2312" w:cs="Times New Roman"/>
          <w:snapToGrid/>
          <w:kern w:val="2"/>
          <w:sz w:val="32"/>
          <w:szCs w:val="32"/>
          <w:u w:val="single"/>
          <w:lang w:val="en-US" w:eastAsia="zh-CN" w:bidi="ar-SA"/>
        </w:rPr>
        <w:t>2026年7月</w:t>
      </w:r>
    </w:p>
    <w:p>
      <w:pPr>
        <w:spacing w:before="136" w:line="227" w:lineRule="auto"/>
        <w:ind w:left="3761"/>
        <w:rPr>
          <w:rFonts w:hint="default" w:ascii="Times New Roman" w:hAnsi="Times New Roman" w:eastAsia="黑体" w:cs="Times New Roman"/>
          <w:sz w:val="44"/>
          <w:szCs w:val="44"/>
        </w:rPr>
      </w:pPr>
      <w:r>
        <w:rPr>
          <w:rFonts w:hint="default" w:ascii="Times New Roman" w:hAnsi="Times New Roman" w:eastAsia="黑体" w:cs="Times New Roman"/>
          <w:spacing w:val="-2"/>
          <w:sz w:val="44"/>
          <w:szCs w:val="44"/>
        </w:rPr>
        <w:t>摘要</w:t>
      </w:r>
    </w:p>
    <w:p>
      <w:pPr>
        <w:spacing w:line="251" w:lineRule="auto"/>
        <w:rPr>
          <w:rFonts w:hint="default" w:ascii="Times New Roman" w:hAnsi="Times New Roman" w:cs="Times New Roman"/>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cs="Times New Roman"/>
          <w:spacing w:val="0"/>
          <w:position w:val="0"/>
          <w:sz w:val="21"/>
        </w:rPr>
      </w:pPr>
      <w:r>
        <w:rPr>
          <w:rFonts w:hint="default" w:ascii="Times New Roman" w:hAnsi="Times New Roman" w:eastAsia="黑体" w:cs="Times New Roman"/>
          <w:spacing w:val="0"/>
          <w:position w:val="0"/>
          <w:sz w:val="32"/>
          <w:szCs w:val="32"/>
        </w:rPr>
        <w:t>一、项目概述</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楷体" w:cs="Times New Roman"/>
          <w:spacing w:val="0"/>
          <w:position w:val="0"/>
          <w:sz w:val="32"/>
          <w:szCs w:val="32"/>
        </w:rPr>
      </w:pPr>
      <w:r>
        <w:rPr>
          <w:rFonts w:hint="default" w:ascii="Times New Roman" w:hAnsi="Times New Roman" w:eastAsia="楷体" w:cs="Times New Roman"/>
          <w:color w:val="191919"/>
          <w:spacing w:val="0"/>
          <w:position w:val="0"/>
          <w:sz w:val="32"/>
          <w:szCs w:val="32"/>
        </w:rPr>
        <w:t>(一)项目概述</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仿宋_GB2312" w:cs="Times New Roman"/>
          <w:b/>
          <w:bCs/>
          <w:snapToGrid/>
          <w:spacing w:val="0"/>
          <w:kern w:val="2"/>
          <w:position w:val="0"/>
          <w:sz w:val="32"/>
          <w:szCs w:val="32"/>
          <w:lang w:val="en-US" w:eastAsia="zh-CN" w:bidi="ar-SA"/>
        </w:rPr>
      </w:pPr>
      <w:r>
        <w:rPr>
          <w:rFonts w:hint="default" w:ascii="Times New Roman" w:hAnsi="Times New Roman" w:eastAsia="仿宋_GB2312" w:cs="Times New Roman"/>
          <w:b/>
          <w:bCs/>
          <w:snapToGrid/>
          <w:spacing w:val="0"/>
          <w:kern w:val="2"/>
          <w:position w:val="0"/>
          <w:sz w:val="32"/>
          <w:szCs w:val="32"/>
          <w:lang w:val="en-US" w:eastAsia="zh-CN" w:bidi="ar-SA"/>
        </w:rPr>
        <w:t>1.项目背景</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snapToGrid/>
          <w:spacing w:val="0"/>
          <w:kern w:val="2"/>
          <w:position w:val="0"/>
          <w:sz w:val="32"/>
          <w:szCs w:val="32"/>
          <w:lang w:val="en-US" w:eastAsia="zh-CN" w:bidi="ar-SA"/>
        </w:rPr>
      </w:pPr>
      <w:r>
        <w:rPr>
          <w:rFonts w:hint="default" w:ascii="Times New Roman" w:hAnsi="Times New Roman" w:eastAsia="仿宋_GB2312" w:cs="Times New Roman"/>
          <w:snapToGrid/>
          <w:spacing w:val="0"/>
          <w:kern w:val="2"/>
          <w:position w:val="0"/>
          <w:sz w:val="32"/>
          <w:szCs w:val="32"/>
          <w:lang w:val="en-US" w:eastAsia="zh-CN" w:bidi="ar-SA"/>
        </w:rPr>
        <w:t>2025年，深入贯彻落实中央、自治区关于提升城市精细化治理水平、建设美丽宜居城市的重要决策部署，紧扣市委、市政府“123456”发展思路，锚定城市服务高质量发展目标，深入践行“人民城市人民建、人民城市为人民”理念，以推进“市政、园林、环卫一体化”管理改革为重要抓手，深化与哈密城市建设投资发展有限公司、哈密北控城市服务有限公司协同联动，着力打破部门壁垒，整合管理资源，优化作业流程，实现城市综合管理效能与人居环境品质双提升，改革合作取得阶段性成果。打造干净的城市样貌，修复园林湿地生态问题，提升城市的市容市貌，提高居民生活品质，创建团结蜜城，从生态、文化、生活三方面剖析市政、园林、环卫等问题，满足群众需求，提升城市环境策略。此项目的实施会使哈密市更加宜居且充满活力，让更多的城市居民拥有一个干净、美丽地闲绿地广场和生活环境，从而提升城市居民的生活品质与感受。</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仿宋_GB2312" w:cs="Times New Roman"/>
          <w:b/>
          <w:bCs/>
          <w:snapToGrid/>
          <w:spacing w:val="0"/>
          <w:kern w:val="2"/>
          <w:position w:val="0"/>
          <w:sz w:val="32"/>
          <w:szCs w:val="32"/>
          <w:lang w:val="en-US" w:eastAsia="zh-CN" w:bidi="ar-SA"/>
        </w:rPr>
      </w:pPr>
      <w:r>
        <w:rPr>
          <w:rFonts w:hint="default" w:ascii="Times New Roman" w:hAnsi="Times New Roman" w:eastAsia="仿宋_GB2312" w:cs="Times New Roman"/>
          <w:b/>
          <w:bCs/>
          <w:snapToGrid/>
          <w:spacing w:val="0"/>
          <w:kern w:val="2"/>
          <w:position w:val="0"/>
          <w:sz w:val="32"/>
          <w:szCs w:val="32"/>
          <w:lang w:val="en-US" w:eastAsia="zh-CN" w:bidi="ar-SA"/>
        </w:rPr>
        <w:t>2.项目组织管理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 w:cs="Times New Roman"/>
          <w:b w:val="0"/>
          <w:bCs w:val="0"/>
          <w:spacing w:val="0"/>
          <w:position w:val="0"/>
          <w:sz w:val="32"/>
          <w:szCs w:val="32"/>
        </w:rPr>
      </w:pPr>
      <w:r>
        <w:rPr>
          <w:rFonts w:hint="default" w:ascii="Times New Roman" w:hAnsi="Times New Roman" w:eastAsia="仿宋" w:cs="Times New Roman"/>
          <w:b w:val="0"/>
          <w:bCs w:val="0"/>
          <w:spacing w:val="0"/>
          <w:position w:val="0"/>
          <w:sz w:val="32"/>
          <w:szCs w:val="32"/>
        </w:rPr>
        <w:t>（</w:t>
      </w:r>
      <w:r>
        <w:rPr>
          <w:rFonts w:hint="default" w:ascii="Times New Roman" w:hAnsi="Times New Roman" w:eastAsia="Times New Roman" w:cs="Times New Roman"/>
          <w:b w:val="0"/>
          <w:bCs w:val="0"/>
          <w:spacing w:val="0"/>
          <w:position w:val="0"/>
          <w:sz w:val="32"/>
          <w:szCs w:val="32"/>
        </w:rPr>
        <w:t>1</w:t>
      </w:r>
      <w:r>
        <w:rPr>
          <w:rFonts w:hint="default" w:ascii="Times New Roman" w:hAnsi="Times New Roman" w:eastAsia="仿宋" w:cs="Times New Roman"/>
          <w:b w:val="0"/>
          <w:bCs w:val="0"/>
          <w:spacing w:val="0"/>
          <w:position w:val="0"/>
          <w:sz w:val="32"/>
          <w:szCs w:val="32"/>
        </w:rPr>
        <w:t>）项目组织情况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 w:cs="Times New Roman"/>
          <w:spacing w:val="0"/>
          <w:position w:val="0"/>
          <w:sz w:val="31"/>
          <w:szCs w:val="31"/>
        </w:rPr>
      </w:pPr>
      <w:r>
        <w:rPr>
          <w:rFonts w:hint="default" w:ascii="Times New Roman" w:hAnsi="Times New Roman" w:eastAsia="仿宋_GB2312" w:cs="Times New Roman"/>
          <w:snapToGrid/>
          <w:spacing w:val="0"/>
          <w:kern w:val="2"/>
          <w:position w:val="0"/>
          <w:sz w:val="32"/>
          <w:szCs w:val="32"/>
          <w:lang w:val="en-US" w:eastAsia="zh-CN" w:bidi="ar-SA"/>
        </w:rPr>
        <w:t>本项目涉及的单位包括区哈密市伊州区财政局、哈密市伊州区住房和城乡建设局、哈密市伊州区城市公共事业服务中心。</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Times New Roman" w:cs="Times New Roman"/>
          <w:spacing w:val="0"/>
          <w:position w:val="0"/>
          <w:sz w:val="31"/>
          <w:szCs w:val="31"/>
        </w:rPr>
      </w:pPr>
      <w:r>
        <w:rPr>
          <w:rFonts w:hint="default" w:ascii="Times New Roman" w:hAnsi="Times New Roman" w:eastAsia="仿宋_GB2312" w:cs="Times New Roman"/>
          <w:snapToGrid/>
          <w:spacing w:val="0"/>
          <w:kern w:val="2"/>
          <w:position w:val="0"/>
          <w:sz w:val="32"/>
          <w:szCs w:val="32"/>
          <w:lang w:val="en-US" w:eastAsia="zh-CN" w:bidi="ar-SA"/>
        </w:rPr>
        <w:t>各单位的职责如下</w:t>
      </w:r>
      <w:r>
        <w:rPr>
          <w:rFonts w:hint="default" w:ascii="Times New Roman" w:hAnsi="Times New Roman" w:eastAsia="Times New Roman" w:cs="Times New Roman"/>
          <w:spacing w:val="0"/>
          <w:position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仿宋" w:cs="Times New Roman"/>
          <w:spacing w:val="0"/>
          <w:position w:val="0"/>
          <w:sz w:val="31"/>
          <w:szCs w:val="31"/>
        </w:rPr>
      </w:pPr>
      <w:r>
        <w:rPr>
          <w:rFonts w:hint="default" w:ascii="Times New Roman" w:hAnsi="Times New Roman" w:eastAsia="仿宋_GB2312" w:cs="Times New Roman"/>
          <w:b/>
          <w:bCs/>
          <w:snapToGrid/>
          <w:spacing w:val="0"/>
          <w:kern w:val="2"/>
          <w:position w:val="0"/>
          <w:sz w:val="32"/>
          <w:szCs w:val="32"/>
          <w:lang w:val="en-US" w:eastAsia="zh-CN" w:bidi="ar-SA"/>
        </w:rPr>
        <w:t>哈密市伊州区财政局</w:t>
      </w:r>
      <w:r>
        <w:rPr>
          <w:rFonts w:hint="default" w:ascii="Times New Roman" w:hAnsi="Times New Roman" w:eastAsia="仿宋" w:cs="Times New Roman"/>
          <w:b/>
          <w:bCs/>
          <w:spacing w:val="0"/>
          <w:position w:val="0"/>
          <w:sz w:val="31"/>
          <w:szCs w:val="31"/>
        </w:rPr>
        <w:t>：</w:t>
      </w:r>
      <w:r>
        <w:rPr>
          <w:rFonts w:hint="default" w:ascii="Times New Roman" w:hAnsi="Times New Roman" w:eastAsia="仿宋_GB2312" w:cs="Times New Roman"/>
          <w:snapToGrid/>
          <w:spacing w:val="0"/>
          <w:kern w:val="2"/>
          <w:position w:val="0"/>
          <w:sz w:val="32"/>
          <w:szCs w:val="32"/>
          <w:lang w:val="en-US" w:eastAsia="zh-CN" w:bidi="ar-SA"/>
        </w:rPr>
        <w:t>负责审核项目资金的年度预算及项目指标下达管理，协同各部门制订和完善资金管理政策、项目申报指南，参与项目财务事项评审，接收转移支付资金并根据项目做好资金分配，对项目资金使用情况进行绩效考核和监督检查</w:t>
      </w:r>
      <w:r>
        <w:rPr>
          <w:rFonts w:hint="default" w:ascii="Times New Roman" w:hAnsi="Times New Roman" w:eastAsia="仿宋" w:cs="Times New Roman"/>
          <w:spacing w:val="0"/>
          <w:position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仿宋" w:cs="Times New Roman"/>
          <w:spacing w:val="0"/>
          <w:position w:val="0"/>
          <w:sz w:val="31"/>
          <w:szCs w:val="31"/>
        </w:rPr>
      </w:pPr>
      <w:r>
        <w:rPr>
          <w:rFonts w:hint="default" w:ascii="Times New Roman" w:hAnsi="Times New Roman" w:eastAsia="仿宋_GB2312" w:cs="Times New Roman"/>
          <w:b/>
          <w:bCs/>
          <w:snapToGrid/>
          <w:spacing w:val="0"/>
          <w:kern w:val="2"/>
          <w:position w:val="0"/>
          <w:sz w:val="32"/>
          <w:szCs w:val="32"/>
          <w:lang w:val="en-US" w:eastAsia="zh-CN" w:bidi="ar-SA"/>
        </w:rPr>
        <w:t>哈密市伊州区住房和城乡建设局</w:t>
      </w:r>
      <w:r>
        <w:rPr>
          <w:rFonts w:hint="default" w:ascii="Times New Roman" w:hAnsi="Times New Roman" w:eastAsia="仿宋" w:cs="Times New Roman"/>
          <w:b/>
          <w:bCs/>
          <w:spacing w:val="0"/>
          <w:position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napToGrid/>
          <w:spacing w:val="0"/>
          <w:kern w:val="2"/>
          <w:position w:val="0"/>
          <w:sz w:val="32"/>
          <w:szCs w:val="32"/>
          <w:lang w:val="en-US" w:eastAsia="zh-CN" w:bidi="ar-SA"/>
        </w:rPr>
      </w:pPr>
      <w:r>
        <w:rPr>
          <w:rFonts w:hint="default" w:ascii="Times New Roman" w:hAnsi="Times New Roman" w:eastAsia="仿宋_GB2312" w:cs="Times New Roman"/>
          <w:snapToGrid/>
          <w:spacing w:val="0"/>
          <w:kern w:val="2"/>
          <w:position w:val="0"/>
          <w:sz w:val="32"/>
          <w:szCs w:val="32"/>
          <w:lang w:val="en-US" w:eastAsia="zh-CN" w:bidi="ar-SA"/>
        </w:rPr>
        <w:t>根据城市发展需求和居民实际诉求，编制“市政、园林、环卫一体化”第三方服务采购工作年度计划和中长期规划，明确建设目标、任务分工和时间节点，推动建设工作有序开展。负责“市政、园林、环卫一体化”第三方服务采购项目的立项、可行性研究报告审批、初步设计及概算审批等工作，确保项目符合相关规范和标准。负责“市政、园林、环卫一体化”项目资金的筹集、拨付和监管，确保资金专款专用，提高资金使用效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仿宋" w:cs="Times New Roman"/>
          <w:spacing w:val="0"/>
          <w:position w:val="0"/>
          <w:sz w:val="31"/>
          <w:szCs w:val="31"/>
        </w:rPr>
      </w:pPr>
      <w:r>
        <w:rPr>
          <w:rFonts w:hint="default" w:ascii="Times New Roman" w:hAnsi="Times New Roman" w:eastAsia="仿宋_GB2312" w:cs="Times New Roman"/>
          <w:b/>
          <w:bCs/>
          <w:snapToGrid/>
          <w:spacing w:val="0"/>
          <w:kern w:val="2"/>
          <w:position w:val="0"/>
          <w:sz w:val="32"/>
          <w:szCs w:val="32"/>
          <w:lang w:val="en-US" w:eastAsia="zh-CN" w:bidi="ar-SA"/>
        </w:rPr>
        <w:t>哈密市伊州区城市公共事业服务中心</w:t>
      </w:r>
      <w:r>
        <w:rPr>
          <w:rFonts w:hint="default" w:ascii="Times New Roman" w:hAnsi="Times New Roman" w:eastAsia="仿宋" w:cs="Times New Roman"/>
          <w:b/>
          <w:bCs/>
          <w:spacing w:val="0"/>
          <w:position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position w:val="0"/>
          <w:sz w:val="31"/>
          <w:szCs w:val="31"/>
        </w:rPr>
      </w:pPr>
      <w:r>
        <w:rPr>
          <w:rFonts w:hint="default" w:ascii="Times New Roman" w:hAnsi="Times New Roman" w:eastAsia="仿宋_GB2312" w:cs="Times New Roman"/>
          <w:snapToGrid/>
          <w:spacing w:val="0"/>
          <w:kern w:val="2"/>
          <w:position w:val="0"/>
          <w:sz w:val="32"/>
          <w:szCs w:val="32"/>
          <w:lang w:val="en-US" w:eastAsia="zh-CN" w:bidi="ar-SA"/>
        </w:rPr>
        <w:t>对“市政、园林、环卫一体化”的项目监督、考核、项目实施质量等环节进行全过程监督检查，确保项目符合要求。项目完成后，组织相关部门对项目进行考核验收，对城市环境、卫生等方面进行全面评估验收</w:t>
      </w:r>
      <w:r>
        <w:rPr>
          <w:rFonts w:hint="default" w:ascii="Times New Roman" w:hAnsi="Times New Roman" w:eastAsia="仿宋" w:cs="Times New Roman"/>
          <w:spacing w:val="0"/>
          <w:position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textAlignment w:val="baseline"/>
        <w:rPr>
          <w:rFonts w:hint="default" w:ascii="Times New Roman" w:hAnsi="Times New Roman" w:eastAsia="仿宋" w:cs="Times New Roman"/>
          <w:b w:val="0"/>
          <w:bCs w:val="0"/>
          <w:spacing w:val="0"/>
          <w:position w:val="0"/>
          <w:sz w:val="31"/>
          <w:szCs w:val="31"/>
        </w:rPr>
      </w:pPr>
      <w:r>
        <w:rPr>
          <w:rFonts w:hint="default" w:ascii="Times New Roman" w:hAnsi="Times New Roman" w:eastAsia="仿宋" w:cs="Times New Roman"/>
          <w:b w:val="0"/>
          <w:bCs w:val="0"/>
          <w:spacing w:val="0"/>
          <w:position w:val="0"/>
          <w:sz w:val="31"/>
          <w:szCs w:val="31"/>
        </w:rPr>
        <w:t>（</w:t>
      </w:r>
      <w:r>
        <w:rPr>
          <w:rFonts w:hint="default" w:ascii="Times New Roman" w:hAnsi="Times New Roman" w:eastAsia="Times New Roman" w:cs="Times New Roman"/>
          <w:b w:val="0"/>
          <w:bCs w:val="0"/>
          <w:spacing w:val="0"/>
          <w:position w:val="0"/>
          <w:sz w:val="31"/>
          <w:szCs w:val="31"/>
        </w:rPr>
        <w:t>2</w:t>
      </w:r>
      <w:r>
        <w:rPr>
          <w:rFonts w:hint="default" w:ascii="Times New Roman" w:hAnsi="Times New Roman" w:eastAsia="仿宋" w:cs="Times New Roman"/>
          <w:b w:val="0"/>
          <w:bCs w:val="0"/>
          <w:spacing w:val="0"/>
          <w:position w:val="0"/>
          <w:sz w:val="31"/>
          <w:szCs w:val="31"/>
        </w:rPr>
        <w:t>）</w:t>
      </w:r>
      <w:r>
        <w:rPr>
          <w:rFonts w:hint="default" w:ascii="Times New Roman" w:hAnsi="Times New Roman" w:eastAsia="仿宋_GB2312" w:cs="Times New Roman"/>
          <w:b w:val="0"/>
          <w:bCs w:val="0"/>
          <w:snapToGrid/>
          <w:spacing w:val="0"/>
          <w:kern w:val="2"/>
          <w:position w:val="0"/>
          <w:sz w:val="32"/>
          <w:szCs w:val="32"/>
          <w:lang w:val="en-US" w:eastAsia="zh-CN" w:bidi="ar-SA"/>
        </w:rPr>
        <w:t>资金管理情况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仿宋" w:cs="Times New Roman"/>
          <w:spacing w:val="0"/>
          <w:position w:val="0"/>
          <w:sz w:val="31"/>
          <w:szCs w:val="31"/>
        </w:rPr>
      </w:pPr>
      <w:r>
        <w:rPr>
          <w:rFonts w:hint="default" w:ascii="Times New Roman" w:hAnsi="Times New Roman" w:eastAsia="仿宋_GB2312" w:cs="Times New Roman"/>
          <w:b/>
          <w:bCs/>
          <w:snapToGrid/>
          <w:spacing w:val="0"/>
          <w:kern w:val="2"/>
          <w:position w:val="0"/>
          <w:sz w:val="32"/>
          <w:szCs w:val="32"/>
          <w:lang w:val="en-US" w:eastAsia="zh-CN" w:bidi="ar-SA"/>
        </w:rPr>
        <w:t>预算编制</w:t>
      </w:r>
      <w:r>
        <w:rPr>
          <w:rFonts w:hint="default" w:ascii="Times New Roman" w:hAnsi="Times New Roman" w:eastAsia="仿宋" w:cs="Times New Roman"/>
          <w:b/>
          <w:bCs/>
          <w:spacing w:val="0"/>
          <w:position w:val="0"/>
          <w:sz w:val="31"/>
          <w:szCs w:val="31"/>
        </w:rPr>
        <w:t>：</w:t>
      </w:r>
      <w:r>
        <w:rPr>
          <w:rFonts w:hint="default" w:ascii="Times New Roman" w:hAnsi="Times New Roman" w:eastAsia="仿宋_GB2312" w:cs="Times New Roman"/>
          <w:snapToGrid/>
          <w:spacing w:val="0"/>
          <w:kern w:val="2"/>
          <w:position w:val="0"/>
          <w:sz w:val="32"/>
          <w:szCs w:val="32"/>
          <w:lang w:val="en-US" w:eastAsia="zh-CN" w:bidi="ar-SA"/>
        </w:rPr>
        <w:t>该项目资金为哈密市伊州区本级财政配套资金，由哈密市伊州区住房和城乡建设局（以下简称“区住建局”）进行预算编制及申报</w:t>
      </w:r>
      <w:r>
        <w:rPr>
          <w:rFonts w:hint="default" w:ascii="Times New Roman" w:hAnsi="Times New Roman" w:eastAsia="仿宋" w:cs="Times New Roman"/>
          <w:spacing w:val="0"/>
          <w:position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仿宋" w:cs="Times New Roman"/>
          <w:spacing w:val="0"/>
          <w:position w:val="0"/>
          <w:sz w:val="31"/>
          <w:szCs w:val="31"/>
        </w:rPr>
      </w:pPr>
      <w:r>
        <w:rPr>
          <w:rFonts w:hint="default" w:ascii="Times New Roman" w:hAnsi="Times New Roman" w:eastAsia="仿宋_GB2312" w:cs="Times New Roman"/>
          <w:b/>
          <w:bCs/>
          <w:snapToGrid/>
          <w:spacing w:val="0"/>
          <w:kern w:val="2"/>
          <w:position w:val="0"/>
          <w:sz w:val="32"/>
          <w:szCs w:val="32"/>
          <w:lang w:val="en-US" w:eastAsia="zh-CN" w:bidi="ar-SA"/>
        </w:rPr>
        <w:t>资金拨付</w:t>
      </w:r>
      <w:r>
        <w:rPr>
          <w:rFonts w:hint="default" w:ascii="Times New Roman" w:hAnsi="Times New Roman" w:eastAsia="仿宋" w:cs="Times New Roman"/>
          <w:b/>
          <w:bCs/>
          <w:spacing w:val="0"/>
          <w:position w:val="0"/>
          <w:sz w:val="31"/>
          <w:szCs w:val="31"/>
        </w:rPr>
        <w:t>：</w:t>
      </w:r>
      <w:r>
        <w:rPr>
          <w:rFonts w:hint="default" w:ascii="Times New Roman" w:hAnsi="Times New Roman" w:eastAsia="仿宋_GB2312" w:cs="Times New Roman"/>
          <w:snapToGrid/>
          <w:spacing w:val="0"/>
          <w:kern w:val="2"/>
          <w:position w:val="0"/>
          <w:sz w:val="32"/>
          <w:szCs w:val="32"/>
          <w:lang w:val="en-US" w:eastAsia="zh-CN" w:bidi="ar-SA"/>
        </w:rPr>
        <w:t>哈密市伊州区财政局（以下简称“区财政局”）根据资金文件及区住建局提供的资金申请，及时将项目指标下达至目标单位。在项目预算指标下达后，由区住建局按照规定使用开展“市政、园林、环卫一体化”第三方服务采购工作，切实规范专项资金管理，确保资金专款专用，按计划实现项目预期目标，发挥资金使用效益</w:t>
      </w:r>
      <w:r>
        <w:rPr>
          <w:rFonts w:hint="default" w:ascii="Times New Roman" w:hAnsi="Times New Roman" w:eastAsia="仿宋" w:cs="Times New Roman"/>
          <w:spacing w:val="0"/>
          <w:position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仿宋_GB2312" w:cs="Times New Roman"/>
          <w:b/>
          <w:bCs/>
          <w:snapToGrid/>
          <w:spacing w:val="0"/>
          <w:kern w:val="2"/>
          <w:position w:val="0"/>
          <w:sz w:val="32"/>
          <w:szCs w:val="32"/>
          <w:lang w:val="en-US" w:eastAsia="zh-CN" w:bidi="ar-SA"/>
        </w:rPr>
      </w:pPr>
      <w:r>
        <w:rPr>
          <w:rFonts w:hint="default" w:ascii="Times New Roman" w:hAnsi="Times New Roman" w:eastAsia="仿宋_GB2312" w:cs="Times New Roman"/>
          <w:b/>
          <w:bCs/>
          <w:snapToGrid/>
          <w:spacing w:val="0"/>
          <w:kern w:val="2"/>
          <w:position w:val="0"/>
          <w:sz w:val="32"/>
          <w:szCs w:val="32"/>
          <w:lang w:val="en-US" w:eastAsia="zh-CN" w:bidi="ar-SA"/>
        </w:rPr>
        <w:t>(二)项目实施情况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 w:cs="Times New Roman"/>
          <w:b w:val="0"/>
          <w:bCs w:val="0"/>
          <w:spacing w:val="0"/>
          <w:position w:val="0"/>
          <w:sz w:val="31"/>
          <w:szCs w:val="31"/>
        </w:rPr>
      </w:pPr>
      <w:r>
        <w:rPr>
          <w:rFonts w:hint="default" w:ascii="Times New Roman" w:hAnsi="Times New Roman" w:eastAsia="仿宋_GB2312" w:cs="Times New Roman"/>
          <w:b w:val="0"/>
          <w:bCs w:val="0"/>
          <w:snapToGrid/>
          <w:spacing w:val="0"/>
          <w:kern w:val="2"/>
          <w:position w:val="0"/>
          <w:sz w:val="32"/>
          <w:szCs w:val="32"/>
          <w:lang w:val="en-US" w:eastAsia="zh-CN" w:bidi="ar-SA"/>
        </w:rPr>
        <w:t>1.主要内容</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 w:cs="Times New Roman"/>
          <w:spacing w:val="0"/>
          <w:position w:val="0"/>
          <w:sz w:val="31"/>
          <w:szCs w:val="31"/>
        </w:rPr>
      </w:pPr>
      <w:r>
        <w:rPr>
          <w:rFonts w:hint="default" w:ascii="Times New Roman" w:hAnsi="Times New Roman" w:eastAsia="仿宋_GB2312" w:cs="Times New Roman"/>
          <w:snapToGrid/>
          <w:spacing w:val="0"/>
          <w:kern w:val="2"/>
          <w:position w:val="0"/>
          <w:sz w:val="32"/>
          <w:szCs w:val="32"/>
          <w:lang w:val="en-US" w:eastAsia="zh-CN" w:bidi="ar-SA"/>
        </w:rPr>
        <w:t>本项目实施的主要内容：1.城乡环卫保洁管理方面：通路清扫保洁服务面积12629003.66平方米、垃圾收运124319.57吨/年、中转站4座、公厕保洁114座、旱厕1座、垃圾填埋场1座、智慧环卫1套、停车场1项、冬季除雪9022920.121平方米；2.园林绿化及公园管理方面：6842546.11平方米。3.市政设施养护方面：市政道路桥梁养护4132559.33平方米、路灯照明设施管养19518个</w:t>
      </w:r>
      <w:r>
        <w:rPr>
          <w:rFonts w:hint="default" w:ascii="Times New Roman" w:hAnsi="Times New Roman" w:eastAsia="仿宋" w:cs="Times New Roman"/>
          <w:spacing w:val="0"/>
          <w:position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textAlignment w:val="baseline"/>
        <w:rPr>
          <w:rFonts w:hint="default" w:ascii="Times New Roman" w:hAnsi="Times New Roman" w:eastAsia="仿宋" w:cs="Times New Roman"/>
          <w:spacing w:val="0"/>
          <w:position w:val="0"/>
          <w:sz w:val="31"/>
          <w:szCs w:val="31"/>
        </w:rPr>
      </w:pPr>
      <w:r>
        <w:rPr>
          <w:rFonts w:hint="default" w:ascii="Times New Roman" w:hAnsi="Times New Roman" w:eastAsia="Times New Roman" w:cs="Times New Roman"/>
          <w:spacing w:val="0"/>
          <w:position w:val="0"/>
          <w:sz w:val="31"/>
          <w:szCs w:val="31"/>
        </w:rPr>
        <w:t>2.</w:t>
      </w:r>
      <w:r>
        <w:rPr>
          <w:rFonts w:hint="default" w:ascii="Times New Roman" w:hAnsi="Times New Roman" w:eastAsia="仿宋_GB2312" w:cs="Times New Roman"/>
          <w:snapToGrid/>
          <w:spacing w:val="0"/>
          <w:kern w:val="2"/>
          <w:position w:val="0"/>
          <w:sz w:val="32"/>
          <w:szCs w:val="32"/>
          <w:lang w:val="en-US" w:eastAsia="zh-CN" w:bidi="ar-SA"/>
        </w:rPr>
        <w:t>资金投入和使用情况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position w:val="0"/>
          <w:sz w:val="31"/>
          <w:szCs w:val="31"/>
        </w:rPr>
      </w:pPr>
      <w:r>
        <w:rPr>
          <w:rFonts w:hint="default" w:ascii="Times New Roman" w:hAnsi="Times New Roman" w:eastAsia="仿宋_GB2312" w:cs="Times New Roman"/>
          <w:snapToGrid/>
          <w:spacing w:val="0"/>
          <w:kern w:val="2"/>
          <w:position w:val="0"/>
          <w:sz w:val="32"/>
          <w:szCs w:val="32"/>
          <w:lang w:val="en-US" w:eastAsia="zh-CN" w:bidi="ar-SA"/>
        </w:rPr>
        <w:t>该项目预算资金总额为26980.13万元，区本级财政资金26980.13万元。截至2025年12月31日，区本级财政资金已到位26980.13万元，资金到位率100%</w:t>
      </w:r>
      <w:r>
        <w:rPr>
          <w:rFonts w:hint="default" w:ascii="Times New Roman" w:hAnsi="Times New Roman" w:eastAsia="仿宋" w:cs="Times New Roman"/>
          <w:spacing w:val="0"/>
          <w:position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position w:val="0"/>
          <w:sz w:val="31"/>
          <w:szCs w:val="31"/>
        </w:rPr>
      </w:pPr>
      <w:r>
        <w:rPr>
          <w:rFonts w:hint="default" w:ascii="Times New Roman" w:hAnsi="Times New Roman" w:eastAsia="仿宋_GB2312" w:cs="Times New Roman"/>
          <w:snapToGrid/>
          <w:spacing w:val="0"/>
          <w:kern w:val="2"/>
          <w:position w:val="0"/>
          <w:sz w:val="32"/>
          <w:szCs w:val="32"/>
          <w:lang w:val="en-US" w:eastAsia="zh-CN" w:bidi="ar-SA"/>
        </w:rPr>
        <w:t>“市政、园林、环卫一体化”第三方服务采购项目资金26980.13万元，截至2025年12月31日，实际支出25930.18万元，预算执行率为96.11%。资金具体情况见下表</w:t>
      </w:r>
      <w:r>
        <w:rPr>
          <w:rFonts w:hint="default" w:ascii="Times New Roman" w:hAnsi="Times New Roman" w:eastAsia="仿宋" w:cs="Times New Roman"/>
          <w:spacing w:val="0"/>
          <w:position w:val="0"/>
          <w:sz w:val="31"/>
          <w:szCs w:val="31"/>
        </w:rPr>
        <w:t>。</w:t>
      </w:r>
    </w:p>
    <w:p>
      <w:pPr>
        <w:spacing w:line="221" w:lineRule="auto"/>
        <w:ind w:left="2794"/>
        <w:rPr>
          <w:rFonts w:hint="default" w:ascii="Times New Roman" w:hAnsi="Times New Roman" w:eastAsia="仿宋" w:cs="Times New Roman"/>
          <w:sz w:val="28"/>
          <w:szCs w:val="28"/>
        </w:rPr>
      </w:pPr>
      <w:r>
        <w:rPr>
          <w:rFonts w:hint="default" w:ascii="Times New Roman" w:hAnsi="Times New Roman" w:eastAsia="仿宋" w:cs="Times New Roman"/>
          <w:b/>
          <w:bCs/>
          <w:spacing w:val="-6"/>
          <w:sz w:val="28"/>
          <w:szCs w:val="28"/>
        </w:rPr>
        <w:t>资金预算执行率情况表</w:t>
      </w:r>
    </w:p>
    <w:p>
      <w:pPr>
        <w:spacing w:before="168" w:line="228" w:lineRule="auto"/>
        <w:ind w:left="7283"/>
        <w:rPr>
          <w:rFonts w:hint="default" w:ascii="Times New Roman" w:hAnsi="Times New Roman" w:eastAsia="宋体" w:cs="Times New Roman"/>
          <w:sz w:val="20"/>
          <w:szCs w:val="20"/>
        </w:rPr>
      </w:pPr>
      <w:r>
        <w:rPr>
          <w:rFonts w:hint="default" w:ascii="Times New Roman" w:hAnsi="Times New Roman" w:eastAsia="宋体" w:cs="Times New Roman"/>
          <w:spacing w:val="7"/>
          <w:sz w:val="20"/>
          <w:szCs w:val="20"/>
        </w:rPr>
        <w:t>单位：万元</w:t>
      </w:r>
    </w:p>
    <w:p>
      <w:pPr>
        <w:spacing w:line="136" w:lineRule="auto"/>
        <w:rPr>
          <w:rFonts w:hint="default" w:ascii="Times New Roman" w:hAnsi="Times New Roman" w:cs="Times New Roman"/>
          <w:sz w:val="2"/>
        </w:rPr>
      </w:pPr>
    </w:p>
    <w:tbl>
      <w:tblPr>
        <w:tblStyle w:val="8"/>
        <w:tblW w:w="8306" w:type="dxa"/>
        <w:tblInd w:w="1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2"/>
        <w:gridCol w:w="1297"/>
        <w:gridCol w:w="1297"/>
        <w:gridCol w:w="1555"/>
        <w:gridCol w:w="1298"/>
        <w:gridCol w:w="155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1" w:hRule="atLeast"/>
        </w:trPr>
        <w:tc>
          <w:tcPr>
            <w:tcW w:w="1302" w:type="dxa"/>
            <w:vAlign w:val="top"/>
          </w:tcPr>
          <w:p>
            <w:pPr>
              <w:spacing w:before="51" w:line="223" w:lineRule="auto"/>
              <w:ind w:left="232"/>
              <w:rPr>
                <w:rFonts w:hint="default" w:ascii="Times New Roman" w:hAnsi="Times New Roman" w:eastAsia="仿宋" w:cs="Times New Roman"/>
                <w:sz w:val="22"/>
                <w:szCs w:val="22"/>
              </w:rPr>
            </w:pPr>
            <w:r>
              <w:rPr>
                <w:rFonts w:hint="default" w:ascii="Times New Roman" w:hAnsi="Times New Roman" w:eastAsia="仿宋" w:cs="Times New Roman"/>
                <w:b/>
                <w:bCs/>
                <w:spacing w:val="-8"/>
                <w:sz w:val="22"/>
                <w:szCs w:val="22"/>
              </w:rPr>
              <w:t>资金计划</w:t>
            </w:r>
          </w:p>
          <w:p>
            <w:pPr>
              <w:spacing w:before="45" w:line="217" w:lineRule="auto"/>
              <w:ind w:left="225"/>
              <w:rPr>
                <w:rFonts w:hint="default" w:ascii="Times New Roman" w:hAnsi="Times New Roman" w:eastAsia="仿宋" w:cs="Times New Roman"/>
                <w:sz w:val="22"/>
                <w:szCs w:val="22"/>
              </w:rPr>
            </w:pPr>
            <w:r>
              <w:rPr>
                <w:rFonts w:hint="default" w:ascii="Times New Roman" w:hAnsi="Times New Roman" w:eastAsia="仿宋" w:cs="Times New Roman"/>
                <w:b/>
                <w:bCs/>
                <w:spacing w:val="-7"/>
                <w:sz w:val="22"/>
                <w:szCs w:val="22"/>
              </w:rPr>
              <w:t>下达时间</w:t>
            </w:r>
          </w:p>
        </w:tc>
        <w:tc>
          <w:tcPr>
            <w:tcW w:w="1297" w:type="dxa"/>
            <w:vAlign w:val="top"/>
          </w:tcPr>
          <w:p>
            <w:pPr>
              <w:spacing w:before="51" w:line="223" w:lineRule="auto"/>
              <w:ind w:left="228"/>
              <w:rPr>
                <w:rFonts w:hint="default" w:ascii="Times New Roman" w:hAnsi="Times New Roman" w:eastAsia="仿宋" w:cs="Times New Roman"/>
                <w:sz w:val="22"/>
                <w:szCs w:val="22"/>
              </w:rPr>
            </w:pPr>
            <w:r>
              <w:rPr>
                <w:rFonts w:hint="default" w:ascii="Times New Roman" w:hAnsi="Times New Roman" w:eastAsia="仿宋" w:cs="Times New Roman"/>
                <w:b/>
                <w:bCs/>
                <w:spacing w:val="-8"/>
                <w:sz w:val="22"/>
                <w:szCs w:val="22"/>
              </w:rPr>
              <w:t>资金计划</w:t>
            </w:r>
          </w:p>
          <w:p>
            <w:pPr>
              <w:spacing w:before="45" w:line="217" w:lineRule="auto"/>
              <w:ind w:left="221"/>
              <w:rPr>
                <w:rFonts w:hint="default" w:ascii="Times New Roman" w:hAnsi="Times New Roman" w:eastAsia="仿宋" w:cs="Times New Roman"/>
                <w:sz w:val="22"/>
                <w:szCs w:val="22"/>
              </w:rPr>
            </w:pPr>
            <w:r>
              <w:rPr>
                <w:rFonts w:hint="default" w:ascii="Times New Roman" w:hAnsi="Times New Roman" w:eastAsia="仿宋" w:cs="Times New Roman"/>
                <w:b/>
                <w:bCs/>
                <w:spacing w:val="-7"/>
                <w:sz w:val="22"/>
                <w:szCs w:val="22"/>
              </w:rPr>
              <w:t>下达金额</w:t>
            </w:r>
          </w:p>
        </w:tc>
        <w:tc>
          <w:tcPr>
            <w:tcW w:w="1297" w:type="dxa"/>
            <w:vAlign w:val="top"/>
          </w:tcPr>
          <w:p>
            <w:pPr>
              <w:spacing w:before="51" w:line="239" w:lineRule="auto"/>
              <w:ind w:left="450" w:right="204" w:hanging="227"/>
              <w:rPr>
                <w:rFonts w:hint="default" w:ascii="Times New Roman" w:hAnsi="Times New Roman" w:eastAsia="仿宋" w:cs="Times New Roman"/>
                <w:sz w:val="22"/>
                <w:szCs w:val="22"/>
              </w:rPr>
            </w:pPr>
            <w:r>
              <w:rPr>
                <w:rFonts w:hint="default" w:ascii="Times New Roman" w:hAnsi="Times New Roman" w:eastAsia="仿宋" w:cs="Times New Roman"/>
                <w:b/>
                <w:bCs/>
                <w:spacing w:val="-7"/>
                <w:sz w:val="22"/>
                <w:szCs w:val="22"/>
              </w:rPr>
              <w:t>实际到位</w:t>
            </w:r>
            <w:r>
              <w:rPr>
                <w:rFonts w:hint="default" w:ascii="Times New Roman" w:hAnsi="Times New Roman" w:eastAsia="仿宋" w:cs="Times New Roman"/>
                <w:b/>
                <w:bCs/>
                <w:spacing w:val="-15"/>
                <w:sz w:val="22"/>
                <w:szCs w:val="22"/>
              </w:rPr>
              <w:t>资金</w:t>
            </w:r>
          </w:p>
        </w:tc>
        <w:tc>
          <w:tcPr>
            <w:tcW w:w="1555" w:type="dxa"/>
            <w:vAlign w:val="top"/>
          </w:tcPr>
          <w:p>
            <w:pPr>
              <w:spacing w:before="207" w:line="222" w:lineRule="auto"/>
              <w:ind w:left="248"/>
              <w:rPr>
                <w:rFonts w:hint="default" w:ascii="Times New Roman" w:hAnsi="Times New Roman" w:eastAsia="仿宋" w:cs="Times New Roman"/>
                <w:sz w:val="22"/>
                <w:szCs w:val="22"/>
              </w:rPr>
            </w:pPr>
            <w:r>
              <w:rPr>
                <w:rFonts w:hint="default" w:ascii="Times New Roman" w:hAnsi="Times New Roman" w:eastAsia="仿宋" w:cs="Times New Roman"/>
                <w:b/>
                <w:bCs/>
                <w:spacing w:val="-7"/>
                <w:sz w:val="22"/>
                <w:szCs w:val="22"/>
              </w:rPr>
              <w:t>资金到位率</w:t>
            </w:r>
          </w:p>
        </w:tc>
        <w:tc>
          <w:tcPr>
            <w:tcW w:w="1298" w:type="dxa"/>
            <w:vAlign w:val="top"/>
          </w:tcPr>
          <w:p>
            <w:pPr>
              <w:spacing w:before="51" w:line="239" w:lineRule="auto"/>
              <w:ind w:left="451" w:right="203" w:hanging="227"/>
              <w:rPr>
                <w:rFonts w:hint="default" w:ascii="Times New Roman" w:hAnsi="Times New Roman" w:eastAsia="仿宋" w:cs="Times New Roman"/>
                <w:sz w:val="22"/>
                <w:szCs w:val="22"/>
              </w:rPr>
            </w:pPr>
            <w:r>
              <w:rPr>
                <w:rFonts w:hint="default" w:ascii="Times New Roman" w:hAnsi="Times New Roman" w:eastAsia="仿宋" w:cs="Times New Roman"/>
                <w:b/>
                <w:bCs/>
                <w:spacing w:val="-7"/>
                <w:sz w:val="22"/>
                <w:szCs w:val="22"/>
              </w:rPr>
              <w:t>实际支付</w:t>
            </w:r>
            <w:r>
              <w:rPr>
                <w:rFonts w:hint="default" w:ascii="Times New Roman" w:hAnsi="Times New Roman" w:eastAsia="仿宋" w:cs="Times New Roman"/>
                <w:b/>
                <w:bCs/>
                <w:spacing w:val="-15"/>
                <w:sz w:val="22"/>
                <w:szCs w:val="22"/>
              </w:rPr>
              <w:t>资金</w:t>
            </w:r>
          </w:p>
        </w:tc>
        <w:tc>
          <w:tcPr>
            <w:tcW w:w="1557" w:type="dxa"/>
            <w:vAlign w:val="top"/>
          </w:tcPr>
          <w:p>
            <w:pPr>
              <w:spacing w:before="206" w:line="222" w:lineRule="auto"/>
              <w:ind w:left="239"/>
              <w:rPr>
                <w:rFonts w:hint="default" w:ascii="Times New Roman" w:hAnsi="Times New Roman" w:eastAsia="仿宋" w:cs="Times New Roman"/>
                <w:sz w:val="22"/>
                <w:szCs w:val="22"/>
              </w:rPr>
            </w:pPr>
            <w:r>
              <w:rPr>
                <w:rFonts w:hint="default" w:ascii="Times New Roman" w:hAnsi="Times New Roman" w:eastAsia="仿宋" w:cs="Times New Roman"/>
                <w:b/>
                <w:bCs/>
                <w:spacing w:val="-5"/>
                <w:sz w:val="22"/>
                <w:szCs w:val="22"/>
              </w:rPr>
              <w:t>预算执行率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8" w:hRule="atLeast"/>
        </w:trPr>
        <w:tc>
          <w:tcPr>
            <w:tcW w:w="1302" w:type="dxa"/>
            <w:vAlign w:val="top"/>
          </w:tcPr>
          <w:p>
            <w:pPr>
              <w:spacing w:before="118" w:line="220" w:lineRule="auto"/>
              <w:ind w:left="295"/>
              <w:rPr>
                <w:rFonts w:hint="default" w:ascii="Times New Roman" w:hAnsi="Times New Roman" w:eastAsia="宋体" w:cs="Times New Roman"/>
                <w:sz w:val="22"/>
                <w:szCs w:val="22"/>
              </w:rPr>
            </w:pPr>
            <w:r>
              <w:rPr>
                <w:rFonts w:hint="default" w:ascii="Times New Roman" w:hAnsi="Times New Roman" w:eastAsia="Times New Roman" w:cs="Times New Roman"/>
                <w:spacing w:val="-1"/>
                <w:sz w:val="22"/>
                <w:szCs w:val="22"/>
              </w:rPr>
              <w:t>2025</w:t>
            </w:r>
            <w:r>
              <w:rPr>
                <w:rFonts w:hint="default" w:ascii="Times New Roman" w:hAnsi="Times New Roman" w:eastAsia="宋体" w:cs="Times New Roman"/>
                <w:spacing w:val="-1"/>
                <w:sz w:val="22"/>
                <w:szCs w:val="22"/>
              </w:rPr>
              <w:t>年</w:t>
            </w:r>
          </w:p>
        </w:tc>
        <w:tc>
          <w:tcPr>
            <w:tcW w:w="1297" w:type="dxa"/>
            <w:vAlign w:val="top"/>
          </w:tcPr>
          <w:p>
            <w:pPr>
              <w:spacing w:before="153" w:line="189" w:lineRule="auto"/>
              <w:ind w:left="236"/>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
                <w:sz w:val="22"/>
                <w:szCs w:val="22"/>
              </w:rPr>
              <w:t>26980.13</w:t>
            </w:r>
          </w:p>
        </w:tc>
        <w:tc>
          <w:tcPr>
            <w:tcW w:w="1297" w:type="dxa"/>
            <w:vAlign w:val="top"/>
          </w:tcPr>
          <w:p>
            <w:pPr>
              <w:spacing w:before="153" w:line="189" w:lineRule="auto"/>
              <w:ind w:left="237"/>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
                <w:sz w:val="22"/>
                <w:szCs w:val="22"/>
              </w:rPr>
              <w:t>26980.13</w:t>
            </w:r>
          </w:p>
        </w:tc>
        <w:tc>
          <w:tcPr>
            <w:tcW w:w="1555" w:type="dxa"/>
            <w:vAlign w:val="top"/>
          </w:tcPr>
          <w:p>
            <w:pPr>
              <w:spacing w:before="153" w:line="189" w:lineRule="auto"/>
              <w:ind w:left="543"/>
              <w:rPr>
                <w:rFonts w:hint="default" w:ascii="Times New Roman" w:hAnsi="Times New Roman" w:eastAsia="Times New Roman" w:cs="Times New Roman"/>
                <w:sz w:val="22"/>
                <w:szCs w:val="22"/>
              </w:rPr>
            </w:pPr>
            <w:r>
              <w:rPr>
                <w:rFonts w:hint="default" w:ascii="Times New Roman" w:hAnsi="Times New Roman" w:eastAsia="Times New Roman" w:cs="Times New Roman"/>
                <w:spacing w:val="-6"/>
                <w:sz w:val="22"/>
                <w:szCs w:val="22"/>
              </w:rPr>
              <w:t>100%</w:t>
            </w:r>
          </w:p>
        </w:tc>
        <w:tc>
          <w:tcPr>
            <w:tcW w:w="1298" w:type="dxa"/>
            <w:vAlign w:val="top"/>
          </w:tcPr>
          <w:p>
            <w:pPr>
              <w:spacing w:before="153" w:line="189" w:lineRule="auto"/>
              <w:ind w:left="239"/>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
                <w:sz w:val="22"/>
                <w:szCs w:val="22"/>
              </w:rPr>
              <w:t>25930.18</w:t>
            </w:r>
          </w:p>
        </w:tc>
        <w:tc>
          <w:tcPr>
            <w:tcW w:w="1557" w:type="dxa"/>
            <w:vAlign w:val="top"/>
          </w:tcPr>
          <w:p>
            <w:pPr>
              <w:spacing w:before="153" w:line="189" w:lineRule="auto"/>
              <w:ind w:left="445"/>
              <w:rPr>
                <w:rFonts w:hint="default" w:ascii="Times New Roman" w:hAnsi="Times New Roman" w:eastAsia="Times New Roman" w:cs="Times New Roman"/>
                <w:sz w:val="22"/>
                <w:szCs w:val="22"/>
              </w:rPr>
            </w:pPr>
            <w:r>
              <w:rPr>
                <w:rFonts w:hint="default" w:ascii="Times New Roman" w:hAnsi="Times New Roman" w:eastAsia="Times New Roman" w:cs="Times New Roman"/>
                <w:spacing w:val="-6"/>
                <w:sz w:val="22"/>
                <w:szCs w:val="22"/>
              </w:rPr>
              <w:t>96.11%</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仿宋_GB2312" w:cs="Times New Roman"/>
          <w:b/>
          <w:bCs/>
          <w:snapToGrid/>
          <w:spacing w:val="0"/>
          <w:kern w:val="2"/>
          <w:sz w:val="32"/>
          <w:szCs w:val="32"/>
          <w:lang w:val="en-US" w:eastAsia="zh-CN" w:bidi="ar-SA"/>
        </w:rPr>
      </w:pPr>
      <w:r>
        <w:rPr>
          <w:rFonts w:hint="default" w:ascii="Times New Roman" w:hAnsi="Times New Roman" w:eastAsia="仿宋_GB2312" w:cs="Times New Roman"/>
          <w:b/>
          <w:bCs/>
          <w:snapToGrid/>
          <w:spacing w:val="0"/>
          <w:kern w:val="2"/>
          <w:sz w:val="32"/>
          <w:szCs w:val="32"/>
          <w:lang w:val="en-US" w:eastAsia="zh-CN" w:bidi="ar-SA"/>
        </w:rPr>
        <w:t>(三)绩效目标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textAlignment w:val="baseline"/>
        <w:rPr>
          <w:rFonts w:hint="default" w:ascii="Times New Roman" w:hAnsi="Times New Roman" w:eastAsia="仿宋" w:cs="Times New Roman"/>
          <w:b w:val="0"/>
          <w:bCs w:val="0"/>
          <w:spacing w:val="0"/>
          <w:sz w:val="31"/>
          <w:szCs w:val="31"/>
        </w:rPr>
      </w:pPr>
      <w:r>
        <w:rPr>
          <w:rFonts w:hint="default" w:ascii="Times New Roman" w:hAnsi="Times New Roman" w:eastAsia="Times New Roman" w:cs="Times New Roman"/>
          <w:b w:val="0"/>
          <w:bCs w:val="0"/>
          <w:spacing w:val="0"/>
          <w:sz w:val="31"/>
          <w:szCs w:val="31"/>
        </w:rPr>
        <w:t>1.</w:t>
      </w:r>
      <w:r>
        <w:rPr>
          <w:rFonts w:hint="default" w:ascii="Times New Roman" w:hAnsi="Times New Roman" w:eastAsia="仿宋_GB2312" w:cs="Times New Roman"/>
          <w:b w:val="0"/>
          <w:bCs w:val="0"/>
          <w:snapToGrid/>
          <w:spacing w:val="0"/>
          <w:kern w:val="2"/>
          <w:sz w:val="32"/>
          <w:szCs w:val="32"/>
          <w:lang w:val="en-US" w:eastAsia="zh-CN" w:bidi="ar-SA"/>
        </w:rPr>
        <w:t>总目标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市政、园林、环卫一体化”第三方服务采购项目计划通过借助第三方专业服务企业的技术，确保道路干净整洁，保持园林景观美观，植物生长健康，提升环境质量，提升城市的整体形象和品质，促进文明城市创建，提升居民生活质量，增加居民日常休闲娱乐场所</w:t>
      </w:r>
      <w:r>
        <w:rPr>
          <w:rFonts w:hint="default" w:ascii="Times New Roman" w:hAnsi="Times New Roman" w:eastAsia="仿宋" w:cs="Times New Roman"/>
          <w:spacing w:val="0"/>
          <w:sz w:val="31"/>
          <w:szCs w:val="31"/>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right="0" w:rightChars="0" w:firstLine="643" w:firstLineChars="200"/>
        <w:textAlignment w:val="baseline"/>
        <w:rPr>
          <w:rFonts w:hint="default" w:ascii="Times New Roman" w:hAnsi="Times New Roman" w:eastAsia="仿宋_GB2312" w:cs="Times New Roman"/>
          <w:b/>
          <w:bCs/>
          <w:snapToGrid/>
          <w:spacing w:val="0"/>
          <w:kern w:val="2"/>
          <w:sz w:val="32"/>
          <w:szCs w:val="32"/>
          <w:lang w:val="en-US" w:eastAsia="zh-CN" w:bidi="ar-SA"/>
        </w:rPr>
      </w:pPr>
      <w:r>
        <w:rPr>
          <w:rFonts w:hint="default" w:ascii="Times New Roman" w:hAnsi="Times New Roman" w:eastAsia="仿宋_GB2312" w:cs="Times New Roman"/>
          <w:b/>
          <w:bCs/>
          <w:snapToGrid/>
          <w:spacing w:val="0"/>
          <w:kern w:val="2"/>
          <w:sz w:val="32"/>
          <w:szCs w:val="32"/>
          <w:lang w:val="en-US" w:eastAsia="zh-CN" w:bidi="ar-SA"/>
        </w:rPr>
        <w:t>2.年度绩效目标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根据《“市政、园林、环卫一体化”第三方服务采购项目绩效申报表》，本项目2025年度绩效目标见下表。</w:t>
      </w:r>
    </w:p>
    <w:p>
      <w:pPr>
        <w:spacing w:before="1" w:line="222" w:lineRule="auto"/>
        <w:ind w:left="951"/>
        <w:rPr>
          <w:rFonts w:hint="default" w:ascii="Times New Roman" w:hAnsi="Times New Roman" w:eastAsia="仿宋" w:cs="Times New Roman"/>
          <w:sz w:val="28"/>
          <w:szCs w:val="28"/>
        </w:rPr>
      </w:pPr>
      <w:r>
        <w:rPr>
          <w:rFonts w:hint="default" w:ascii="Times New Roman" w:hAnsi="Times New Roman" w:eastAsia="仿宋" w:cs="Times New Roman"/>
          <w:b/>
          <w:bCs/>
          <w:spacing w:val="-3"/>
          <w:sz w:val="28"/>
          <w:szCs w:val="28"/>
        </w:rPr>
        <w:t>“市政、园林、环卫一体化”第三方服务采购项目绩效目标表</w:t>
      </w:r>
    </w:p>
    <w:p>
      <w:pPr>
        <w:spacing w:line="113" w:lineRule="exact"/>
        <w:rPr>
          <w:rFonts w:hint="default" w:ascii="Times New Roman" w:hAnsi="Times New Roman" w:cs="Times New Roman"/>
        </w:rPr>
      </w:pPr>
    </w:p>
    <w:tbl>
      <w:tblPr>
        <w:tblStyle w:val="8"/>
        <w:tblW w:w="95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1"/>
        <w:gridCol w:w="1449"/>
        <w:gridCol w:w="1700"/>
        <w:gridCol w:w="862"/>
        <w:gridCol w:w="2294"/>
        <w:gridCol w:w="210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32" w:hRule="atLeast"/>
        </w:trPr>
        <w:tc>
          <w:tcPr>
            <w:tcW w:w="1101" w:type="dxa"/>
            <w:vAlign w:val="top"/>
          </w:tcPr>
          <w:p>
            <w:pPr>
              <w:spacing w:before="295" w:line="222" w:lineRule="auto"/>
              <w:ind w:left="123"/>
              <w:jc w:val="both"/>
              <w:rPr>
                <w:rFonts w:hint="default" w:ascii="Times New Roman" w:hAnsi="Times New Roman" w:eastAsia="仿宋" w:cs="Times New Roman"/>
                <w:sz w:val="22"/>
                <w:szCs w:val="22"/>
              </w:rPr>
            </w:pPr>
            <w:r>
              <w:rPr>
                <w:rFonts w:hint="default" w:ascii="Times New Roman" w:hAnsi="Times New Roman" w:eastAsia="仿宋" w:cs="Times New Roman"/>
                <w:spacing w:val="-4"/>
                <w:sz w:val="22"/>
                <w:szCs w:val="22"/>
              </w:rPr>
              <w:t>项目名称</w:t>
            </w:r>
          </w:p>
        </w:tc>
        <w:tc>
          <w:tcPr>
            <w:tcW w:w="8409" w:type="dxa"/>
            <w:gridSpan w:val="5"/>
            <w:vAlign w:val="top"/>
          </w:tcPr>
          <w:p>
            <w:pPr>
              <w:spacing w:before="295" w:line="223" w:lineRule="auto"/>
              <w:ind w:left="1770"/>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“市政、园林、环卫一体化”第三方服务采购项目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64" w:hRule="atLeast"/>
        </w:trPr>
        <w:tc>
          <w:tcPr>
            <w:tcW w:w="1101" w:type="dxa"/>
            <w:vAlign w:val="top"/>
          </w:tcPr>
          <w:p>
            <w:pPr>
              <w:spacing w:before="291" w:line="222" w:lineRule="auto"/>
              <w:ind w:left="126"/>
              <w:jc w:val="both"/>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实施单位</w:t>
            </w:r>
          </w:p>
        </w:tc>
        <w:tc>
          <w:tcPr>
            <w:tcW w:w="8409" w:type="dxa"/>
            <w:gridSpan w:val="5"/>
            <w:vAlign w:val="top"/>
          </w:tcPr>
          <w:p>
            <w:pPr>
              <w:spacing w:before="291" w:line="222" w:lineRule="auto"/>
              <w:ind w:left="2684"/>
              <w:jc w:val="both"/>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哈密市伊州区住房和城乡建设局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restart"/>
            <w:tcBorders>
              <w:bottom w:val="nil"/>
            </w:tcBorders>
            <w:vAlign w:val="top"/>
          </w:tcPr>
          <w:p>
            <w:pPr>
              <w:spacing w:before="291" w:line="225" w:lineRule="auto"/>
              <w:ind w:left="123"/>
              <w:jc w:val="both"/>
              <w:rPr>
                <w:rFonts w:hint="default" w:ascii="Times New Roman" w:hAnsi="Times New Roman" w:eastAsia="仿宋" w:cs="Times New Roman"/>
                <w:sz w:val="22"/>
                <w:szCs w:val="22"/>
              </w:rPr>
            </w:pPr>
            <w:r>
              <w:rPr>
                <w:rFonts w:hint="default" w:ascii="Times New Roman" w:hAnsi="Times New Roman" w:eastAsia="仿宋" w:cs="Times New Roman"/>
                <w:spacing w:val="-4"/>
                <w:sz w:val="22"/>
                <w:szCs w:val="22"/>
              </w:rPr>
              <w:t>项目资金</w:t>
            </w:r>
          </w:p>
          <w:p>
            <w:pPr>
              <w:pStyle w:val="9"/>
              <w:spacing w:line="258" w:lineRule="auto"/>
              <w:jc w:val="both"/>
              <w:rPr>
                <w:rFonts w:hint="default" w:ascii="Times New Roman" w:hAnsi="Times New Roman" w:cs="Times New Roman"/>
              </w:rPr>
            </w:pPr>
          </w:p>
          <w:p>
            <w:pPr>
              <w:spacing w:before="72" w:line="227" w:lineRule="auto"/>
              <w:ind w:left="122"/>
              <w:jc w:val="both"/>
              <w:rPr>
                <w:rFonts w:hint="default" w:ascii="Times New Roman" w:hAnsi="Times New Roman" w:eastAsia="仿宋" w:cs="Times New Roman"/>
                <w:sz w:val="22"/>
                <w:szCs w:val="22"/>
              </w:rPr>
            </w:pPr>
            <w:r>
              <w:rPr>
                <w:rFonts w:hint="default" w:ascii="Times New Roman" w:hAnsi="Times New Roman" w:eastAsia="仿宋" w:cs="Times New Roman"/>
                <w:spacing w:val="-4"/>
                <w:sz w:val="22"/>
                <w:szCs w:val="22"/>
              </w:rPr>
              <w:t>（万元）</w:t>
            </w:r>
          </w:p>
        </w:tc>
        <w:tc>
          <w:tcPr>
            <w:tcW w:w="4011" w:type="dxa"/>
            <w:gridSpan w:val="3"/>
            <w:vAlign w:val="top"/>
          </w:tcPr>
          <w:p>
            <w:pPr>
              <w:spacing w:before="292" w:line="223" w:lineRule="auto"/>
              <w:ind w:left="1250"/>
              <w:jc w:val="both"/>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年度资金总额：</w:t>
            </w:r>
          </w:p>
        </w:tc>
        <w:tc>
          <w:tcPr>
            <w:tcW w:w="4398" w:type="dxa"/>
            <w:gridSpan w:val="2"/>
            <w:vAlign w:val="top"/>
          </w:tcPr>
          <w:p>
            <w:pPr>
              <w:pStyle w:val="9"/>
              <w:spacing w:before="283" w:line="308" w:lineRule="exact"/>
              <w:ind w:left="1522"/>
              <w:jc w:val="both"/>
              <w:rPr>
                <w:rFonts w:hint="default" w:ascii="Times New Roman" w:hAnsi="Times New Roman" w:eastAsia="仿宋" w:cs="Times New Roman"/>
                <w:sz w:val="22"/>
                <w:szCs w:val="22"/>
              </w:rPr>
            </w:pPr>
            <w:r>
              <w:rPr>
                <w:rFonts w:hint="default" w:ascii="Times New Roman" w:hAnsi="Times New Roman" w:cs="Times New Roman"/>
                <w:spacing w:val="-6"/>
                <w:position w:val="2"/>
                <w:sz w:val="22"/>
                <w:szCs w:val="22"/>
              </w:rPr>
              <w:t>26980.13</w:t>
            </w:r>
            <w:r>
              <w:rPr>
                <w:rFonts w:hint="default" w:ascii="Times New Roman" w:hAnsi="Times New Roman" w:eastAsia="仿宋" w:cs="Times New Roman"/>
                <w:spacing w:val="-6"/>
                <w:position w:val="2"/>
                <w:sz w:val="22"/>
                <w:szCs w:val="22"/>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nil"/>
              <w:bottom w:val="nil"/>
            </w:tcBorders>
            <w:vAlign w:val="top"/>
          </w:tcPr>
          <w:p>
            <w:pPr>
              <w:pStyle w:val="9"/>
              <w:jc w:val="both"/>
              <w:rPr>
                <w:rFonts w:hint="default" w:ascii="Times New Roman" w:hAnsi="Times New Roman" w:cs="Times New Roman"/>
              </w:rPr>
            </w:pPr>
          </w:p>
        </w:tc>
        <w:tc>
          <w:tcPr>
            <w:tcW w:w="4011" w:type="dxa"/>
            <w:gridSpan w:val="3"/>
            <w:vAlign w:val="top"/>
          </w:tcPr>
          <w:p>
            <w:pPr>
              <w:spacing w:before="291" w:line="223" w:lineRule="auto"/>
              <w:ind w:left="1247"/>
              <w:jc w:val="both"/>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其中：财政拨款</w:t>
            </w:r>
          </w:p>
        </w:tc>
        <w:tc>
          <w:tcPr>
            <w:tcW w:w="4398" w:type="dxa"/>
            <w:gridSpan w:val="2"/>
            <w:vAlign w:val="top"/>
          </w:tcPr>
          <w:p>
            <w:pPr>
              <w:pStyle w:val="9"/>
              <w:spacing w:before="282" w:line="308" w:lineRule="exact"/>
              <w:ind w:left="1522"/>
              <w:jc w:val="both"/>
              <w:rPr>
                <w:rFonts w:hint="default" w:ascii="Times New Roman" w:hAnsi="Times New Roman" w:eastAsia="仿宋" w:cs="Times New Roman"/>
                <w:sz w:val="22"/>
                <w:szCs w:val="22"/>
              </w:rPr>
            </w:pPr>
            <w:r>
              <w:rPr>
                <w:rFonts w:hint="default" w:ascii="Times New Roman" w:hAnsi="Times New Roman" w:cs="Times New Roman"/>
                <w:spacing w:val="-6"/>
                <w:position w:val="2"/>
                <w:sz w:val="22"/>
                <w:szCs w:val="22"/>
              </w:rPr>
              <w:t>26980.13</w:t>
            </w:r>
            <w:r>
              <w:rPr>
                <w:rFonts w:hint="default" w:ascii="Times New Roman" w:hAnsi="Times New Roman" w:eastAsia="仿宋" w:cs="Times New Roman"/>
                <w:spacing w:val="-6"/>
                <w:position w:val="2"/>
                <w:sz w:val="22"/>
                <w:szCs w:val="22"/>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nil"/>
            </w:tcBorders>
            <w:vAlign w:val="top"/>
          </w:tcPr>
          <w:p>
            <w:pPr>
              <w:pStyle w:val="9"/>
              <w:jc w:val="both"/>
              <w:rPr>
                <w:rFonts w:hint="default" w:ascii="Times New Roman" w:hAnsi="Times New Roman" w:cs="Times New Roman"/>
              </w:rPr>
            </w:pPr>
          </w:p>
        </w:tc>
        <w:tc>
          <w:tcPr>
            <w:tcW w:w="4011" w:type="dxa"/>
            <w:gridSpan w:val="3"/>
            <w:vAlign w:val="top"/>
          </w:tcPr>
          <w:p>
            <w:pPr>
              <w:spacing w:before="291" w:line="222" w:lineRule="auto"/>
              <w:ind w:left="1579"/>
              <w:jc w:val="both"/>
              <w:rPr>
                <w:rFonts w:hint="default" w:ascii="Times New Roman" w:hAnsi="Times New Roman" w:eastAsia="仿宋" w:cs="Times New Roman"/>
                <w:sz w:val="22"/>
                <w:szCs w:val="22"/>
              </w:rPr>
            </w:pPr>
            <w:r>
              <w:rPr>
                <w:rFonts w:hint="default" w:ascii="Times New Roman" w:hAnsi="Times New Roman" w:eastAsia="仿宋" w:cs="Times New Roman"/>
                <w:spacing w:val="-4"/>
                <w:sz w:val="22"/>
                <w:szCs w:val="22"/>
              </w:rPr>
              <w:t>其他资金</w:t>
            </w:r>
          </w:p>
        </w:tc>
        <w:tc>
          <w:tcPr>
            <w:tcW w:w="4398" w:type="dxa"/>
            <w:gridSpan w:val="2"/>
            <w:vAlign w:val="top"/>
          </w:tcPr>
          <w:p>
            <w:pPr>
              <w:pStyle w:val="9"/>
              <w:spacing w:before="282" w:line="308" w:lineRule="exact"/>
              <w:ind w:left="1902"/>
              <w:jc w:val="both"/>
              <w:rPr>
                <w:rFonts w:hint="default" w:ascii="Times New Roman" w:hAnsi="Times New Roman" w:eastAsia="仿宋" w:cs="Times New Roman"/>
                <w:sz w:val="22"/>
                <w:szCs w:val="22"/>
              </w:rPr>
            </w:pPr>
            <w:r>
              <w:rPr>
                <w:rFonts w:hint="default" w:ascii="Times New Roman" w:hAnsi="Times New Roman" w:cs="Times New Roman"/>
                <w:spacing w:val="-12"/>
                <w:position w:val="2"/>
                <w:sz w:val="22"/>
                <w:szCs w:val="22"/>
              </w:rPr>
              <w:t>0</w:t>
            </w:r>
            <w:r>
              <w:rPr>
                <w:rFonts w:hint="default" w:ascii="Times New Roman" w:hAnsi="Times New Roman" w:eastAsia="仿宋" w:cs="Times New Roman"/>
                <w:spacing w:val="-12"/>
                <w:position w:val="2"/>
                <w:sz w:val="22"/>
                <w:szCs w:val="22"/>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restart"/>
            <w:tcBorders>
              <w:bottom w:val="nil"/>
            </w:tcBorders>
            <w:vAlign w:val="top"/>
          </w:tcPr>
          <w:p>
            <w:pPr>
              <w:spacing w:before="293" w:line="223" w:lineRule="auto"/>
              <w:ind w:left="131"/>
              <w:jc w:val="both"/>
              <w:rPr>
                <w:rFonts w:hint="default" w:ascii="Times New Roman" w:hAnsi="Times New Roman" w:eastAsia="仿宋" w:cs="Times New Roman"/>
                <w:sz w:val="22"/>
                <w:szCs w:val="22"/>
              </w:rPr>
            </w:pPr>
            <w:r>
              <w:rPr>
                <w:rFonts w:hint="default" w:ascii="Times New Roman" w:hAnsi="Times New Roman" w:eastAsia="仿宋" w:cs="Times New Roman"/>
                <w:spacing w:val="-6"/>
                <w:sz w:val="22"/>
                <w:szCs w:val="22"/>
              </w:rPr>
              <w:t>总体目标</w:t>
            </w:r>
          </w:p>
        </w:tc>
        <w:tc>
          <w:tcPr>
            <w:tcW w:w="8409" w:type="dxa"/>
            <w:gridSpan w:val="5"/>
            <w:vAlign w:val="top"/>
          </w:tcPr>
          <w:p>
            <w:pPr>
              <w:spacing w:before="293" w:line="223" w:lineRule="auto"/>
              <w:ind w:left="3559"/>
              <w:jc w:val="both"/>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年度绩效目标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04" w:hRule="atLeast"/>
        </w:trPr>
        <w:tc>
          <w:tcPr>
            <w:tcW w:w="1101" w:type="dxa"/>
            <w:vMerge w:val="continue"/>
            <w:tcBorders>
              <w:top w:val="nil"/>
            </w:tcBorders>
            <w:vAlign w:val="top"/>
          </w:tcPr>
          <w:p>
            <w:pPr>
              <w:pStyle w:val="9"/>
              <w:jc w:val="both"/>
              <w:rPr>
                <w:rFonts w:hint="default" w:ascii="Times New Roman" w:hAnsi="Times New Roman" w:cs="Times New Roman"/>
              </w:rPr>
            </w:pPr>
          </w:p>
        </w:tc>
        <w:tc>
          <w:tcPr>
            <w:tcW w:w="8409" w:type="dxa"/>
            <w:gridSpan w:val="5"/>
            <w:vAlign w:val="top"/>
          </w:tcPr>
          <w:p>
            <w:pPr>
              <w:spacing w:before="292" w:line="420" w:lineRule="auto"/>
              <w:ind w:left="130" w:right="106" w:hanging="8"/>
              <w:jc w:val="both"/>
              <w:rPr>
                <w:rFonts w:hint="default" w:ascii="Times New Roman" w:hAnsi="Times New Roman" w:eastAsia="仿宋" w:cs="Times New Roman"/>
                <w:sz w:val="22"/>
                <w:szCs w:val="22"/>
              </w:rPr>
            </w:pPr>
            <w:r>
              <w:rPr>
                <w:rFonts w:hint="default" w:ascii="Times New Roman" w:hAnsi="Times New Roman" w:eastAsia="仿宋" w:cs="Times New Roman"/>
                <w:spacing w:val="1"/>
                <w:sz w:val="22"/>
                <w:szCs w:val="22"/>
              </w:rPr>
              <w:t>通过借助第三方专业服务企业的技术，确保道路干净整洁，保持园林景观美</w:t>
            </w:r>
            <w:r>
              <w:rPr>
                <w:rFonts w:hint="default" w:ascii="Times New Roman" w:hAnsi="Times New Roman" w:eastAsia="仿宋" w:cs="Times New Roman"/>
                <w:sz w:val="22"/>
                <w:szCs w:val="22"/>
              </w:rPr>
              <w:t>观，植物</w:t>
            </w:r>
            <w:r>
              <w:rPr>
                <w:rFonts w:hint="default" w:ascii="Times New Roman" w:hAnsi="Times New Roman" w:eastAsia="仿宋" w:cs="Times New Roman"/>
                <w:spacing w:val="-5"/>
                <w:sz w:val="22"/>
                <w:szCs w:val="22"/>
              </w:rPr>
              <w:t>生长健康，提升环境质量，提升城市的整体形象和品质，促进文明城市创建</w:t>
            </w:r>
            <w:r>
              <w:rPr>
                <w:rFonts w:hint="default" w:ascii="Times New Roman" w:hAnsi="Times New Roman" w:eastAsia="仿宋" w:cs="Times New Roman"/>
                <w:spacing w:val="-6"/>
                <w:sz w:val="22"/>
                <w:szCs w:val="22"/>
              </w:rPr>
              <w:t>，提升居民</w:t>
            </w:r>
            <w:r>
              <w:rPr>
                <w:rFonts w:hint="default" w:ascii="Times New Roman" w:hAnsi="Times New Roman" w:eastAsia="仿宋" w:cs="Times New Roman"/>
                <w:spacing w:val="-2"/>
                <w:sz w:val="22"/>
                <w:szCs w:val="22"/>
              </w:rPr>
              <w:t>生活质量，增加居民日常休闲娱乐场所。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tcBorders>
              <w:bottom w:val="single" w:color="auto" w:sz="4" w:space="0"/>
            </w:tcBorders>
            <w:vAlign w:val="top"/>
          </w:tcPr>
          <w:p>
            <w:pPr>
              <w:pStyle w:val="9"/>
              <w:jc w:val="both"/>
              <w:rPr>
                <w:rFonts w:hint="default" w:ascii="Times New Roman" w:hAnsi="Times New Roman" w:cs="Times New Roman"/>
              </w:rPr>
            </w:pPr>
          </w:p>
        </w:tc>
        <w:tc>
          <w:tcPr>
            <w:tcW w:w="1449" w:type="dxa"/>
            <w:tcBorders>
              <w:bottom w:val="single" w:color="auto" w:sz="4" w:space="0"/>
            </w:tcBorders>
            <w:vAlign w:val="top"/>
          </w:tcPr>
          <w:p>
            <w:pPr>
              <w:spacing w:before="293" w:line="223" w:lineRule="auto"/>
              <w:ind w:left="299"/>
              <w:jc w:val="both"/>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一级指标</w:t>
            </w:r>
          </w:p>
        </w:tc>
        <w:tc>
          <w:tcPr>
            <w:tcW w:w="1700" w:type="dxa"/>
            <w:tcBorders>
              <w:bottom w:val="single" w:color="auto" w:sz="4" w:space="0"/>
            </w:tcBorders>
            <w:vAlign w:val="top"/>
          </w:tcPr>
          <w:p>
            <w:pPr>
              <w:spacing w:before="293" w:line="223" w:lineRule="auto"/>
              <w:ind w:left="428"/>
              <w:jc w:val="both"/>
              <w:rPr>
                <w:rFonts w:hint="default" w:ascii="Times New Roman" w:hAnsi="Times New Roman" w:eastAsia="仿宋" w:cs="Times New Roman"/>
                <w:sz w:val="22"/>
                <w:szCs w:val="22"/>
              </w:rPr>
            </w:pPr>
            <w:r>
              <w:rPr>
                <w:rFonts w:hint="default" w:ascii="Times New Roman" w:hAnsi="Times New Roman" w:eastAsia="仿宋" w:cs="Times New Roman"/>
                <w:spacing w:val="-6"/>
                <w:sz w:val="22"/>
                <w:szCs w:val="22"/>
              </w:rPr>
              <w:t>二级指标</w:t>
            </w:r>
          </w:p>
        </w:tc>
        <w:tc>
          <w:tcPr>
            <w:tcW w:w="3156" w:type="dxa"/>
            <w:gridSpan w:val="2"/>
            <w:vAlign w:val="top"/>
          </w:tcPr>
          <w:p>
            <w:pPr>
              <w:spacing w:before="293" w:line="223" w:lineRule="auto"/>
              <w:ind w:left="1158"/>
              <w:jc w:val="both"/>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三级指标</w:t>
            </w:r>
          </w:p>
        </w:tc>
        <w:tc>
          <w:tcPr>
            <w:tcW w:w="2104" w:type="dxa"/>
            <w:vAlign w:val="top"/>
          </w:tcPr>
          <w:p>
            <w:pPr>
              <w:spacing w:before="293" w:line="223" w:lineRule="auto"/>
              <w:ind w:left="734"/>
              <w:jc w:val="both"/>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指标值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restart"/>
            <w:tcBorders>
              <w:top w:val="single" w:color="auto" w:sz="4" w:space="0"/>
              <w:left w:val="single" w:color="auto" w:sz="4" w:space="0"/>
              <w:bottom w:val="single" w:color="auto" w:sz="4" w:space="0"/>
              <w:right w:val="single" w:color="auto" w:sz="4" w:space="0"/>
            </w:tcBorders>
            <w:vAlign w:val="top"/>
          </w:tcPr>
          <w:p>
            <w:pPr>
              <w:pStyle w:val="9"/>
              <w:spacing w:line="258" w:lineRule="auto"/>
              <w:jc w:val="both"/>
              <w:rPr>
                <w:rFonts w:hint="default" w:ascii="Times New Roman" w:hAnsi="Times New Roman" w:cs="Times New Roman"/>
              </w:rPr>
            </w:pPr>
          </w:p>
          <w:p>
            <w:pPr>
              <w:pStyle w:val="9"/>
              <w:spacing w:line="258" w:lineRule="auto"/>
              <w:jc w:val="both"/>
              <w:rPr>
                <w:rFonts w:hint="default" w:ascii="Times New Roman" w:hAnsi="Times New Roman" w:cs="Times New Roman"/>
              </w:rPr>
            </w:pPr>
          </w:p>
          <w:p>
            <w:pPr>
              <w:pStyle w:val="9"/>
              <w:spacing w:line="258" w:lineRule="auto"/>
              <w:jc w:val="both"/>
              <w:rPr>
                <w:rFonts w:hint="default" w:ascii="Times New Roman" w:hAnsi="Times New Roman" w:cs="Times New Roman"/>
              </w:rPr>
            </w:pPr>
          </w:p>
          <w:p>
            <w:pPr>
              <w:pStyle w:val="9"/>
              <w:spacing w:line="258" w:lineRule="auto"/>
              <w:jc w:val="both"/>
              <w:rPr>
                <w:rFonts w:hint="default" w:ascii="Times New Roman" w:hAnsi="Times New Roman" w:cs="Times New Roman"/>
              </w:rPr>
            </w:pPr>
          </w:p>
          <w:p>
            <w:pPr>
              <w:pStyle w:val="9"/>
              <w:spacing w:line="258" w:lineRule="auto"/>
              <w:jc w:val="both"/>
              <w:rPr>
                <w:rFonts w:hint="default" w:ascii="Times New Roman" w:hAnsi="Times New Roman" w:cs="Times New Roman"/>
              </w:rPr>
            </w:pPr>
          </w:p>
          <w:p>
            <w:pPr>
              <w:pStyle w:val="9"/>
              <w:spacing w:line="259" w:lineRule="auto"/>
              <w:jc w:val="both"/>
              <w:rPr>
                <w:rFonts w:hint="default" w:ascii="Times New Roman" w:hAnsi="Times New Roman" w:cs="Times New Roman"/>
              </w:rPr>
            </w:pPr>
          </w:p>
          <w:p>
            <w:pPr>
              <w:pStyle w:val="9"/>
              <w:spacing w:line="259" w:lineRule="auto"/>
              <w:jc w:val="both"/>
              <w:rPr>
                <w:rFonts w:hint="default" w:ascii="Times New Roman" w:hAnsi="Times New Roman" w:cs="Times New Roman"/>
              </w:rPr>
            </w:pPr>
          </w:p>
          <w:p>
            <w:pPr>
              <w:pStyle w:val="9"/>
              <w:spacing w:line="259" w:lineRule="auto"/>
              <w:jc w:val="both"/>
              <w:rPr>
                <w:rFonts w:hint="default" w:ascii="Times New Roman" w:hAnsi="Times New Roman" w:cs="Times New Roman"/>
              </w:rPr>
            </w:pPr>
          </w:p>
          <w:p>
            <w:pPr>
              <w:pStyle w:val="9"/>
              <w:spacing w:line="259" w:lineRule="auto"/>
              <w:jc w:val="both"/>
              <w:rPr>
                <w:rFonts w:hint="default" w:ascii="Times New Roman" w:hAnsi="Times New Roman" w:cs="Times New Roman"/>
              </w:rPr>
            </w:pPr>
          </w:p>
          <w:p>
            <w:pPr>
              <w:spacing w:before="72" w:line="223" w:lineRule="auto"/>
              <w:ind w:left="125"/>
              <w:jc w:val="both"/>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绩效指标</w:t>
            </w:r>
          </w:p>
        </w:tc>
        <w:tc>
          <w:tcPr>
            <w:tcW w:w="1449" w:type="dxa"/>
            <w:vMerge w:val="restart"/>
            <w:tcBorders>
              <w:top w:val="single" w:color="auto" w:sz="4" w:space="0"/>
              <w:left w:val="single" w:color="auto" w:sz="4" w:space="0"/>
              <w:bottom w:val="single" w:color="auto" w:sz="4" w:space="0"/>
              <w:right w:val="single" w:color="auto" w:sz="4" w:space="0"/>
            </w:tcBorders>
            <w:vAlign w:val="top"/>
          </w:tcPr>
          <w:p>
            <w:pPr>
              <w:pStyle w:val="9"/>
              <w:spacing w:line="252" w:lineRule="auto"/>
              <w:jc w:val="both"/>
              <w:rPr>
                <w:rFonts w:hint="default" w:ascii="Times New Roman" w:hAnsi="Times New Roman" w:cs="Times New Roman"/>
              </w:rPr>
            </w:pPr>
          </w:p>
          <w:p>
            <w:pPr>
              <w:pStyle w:val="9"/>
              <w:spacing w:line="253" w:lineRule="auto"/>
              <w:jc w:val="both"/>
              <w:rPr>
                <w:rFonts w:hint="default" w:ascii="Times New Roman" w:hAnsi="Times New Roman" w:cs="Times New Roman"/>
              </w:rPr>
            </w:pPr>
          </w:p>
          <w:p>
            <w:pPr>
              <w:pStyle w:val="9"/>
              <w:spacing w:line="253" w:lineRule="auto"/>
              <w:jc w:val="both"/>
              <w:rPr>
                <w:rFonts w:hint="default" w:ascii="Times New Roman" w:hAnsi="Times New Roman" w:cs="Times New Roman"/>
              </w:rPr>
            </w:pPr>
          </w:p>
          <w:p>
            <w:pPr>
              <w:pStyle w:val="9"/>
              <w:spacing w:line="253" w:lineRule="auto"/>
              <w:jc w:val="both"/>
              <w:rPr>
                <w:rFonts w:hint="default" w:ascii="Times New Roman" w:hAnsi="Times New Roman" w:cs="Times New Roman"/>
              </w:rPr>
            </w:pPr>
          </w:p>
          <w:p>
            <w:pPr>
              <w:pStyle w:val="9"/>
              <w:spacing w:line="253" w:lineRule="auto"/>
              <w:jc w:val="both"/>
              <w:rPr>
                <w:rFonts w:hint="default" w:ascii="Times New Roman" w:hAnsi="Times New Roman" w:cs="Times New Roman"/>
              </w:rPr>
            </w:pPr>
          </w:p>
          <w:p>
            <w:pPr>
              <w:pStyle w:val="9"/>
              <w:spacing w:line="253" w:lineRule="auto"/>
              <w:jc w:val="both"/>
              <w:rPr>
                <w:rFonts w:hint="default" w:ascii="Times New Roman" w:hAnsi="Times New Roman" w:cs="Times New Roman"/>
              </w:rPr>
            </w:pPr>
          </w:p>
          <w:p>
            <w:pPr>
              <w:pStyle w:val="9"/>
              <w:spacing w:line="253" w:lineRule="auto"/>
              <w:jc w:val="both"/>
              <w:rPr>
                <w:rFonts w:hint="default" w:ascii="Times New Roman" w:hAnsi="Times New Roman" w:cs="Times New Roman"/>
              </w:rPr>
            </w:pPr>
          </w:p>
          <w:p>
            <w:pPr>
              <w:pStyle w:val="9"/>
              <w:spacing w:line="253" w:lineRule="auto"/>
              <w:jc w:val="both"/>
              <w:rPr>
                <w:rFonts w:hint="default" w:ascii="Times New Roman" w:hAnsi="Times New Roman" w:cs="Times New Roman"/>
              </w:rPr>
            </w:pPr>
          </w:p>
          <w:p>
            <w:pPr>
              <w:spacing w:before="72" w:line="223" w:lineRule="auto"/>
              <w:ind w:left="297"/>
              <w:jc w:val="both"/>
              <w:rPr>
                <w:rFonts w:hint="default" w:ascii="Times New Roman" w:hAnsi="Times New Roman" w:eastAsia="仿宋" w:cs="Times New Roman"/>
                <w:sz w:val="22"/>
                <w:szCs w:val="22"/>
              </w:rPr>
            </w:pPr>
            <w:r>
              <w:rPr>
                <w:rFonts w:hint="default" w:ascii="Times New Roman" w:hAnsi="Times New Roman" w:eastAsia="仿宋" w:cs="Times New Roman"/>
                <w:spacing w:val="-4"/>
                <w:sz w:val="22"/>
                <w:szCs w:val="22"/>
              </w:rPr>
              <w:t>产出指标</w:t>
            </w:r>
          </w:p>
        </w:tc>
        <w:tc>
          <w:tcPr>
            <w:tcW w:w="1700" w:type="dxa"/>
            <w:vMerge w:val="restart"/>
            <w:tcBorders>
              <w:top w:val="single" w:color="auto" w:sz="4" w:space="0"/>
              <w:left w:val="single" w:color="auto" w:sz="4" w:space="0"/>
              <w:bottom w:val="single" w:color="auto" w:sz="4" w:space="0"/>
              <w:right w:val="single" w:color="auto" w:sz="4" w:space="0"/>
            </w:tcBorders>
            <w:vAlign w:val="top"/>
          </w:tcPr>
          <w:p>
            <w:pPr>
              <w:pStyle w:val="9"/>
              <w:spacing w:line="273" w:lineRule="auto"/>
              <w:jc w:val="both"/>
              <w:rPr>
                <w:rFonts w:hint="default" w:ascii="Times New Roman" w:hAnsi="Times New Roman" w:cs="Times New Roman"/>
              </w:rPr>
            </w:pPr>
          </w:p>
          <w:p>
            <w:pPr>
              <w:pStyle w:val="9"/>
              <w:spacing w:line="274" w:lineRule="auto"/>
              <w:jc w:val="both"/>
              <w:rPr>
                <w:rFonts w:hint="default" w:ascii="Times New Roman" w:hAnsi="Times New Roman" w:cs="Times New Roman"/>
              </w:rPr>
            </w:pPr>
          </w:p>
          <w:p>
            <w:pPr>
              <w:pStyle w:val="9"/>
              <w:spacing w:line="274" w:lineRule="auto"/>
              <w:jc w:val="both"/>
              <w:rPr>
                <w:rFonts w:hint="default" w:ascii="Times New Roman" w:hAnsi="Times New Roman" w:cs="Times New Roman"/>
              </w:rPr>
            </w:pPr>
          </w:p>
          <w:p>
            <w:pPr>
              <w:spacing w:before="71" w:line="223" w:lineRule="auto"/>
              <w:ind w:left="420"/>
              <w:jc w:val="both"/>
              <w:rPr>
                <w:rFonts w:hint="default" w:ascii="Times New Roman" w:hAnsi="Times New Roman" w:eastAsia="仿宋" w:cs="Times New Roman"/>
                <w:sz w:val="22"/>
                <w:szCs w:val="22"/>
              </w:rPr>
            </w:pPr>
            <w:r>
              <w:rPr>
                <w:rFonts w:hint="default" w:ascii="Times New Roman" w:hAnsi="Times New Roman" w:eastAsia="仿宋" w:cs="Times New Roman"/>
                <w:spacing w:val="-4"/>
                <w:sz w:val="22"/>
                <w:szCs w:val="22"/>
              </w:rPr>
              <w:t>数量指标</w:t>
            </w:r>
          </w:p>
        </w:tc>
        <w:tc>
          <w:tcPr>
            <w:tcW w:w="3156" w:type="dxa"/>
            <w:gridSpan w:val="2"/>
            <w:tcBorders>
              <w:left w:val="single" w:color="auto" w:sz="4" w:space="0"/>
            </w:tcBorders>
            <w:vAlign w:val="top"/>
          </w:tcPr>
          <w:p>
            <w:pPr>
              <w:spacing w:before="292" w:line="222" w:lineRule="auto"/>
              <w:ind w:left="386"/>
              <w:jc w:val="both"/>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城区及国省道路保洁面积</w:t>
            </w:r>
          </w:p>
        </w:tc>
        <w:tc>
          <w:tcPr>
            <w:tcW w:w="2104" w:type="dxa"/>
            <w:vAlign w:val="top"/>
          </w:tcPr>
          <w:p>
            <w:pPr>
              <w:pStyle w:val="9"/>
              <w:spacing w:before="284" w:line="304" w:lineRule="exact"/>
              <w:ind w:left="152"/>
              <w:jc w:val="both"/>
              <w:rPr>
                <w:rFonts w:hint="default" w:ascii="Times New Roman" w:hAnsi="Times New Roman" w:eastAsia="仿宋" w:cs="Times New Roman"/>
                <w:sz w:val="22"/>
                <w:szCs w:val="22"/>
              </w:rPr>
            </w:pPr>
            <w:r>
              <w:rPr>
                <w:rFonts w:hint="default" w:ascii="Times New Roman" w:hAnsi="Times New Roman" w:cs="Times New Roman"/>
                <w:spacing w:val="-11"/>
                <w:position w:val="1"/>
                <w:sz w:val="22"/>
                <w:szCs w:val="22"/>
              </w:rPr>
              <w:t>&gt;=12629004</w:t>
            </w:r>
            <w:r>
              <w:rPr>
                <w:rFonts w:hint="default" w:ascii="Times New Roman" w:hAnsi="Times New Roman" w:eastAsia="仿宋" w:cs="Times New Roman"/>
                <w:spacing w:val="-11"/>
                <w:position w:val="1"/>
                <w:sz w:val="22"/>
                <w:szCs w:val="22"/>
              </w:rPr>
              <w:t>平方米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97"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pStyle w:val="9"/>
              <w:jc w:val="both"/>
              <w:rPr>
                <w:rFonts w:hint="default" w:ascii="Times New Roman" w:hAnsi="Times New Roman" w:cs="Times New Roman"/>
              </w:rPr>
            </w:pPr>
          </w:p>
        </w:tc>
        <w:tc>
          <w:tcPr>
            <w:tcW w:w="1449" w:type="dxa"/>
            <w:vMerge w:val="continue"/>
            <w:tcBorders>
              <w:top w:val="single" w:color="auto" w:sz="4" w:space="0"/>
              <w:left w:val="single" w:color="auto" w:sz="4" w:space="0"/>
              <w:bottom w:val="single" w:color="auto" w:sz="4" w:space="0"/>
              <w:right w:val="single" w:color="auto" w:sz="4" w:space="0"/>
            </w:tcBorders>
            <w:vAlign w:val="top"/>
          </w:tcPr>
          <w:p>
            <w:pPr>
              <w:pStyle w:val="9"/>
              <w:jc w:val="both"/>
              <w:rPr>
                <w:rFonts w:hint="default" w:ascii="Times New Roman" w:hAnsi="Times New Roman" w:cs="Times New Roman"/>
              </w:rPr>
            </w:pPr>
          </w:p>
        </w:tc>
        <w:tc>
          <w:tcPr>
            <w:tcW w:w="1700" w:type="dxa"/>
            <w:vMerge w:val="continue"/>
            <w:tcBorders>
              <w:top w:val="single" w:color="auto" w:sz="4" w:space="0"/>
              <w:left w:val="single" w:color="auto" w:sz="4" w:space="0"/>
              <w:bottom w:val="single" w:color="auto" w:sz="4" w:space="0"/>
              <w:right w:val="single" w:color="auto" w:sz="4" w:space="0"/>
            </w:tcBorders>
            <w:vAlign w:val="top"/>
          </w:tcPr>
          <w:p>
            <w:pPr>
              <w:pStyle w:val="9"/>
              <w:jc w:val="both"/>
              <w:rPr>
                <w:rFonts w:hint="default" w:ascii="Times New Roman" w:hAnsi="Times New Roman" w:cs="Times New Roman"/>
              </w:rPr>
            </w:pPr>
          </w:p>
        </w:tc>
        <w:tc>
          <w:tcPr>
            <w:tcW w:w="3156" w:type="dxa"/>
            <w:gridSpan w:val="2"/>
            <w:tcBorders>
              <w:left w:val="single" w:color="auto" w:sz="4" w:space="0"/>
            </w:tcBorders>
            <w:vAlign w:val="top"/>
          </w:tcPr>
          <w:p>
            <w:pPr>
              <w:spacing w:before="292" w:line="222" w:lineRule="auto"/>
              <w:ind w:left="165"/>
              <w:jc w:val="both"/>
              <w:rPr>
                <w:rFonts w:hint="default" w:ascii="Times New Roman" w:hAnsi="Times New Roman" w:cs="Times New Roman"/>
              </w:rPr>
            </w:pPr>
            <w:r>
              <w:rPr>
                <w:rFonts w:hint="default" w:ascii="Times New Roman" w:hAnsi="Times New Roman" w:eastAsia="仿宋" w:cs="Times New Roman"/>
                <w:spacing w:val="-2"/>
                <w:sz w:val="22"/>
                <w:szCs w:val="22"/>
              </w:rPr>
              <w:t>城市公共区域内的湿地公园养</w:t>
            </w:r>
          </w:p>
          <w:p>
            <w:pPr>
              <w:spacing w:before="72" w:line="223" w:lineRule="auto"/>
              <w:ind w:left="1259"/>
              <w:jc w:val="both"/>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护面积</w:t>
            </w:r>
          </w:p>
        </w:tc>
        <w:tc>
          <w:tcPr>
            <w:tcW w:w="2104" w:type="dxa"/>
            <w:vAlign w:val="top"/>
          </w:tcPr>
          <w:p>
            <w:pPr>
              <w:pStyle w:val="9"/>
              <w:spacing w:line="254" w:lineRule="auto"/>
              <w:jc w:val="both"/>
              <w:rPr>
                <w:rFonts w:hint="default" w:ascii="Times New Roman" w:hAnsi="Times New Roman" w:cs="Times New Roman"/>
              </w:rPr>
            </w:pPr>
          </w:p>
          <w:p>
            <w:pPr>
              <w:pStyle w:val="9"/>
              <w:spacing w:line="255" w:lineRule="auto"/>
              <w:jc w:val="both"/>
              <w:rPr>
                <w:rFonts w:hint="default" w:ascii="Times New Roman" w:hAnsi="Times New Roman" w:cs="Times New Roman"/>
              </w:rPr>
            </w:pPr>
          </w:p>
          <w:p>
            <w:pPr>
              <w:pStyle w:val="9"/>
              <w:spacing w:before="71" w:line="304" w:lineRule="exact"/>
              <w:ind w:left="207"/>
              <w:jc w:val="both"/>
              <w:rPr>
                <w:rFonts w:hint="default" w:ascii="Times New Roman" w:hAnsi="Times New Roman" w:eastAsia="仿宋" w:cs="Times New Roman"/>
                <w:sz w:val="22"/>
                <w:szCs w:val="22"/>
              </w:rPr>
            </w:pPr>
            <w:r>
              <w:rPr>
                <w:rFonts w:hint="default" w:ascii="Times New Roman" w:hAnsi="Times New Roman" w:cs="Times New Roman"/>
                <w:spacing w:val="-11"/>
                <w:position w:val="1"/>
                <w:sz w:val="22"/>
                <w:szCs w:val="22"/>
              </w:rPr>
              <w:t>&gt;=2557989</w:t>
            </w:r>
            <w:r>
              <w:rPr>
                <w:rFonts w:hint="default" w:ascii="Times New Roman" w:hAnsi="Times New Roman" w:eastAsia="仿宋" w:cs="Times New Roman"/>
                <w:spacing w:val="-11"/>
                <w:position w:val="1"/>
                <w:sz w:val="22"/>
                <w:szCs w:val="22"/>
              </w:rPr>
              <w:t>平方米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73"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pStyle w:val="9"/>
              <w:jc w:val="both"/>
              <w:rPr>
                <w:rFonts w:hint="default" w:ascii="Times New Roman" w:hAnsi="Times New Roman" w:cs="Times New Roman"/>
              </w:rPr>
            </w:pPr>
          </w:p>
        </w:tc>
        <w:tc>
          <w:tcPr>
            <w:tcW w:w="1449" w:type="dxa"/>
            <w:vMerge w:val="continue"/>
            <w:tcBorders>
              <w:top w:val="single" w:color="auto" w:sz="4" w:space="0"/>
              <w:left w:val="single" w:color="auto" w:sz="4" w:space="0"/>
              <w:bottom w:val="single" w:color="auto" w:sz="4" w:space="0"/>
              <w:right w:val="single" w:color="auto" w:sz="4" w:space="0"/>
            </w:tcBorders>
            <w:vAlign w:val="top"/>
          </w:tcPr>
          <w:p>
            <w:pPr>
              <w:pStyle w:val="9"/>
              <w:jc w:val="both"/>
              <w:rPr>
                <w:rFonts w:hint="default" w:ascii="Times New Roman" w:hAnsi="Times New Roman" w:cs="Times New Roman"/>
              </w:rPr>
            </w:pPr>
          </w:p>
        </w:tc>
        <w:tc>
          <w:tcPr>
            <w:tcW w:w="1700" w:type="dxa"/>
            <w:tcBorders>
              <w:top w:val="single" w:color="auto" w:sz="4" w:space="0"/>
              <w:left w:val="single" w:color="auto" w:sz="4" w:space="0"/>
              <w:bottom w:val="single" w:color="auto" w:sz="4" w:space="0"/>
              <w:right w:val="single" w:color="auto" w:sz="4" w:space="0"/>
            </w:tcBorders>
            <w:vAlign w:val="top"/>
          </w:tcPr>
          <w:p>
            <w:pPr>
              <w:pStyle w:val="9"/>
              <w:spacing w:line="259" w:lineRule="auto"/>
              <w:jc w:val="both"/>
              <w:rPr>
                <w:rFonts w:hint="default" w:ascii="Times New Roman" w:hAnsi="Times New Roman" w:cs="Times New Roman"/>
              </w:rPr>
            </w:pPr>
          </w:p>
          <w:p>
            <w:pPr>
              <w:pStyle w:val="9"/>
              <w:spacing w:line="259" w:lineRule="auto"/>
              <w:jc w:val="both"/>
              <w:rPr>
                <w:rFonts w:hint="default" w:ascii="Times New Roman" w:hAnsi="Times New Roman" w:cs="Times New Roman"/>
              </w:rPr>
            </w:pPr>
          </w:p>
          <w:p>
            <w:pPr>
              <w:spacing w:before="72" w:line="223" w:lineRule="auto"/>
              <w:ind w:left="426"/>
              <w:jc w:val="both"/>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质量指标</w:t>
            </w:r>
          </w:p>
        </w:tc>
        <w:tc>
          <w:tcPr>
            <w:tcW w:w="3156" w:type="dxa"/>
            <w:gridSpan w:val="2"/>
            <w:tcBorders>
              <w:left w:val="single" w:color="auto" w:sz="4" w:space="0"/>
            </w:tcBorders>
            <w:vAlign w:val="top"/>
          </w:tcPr>
          <w:p>
            <w:pPr>
              <w:spacing w:before="293" w:line="223" w:lineRule="auto"/>
              <w:ind w:left="165"/>
              <w:jc w:val="both"/>
              <w:rPr>
                <w:rFonts w:hint="default" w:ascii="Times New Roman" w:hAnsi="Times New Roman" w:cs="Times New Roman"/>
              </w:rPr>
            </w:pPr>
            <w:r>
              <w:rPr>
                <w:rFonts w:hint="default" w:ascii="Times New Roman" w:hAnsi="Times New Roman" w:eastAsia="仿宋" w:cs="Times New Roman"/>
                <w:spacing w:val="-2"/>
                <w:sz w:val="22"/>
                <w:szCs w:val="22"/>
              </w:rPr>
              <w:t>城市道路及湿地公园任务完成</w:t>
            </w:r>
          </w:p>
          <w:p>
            <w:pPr>
              <w:spacing w:before="72" w:line="224" w:lineRule="auto"/>
              <w:ind w:left="1488"/>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率</w:t>
            </w:r>
          </w:p>
        </w:tc>
        <w:tc>
          <w:tcPr>
            <w:tcW w:w="2104" w:type="dxa"/>
            <w:vAlign w:val="top"/>
          </w:tcPr>
          <w:p>
            <w:pPr>
              <w:pStyle w:val="9"/>
              <w:spacing w:line="259" w:lineRule="auto"/>
              <w:jc w:val="both"/>
              <w:rPr>
                <w:rFonts w:hint="default" w:ascii="Times New Roman" w:hAnsi="Times New Roman" w:cs="Times New Roman"/>
              </w:rPr>
            </w:pPr>
          </w:p>
          <w:p>
            <w:pPr>
              <w:pStyle w:val="9"/>
              <w:spacing w:line="259" w:lineRule="auto"/>
              <w:jc w:val="both"/>
              <w:rPr>
                <w:rFonts w:hint="default" w:ascii="Times New Roman" w:hAnsi="Times New Roman" w:cs="Times New Roman"/>
              </w:rPr>
            </w:pPr>
          </w:p>
          <w:p>
            <w:pPr>
              <w:pStyle w:val="9"/>
              <w:spacing w:before="63" w:line="264" w:lineRule="exact"/>
              <w:ind w:left="782"/>
              <w:jc w:val="both"/>
              <w:rPr>
                <w:rFonts w:hint="default" w:ascii="Times New Roman" w:hAnsi="Times New Roman" w:cs="Times New Roman"/>
                <w:sz w:val="22"/>
                <w:szCs w:val="22"/>
              </w:rPr>
            </w:pPr>
            <w:r>
              <w:rPr>
                <w:rFonts w:hint="default" w:ascii="Times New Roman" w:hAnsi="Times New Roman" w:cs="Times New Roman"/>
                <w:spacing w:val="-13"/>
                <w:sz w:val="22"/>
                <w:szCs w:val="22"/>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45"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pStyle w:val="9"/>
              <w:jc w:val="both"/>
              <w:rPr>
                <w:rFonts w:hint="default" w:ascii="Times New Roman" w:hAnsi="Times New Roman" w:cs="Times New Roman"/>
              </w:rPr>
            </w:pPr>
          </w:p>
        </w:tc>
        <w:tc>
          <w:tcPr>
            <w:tcW w:w="1449" w:type="dxa"/>
            <w:vMerge w:val="continue"/>
            <w:tcBorders>
              <w:top w:val="single" w:color="auto" w:sz="4" w:space="0"/>
              <w:left w:val="single" w:color="auto" w:sz="4" w:space="0"/>
              <w:bottom w:val="single" w:color="auto" w:sz="4" w:space="0"/>
              <w:right w:val="single" w:color="auto" w:sz="4" w:space="0"/>
            </w:tcBorders>
            <w:vAlign w:val="top"/>
          </w:tcPr>
          <w:p>
            <w:pPr>
              <w:pStyle w:val="9"/>
              <w:jc w:val="both"/>
              <w:rPr>
                <w:rFonts w:hint="default" w:ascii="Times New Roman" w:hAnsi="Times New Roman" w:cs="Times New Roman"/>
              </w:rPr>
            </w:pPr>
          </w:p>
        </w:tc>
        <w:tc>
          <w:tcPr>
            <w:tcW w:w="1700" w:type="dxa"/>
            <w:tcBorders>
              <w:top w:val="single" w:color="auto" w:sz="4" w:space="0"/>
              <w:left w:val="single" w:color="auto" w:sz="4" w:space="0"/>
              <w:bottom w:val="single" w:color="auto" w:sz="4" w:space="0"/>
              <w:right w:val="single" w:color="auto" w:sz="4" w:space="0"/>
            </w:tcBorders>
            <w:vAlign w:val="top"/>
          </w:tcPr>
          <w:p>
            <w:pPr>
              <w:pStyle w:val="9"/>
              <w:spacing w:line="260" w:lineRule="auto"/>
              <w:jc w:val="both"/>
              <w:rPr>
                <w:rFonts w:hint="default" w:ascii="Times New Roman" w:hAnsi="Times New Roman" w:cs="Times New Roman"/>
              </w:rPr>
            </w:pPr>
          </w:p>
          <w:p>
            <w:pPr>
              <w:pStyle w:val="9"/>
              <w:spacing w:line="261" w:lineRule="auto"/>
              <w:jc w:val="both"/>
              <w:rPr>
                <w:rFonts w:hint="default" w:ascii="Times New Roman" w:hAnsi="Times New Roman" w:cs="Times New Roman"/>
              </w:rPr>
            </w:pPr>
          </w:p>
          <w:p>
            <w:pPr>
              <w:spacing w:before="72" w:line="223" w:lineRule="auto"/>
              <w:ind w:left="436"/>
              <w:jc w:val="both"/>
              <w:rPr>
                <w:rFonts w:hint="default" w:ascii="Times New Roman" w:hAnsi="Times New Roman" w:eastAsia="仿宋" w:cs="Times New Roman"/>
                <w:sz w:val="22"/>
                <w:szCs w:val="22"/>
              </w:rPr>
            </w:pPr>
            <w:r>
              <w:rPr>
                <w:rFonts w:hint="default" w:ascii="Times New Roman" w:hAnsi="Times New Roman" w:eastAsia="仿宋" w:cs="Times New Roman"/>
                <w:spacing w:val="-8"/>
                <w:sz w:val="22"/>
                <w:szCs w:val="22"/>
              </w:rPr>
              <w:t>时效指标</w:t>
            </w:r>
          </w:p>
        </w:tc>
        <w:tc>
          <w:tcPr>
            <w:tcW w:w="3156" w:type="dxa"/>
            <w:gridSpan w:val="2"/>
            <w:tcBorders>
              <w:left w:val="single" w:color="auto" w:sz="4" w:space="0"/>
            </w:tcBorders>
            <w:vAlign w:val="top"/>
          </w:tcPr>
          <w:p>
            <w:pPr>
              <w:spacing w:before="296" w:line="223" w:lineRule="auto"/>
              <w:ind w:left="165"/>
              <w:jc w:val="both"/>
              <w:rPr>
                <w:rFonts w:hint="default" w:ascii="Times New Roman" w:hAnsi="Times New Roman" w:cs="Times New Roman"/>
              </w:rPr>
            </w:pPr>
            <w:r>
              <w:rPr>
                <w:rFonts w:hint="default" w:ascii="Times New Roman" w:hAnsi="Times New Roman" w:eastAsia="仿宋" w:cs="Times New Roman"/>
                <w:spacing w:val="-2"/>
                <w:sz w:val="22"/>
                <w:szCs w:val="22"/>
              </w:rPr>
              <w:t>城市道路及湿地公园任务完成</w:t>
            </w:r>
          </w:p>
          <w:p>
            <w:pPr>
              <w:spacing w:before="72" w:line="224" w:lineRule="auto"/>
              <w:ind w:left="1263"/>
              <w:jc w:val="both"/>
              <w:rPr>
                <w:rFonts w:hint="default" w:ascii="Times New Roman" w:hAnsi="Times New Roman" w:eastAsia="仿宋" w:cs="Times New Roman"/>
                <w:sz w:val="22"/>
                <w:szCs w:val="22"/>
              </w:rPr>
            </w:pPr>
            <w:r>
              <w:rPr>
                <w:rFonts w:hint="default" w:ascii="Times New Roman" w:hAnsi="Times New Roman" w:eastAsia="仿宋" w:cs="Times New Roman"/>
                <w:spacing w:val="-6"/>
                <w:sz w:val="22"/>
                <w:szCs w:val="22"/>
              </w:rPr>
              <w:t>及时率</w:t>
            </w:r>
          </w:p>
        </w:tc>
        <w:tc>
          <w:tcPr>
            <w:tcW w:w="2104" w:type="dxa"/>
            <w:vAlign w:val="top"/>
          </w:tcPr>
          <w:p>
            <w:pPr>
              <w:pStyle w:val="9"/>
              <w:spacing w:line="260" w:lineRule="auto"/>
              <w:jc w:val="both"/>
              <w:rPr>
                <w:rFonts w:hint="default" w:ascii="Times New Roman" w:hAnsi="Times New Roman" w:cs="Times New Roman"/>
              </w:rPr>
            </w:pPr>
          </w:p>
          <w:p>
            <w:pPr>
              <w:pStyle w:val="9"/>
              <w:spacing w:line="261" w:lineRule="auto"/>
              <w:jc w:val="both"/>
              <w:rPr>
                <w:rFonts w:hint="default" w:ascii="Times New Roman" w:hAnsi="Times New Roman" w:cs="Times New Roman"/>
              </w:rPr>
            </w:pPr>
          </w:p>
          <w:p>
            <w:pPr>
              <w:pStyle w:val="9"/>
              <w:spacing w:before="63" w:line="264" w:lineRule="exact"/>
              <w:ind w:left="782"/>
              <w:jc w:val="both"/>
              <w:rPr>
                <w:rFonts w:hint="default" w:ascii="Times New Roman" w:hAnsi="Times New Roman" w:cs="Times New Roman"/>
                <w:sz w:val="22"/>
                <w:szCs w:val="22"/>
              </w:rPr>
            </w:pPr>
            <w:r>
              <w:rPr>
                <w:rFonts w:hint="default" w:ascii="Times New Roman" w:hAnsi="Times New Roman" w:cs="Times New Roman"/>
                <w:spacing w:val="-13"/>
                <w:sz w:val="22"/>
                <w:szCs w:val="22"/>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7" w:hRule="atLeast"/>
        </w:trPr>
        <w:tc>
          <w:tcPr>
            <w:tcW w:w="1101" w:type="dxa"/>
            <w:vMerge w:val="continue"/>
            <w:tcBorders>
              <w:top w:val="single" w:color="auto" w:sz="4" w:space="0"/>
              <w:left w:val="single" w:color="auto" w:sz="4" w:space="0"/>
            </w:tcBorders>
            <w:vAlign w:val="top"/>
          </w:tcPr>
          <w:p>
            <w:pPr>
              <w:pStyle w:val="9"/>
              <w:jc w:val="both"/>
              <w:rPr>
                <w:rFonts w:hint="default" w:ascii="Times New Roman" w:hAnsi="Times New Roman" w:cs="Times New Roman"/>
              </w:rPr>
            </w:pPr>
          </w:p>
        </w:tc>
        <w:tc>
          <w:tcPr>
            <w:tcW w:w="1449" w:type="dxa"/>
            <w:tcBorders>
              <w:top w:val="single" w:color="auto" w:sz="4" w:space="0"/>
            </w:tcBorders>
            <w:vAlign w:val="top"/>
          </w:tcPr>
          <w:p>
            <w:pPr>
              <w:spacing w:before="296" w:line="223" w:lineRule="auto"/>
              <w:ind w:left="299"/>
              <w:jc w:val="both"/>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成本指标</w:t>
            </w:r>
          </w:p>
        </w:tc>
        <w:tc>
          <w:tcPr>
            <w:tcW w:w="1700" w:type="dxa"/>
            <w:tcBorders>
              <w:top w:val="single" w:color="auto" w:sz="4" w:space="0"/>
            </w:tcBorders>
            <w:vAlign w:val="top"/>
          </w:tcPr>
          <w:p>
            <w:pPr>
              <w:spacing w:before="296" w:line="222" w:lineRule="auto"/>
              <w:ind w:left="200"/>
              <w:jc w:val="both"/>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经济成本指标</w:t>
            </w:r>
          </w:p>
        </w:tc>
        <w:tc>
          <w:tcPr>
            <w:tcW w:w="3156" w:type="dxa"/>
            <w:gridSpan w:val="2"/>
            <w:vAlign w:val="top"/>
          </w:tcPr>
          <w:p>
            <w:pPr>
              <w:spacing w:before="296" w:line="223" w:lineRule="auto"/>
              <w:ind w:left="391"/>
              <w:jc w:val="both"/>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第三方服务采购项目经费</w:t>
            </w:r>
          </w:p>
        </w:tc>
        <w:tc>
          <w:tcPr>
            <w:tcW w:w="2104" w:type="dxa"/>
            <w:vAlign w:val="top"/>
          </w:tcPr>
          <w:p>
            <w:pPr>
              <w:pStyle w:val="9"/>
              <w:spacing w:before="288" w:line="308" w:lineRule="exact"/>
              <w:ind w:left="258"/>
              <w:jc w:val="both"/>
              <w:rPr>
                <w:rFonts w:hint="default" w:ascii="Times New Roman" w:hAnsi="Times New Roman" w:eastAsia="仿宋" w:cs="Times New Roman"/>
                <w:sz w:val="22"/>
                <w:szCs w:val="22"/>
              </w:rPr>
            </w:pPr>
            <w:r>
              <w:rPr>
                <w:rFonts w:hint="default" w:ascii="Times New Roman" w:hAnsi="Times New Roman" w:cs="Times New Roman"/>
                <w:spacing w:val="-10"/>
                <w:position w:val="2"/>
                <w:sz w:val="22"/>
                <w:szCs w:val="22"/>
              </w:rPr>
              <w:t>&lt;=26980.13</w:t>
            </w:r>
            <w:r>
              <w:rPr>
                <w:rFonts w:hint="default" w:ascii="Times New Roman" w:hAnsi="Times New Roman" w:eastAsia="仿宋" w:cs="Times New Roman"/>
                <w:spacing w:val="-10"/>
                <w:position w:val="2"/>
                <w:sz w:val="22"/>
                <w:szCs w:val="22"/>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7" w:hRule="atLeast"/>
        </w:trPr>
        <w:tc>
          <w:tcPr>
            <w:tcW w:w="1101" w:type="dxa"/>
            <w:vMerge w:val="continue"/>
            <w:tcBorders>
              <w:left w:val="single" w:color="auto" w:sz="4" w:space="0"/>
            </w:tcBorders>
            <w:vAlign w:val="top"/>
          </w:tcPr>
          <w:p>
            <w:pPr>
              <w:pStyle w:val="9"/>
              <w:jc w:val="both"/>
              <w:rPr>
                <w:rFonts w:hint="default" w:ascii="Times New Roman" w:hAnsi="Times New Roman" w:cs="Times New Roman"/>
              </w:rPr>
            </w:pPr>
          </w:p>
        </w:tc>
        <w:tc>
          <w:tcPr>
            <w:tcW w:w="1449" w:type="dxa"/>
            <w:vMerge w:val="restart"/>
            <w:vAlign w:val="top"/>
          </w:tcPr>
          <w:p>
            <w:pPr>
              <w:spacing w:before="296" w:line="223" w:lineRule="auto"/>
              <w:ind w:left="299"/>
              <w:jc w:val="both"/>
              <w:rPr>
                <w:rFonts w:hint="default" w:ascii="Times New Roman" w:hAnsi="Times New Roman" w:eastAsia="仿宋" w:cs="Times New Roman"/>
                <w:spacing w:val="-5"/>
                <w:sz w:val="22"/>
                <w:szCs w:val="22"/>
              </w:rPr>
            </w:pPr>
            <w:r>
              <w:rPr>
                <w:rFonts w:hint="default" w:ascii="Times New Roman" w:hAnsi="Times New Roman" w:eastAsia="仿宋" w:cs="Times New Roman"/>
                <w:spacing w:val="-5"/>
                <w:sz w:val="22"/>
                <w:szCs w:val="22"/>
              </w:rPr>
              <w:t>效益指标</w:t>
            </w:r>
          </w:p>
        </w:tc>
        <w:tc>
          <w:tcPr>
            <w:tcW w:w="1700" w:type="dxa"/>
            <w:vAlign w:val="top"/>
          </w:tcPr>
          <w:p>
            <w:pPr>
              <w:spacing w:before="295" w:line="223" w:lineRule="auto"/>
              <w:ind w:left="200" w:leftChars="0"/>
              <w:rPr>
                <w:rFonts w:hint="default" w:ascii="Times New Roman" w:hAnsi="Times New Roman" w:eastAsia="仿宋" w:cs="Times New Roman"/>
                <w:spacing w:val="-3"/>
                <w:sz w:val="22"/>
                <w:szCs w:val="22"/>
              </w:rPr>
            </w:pPr>
            <w:r>
              <w:rPr>
                <w:rFonts w:hint="default" w:ascii="Times New Roman" w:hAnsi="Times New Roman" w:eastAsia="仿宋" w:cs="Times New Roman"/>
                <w:spacing w:val="-3"/>
                <w:sz w:val="22"/>
                <w:szCs w:val="22"/>
              </w:rPr>
              <w:t>社会效益指标</w:t>
            </w:r>
          </w:p>
        </w:tc>
        <w:tc>
          <w:tcPr>
            <w:tcW w:w="3156" w:type="dxa"/>
            <w:gridSpan w:val="2"/>
            <w:vAlign w:val="top"/>
          </w:tcPr>
          <w:p>
            <w:pPr>
              <w:spacing w:before="295" w:line="223" w:lineRule="auto"/>
              <w:ind w:left="712" w:leftChars="0"/>
              <w:rPr>
                <w:rFonts w:hint="default" w:ascii="Times New Roman" w:hAnsi="Times New Roman" w:eastAsia="仿宋" w:cs="Times New Roman"/>
                <w:spacing w:val="-3"/>
                <w:sz w:val="22"/>
                <w:szCs w:val="22"/>
              </w:rPr>
            </w:pPr>
            <w:r>
              <w:rPr>
                <w:rFonts w:hint="default" w:ascii="Times New Roman" w:hAnsi="Times New Roman" w:eastAsia="仿宋" w:cs="Times New Roman"/>
                <w:spacing w:val="-2"/>
                <w:sz w:val="22"/>
                <w:szCs w:val="22"/>
              </w:rPr>
              <w:t>提高居民生活质量</w:t>
            </w:r>
          </w:p>
        </w:tc>
        <w:tc>
          <w:tcPr>
            <w:tcW w:w="2104" w:type="dxa"/>
            <w:vAlign w:val="top"/>
          </w:tcPr>
          <w:p>
            <w:pPr>
              <w:spacing w:before="296" w:line="225" w:lineRule="auto"/>
              <w:ind w:left="846" w:leftChars="0"/>
              <w:rPr>
                <w:rFonts w:hint="default" w:ascii="Times New Roman" w:hAnsi="Times New Roman" w:cs="Times New Roman"/>
                <w:spacing w:val="-10"/>
                <w:position w:val="2"/>
                <w:sz w:val="22"/>
                <w:szCs w:val="22"/>
              </w:rPr>
            </w:pPr>
            <w:r>
              <w:rPr>
                <w:rFonts w:hint="default" w:ascii="Times New Roman" w:hAnsi="Times New Roman" w:eastAsia="仿宋" w:cs="Times New Roman"/>
                <w:spacing w:val="-8"/>
                <w:sz w:val="22"/>
                <w:szCs w:val="22"/>
              </w:rPr>
              <w:t>提高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7" w:hRule="atLeast"/>
        </w:trPr>
        <w:tc>
          <w:tcPr>
            <w:tcW w:w="1101" w:type="dxa"/>
            <w:vMerge w:val="continue"/>
            <w:tcBorders>
              <w:left w:val="single" w:color="auto" w:sz="4" w:space="0"/>
            </w:tcBorders>
            <w:vAlign w:val="top"/>
          </w:tcPr>
          <w:p>
            <w:pPr>
              <w:pStyle w:val="9"/>
              <w:jc w:val="both"/>
              <w:rPr>
                <w:rFonts w:hint="default" w:ascii="Times New Roman" w:hAnsi="Times New Roman" w:cs="Times New Roman"/>
              </w:rPr>
            </w:pPr>
          </w:p>
        </w:tc>
        <w:tc>
          <w:tcPr>
            <w:tcW w:w="1449" w:type="dxa"/>
            <w:vMerge w:val="continue"/>
            <w:vAlign w:val="top"/>
          </w:tcPr>
          <w:p>
            <w:pPr>
              <w:spacing w:before="296" w:line="223" w:lineRule="auto"/>
              <w:ind w:left="299"/>
              <w:jc w:val="both"/>
              <w:rPr>
                <w:rFonts w:hint="default" w:ascii="Times New Roman" w:hAnsi="Times New Roman" w:eastAsia="仿宋" w:cs="Times New Roman"/>
                <w:spacing w:val="-5"/>
                <w:sz w:val="22"/>
                <w:szCs w:val="22"/>
              </w:rPr>
            </w:pPr>
          </w:p>
        </w:tc>
        <w:tc>
          <w:tcPr>
            <w:tcW w:w="1700" w:type="dxa"/>
            <w:vAlign w:val="top"/>
          </w:tcPr>
          <w:p>
            <w:pPr>
              <w:spacing w:before="292" w:line="223" w:lineRule="auto"/>
              <w:ind w:left="213" w:leftChars="0"/>
              <w:rPr>
                <w:rFonts w:hint="default" w:ascii="Times New Roman" w:hAnsi="Times New Roman" w:eastAsia="仿宋" w:cs="Times New Roman"/>
                <w:spacing w:val="-3"/>
                <w:sz w:val="22"/>
                <w:szCs w:val="22"/>
              </w:rPr>
            </w:pPr>
            <w:r>
              <w:rPr>
                <w:rFonts w:hint="default" w:ascii="Times New Roman" w:hAnsi="Times New Roman" w:eastAsia="仿宋" w:cs="Times New Roman"/>
                <w:spacing w:val="-5"/>
                <w:sz w:val="22"/>
                <w:szCs w:val="22"/>
              </w:rPr>
              <w:t>生态效益指标</w:t>
            </w:r>
          </w:p>
        </w:tc>
        <w:tc>
          <w:tcPr>
            <w:tcW w:w="3156" w:type="dxa"/>
            <w:gridSpan w:val="2"/>
            <w:vAlign w:val="top"/>
          </w:tcPr>
          <w:p>
            <w:pPr>
              <w:spacing w:before="292" w:line="223" w:lineRule="auto"/>
              <w:ind w:left="712" w:leftChars="0"/>
              <w:rPr>
                <w:rFonts w:hint="default" w:ascii="Times New Roman" w:hAnsi="Times New Roman" w:eastAsia="仿宋" w:cs="Times New Roman"/>
                <w:spacing w:val="-3"/>
                <w:sz w:val="22"/>
                <w:szCs w:val="22"/>
              </w:rPr>
            </w:pPr>
            <w:r>
              <w:rPr>
                <w:rFonts w:hint="default" w:ascii="Times New Roman" w:hAnsi="Times New Roman" w:eastAsia="仿宋" w:cs="Times New Roman"/>
                <w:spacing w:val="-2"/>
                <w:sz w:val="22"/>
                <w:szCs w:val="22"/>
              </w:rPr>
              <w:t>提升城市绿化效果</w:t>
            </w:r>
          </w:p>
        </w:tc>
        <w:tc>
          <w:tcPr>
            <w:tcW w:w="2104" w:type="dxa"/>
            <w:vAlign w:val="top"/>
          </w:tcPr>
          <w:p>
            <w:pPr>
              <w:spacing w:before="292" w:line="224" w:lineRule="auto"/>
              <w:ind w:left="846" w:leftChars="0"/>
              <w:rPr>
                <w:rFonts w:hint="default" w:ascii="Times New Roman" w:hAnsi="Times New Roman" w:cs="Times New Roman"/>
                <w:spacing w:val="-10"/>
                <w:position w:val="2"/>
                <w:sz w:val="22"/>
                <w:szCs w:val="22"/>
              </w:rPr>
            </w:pPr>
            <w:r>
              <w:rPr>
                <w:rFonts w:hint="default" w:ascii="Times New Roman" w:hAnsi="Times New Roman" w:eastAsia="仿宋" w:cs="Times New Roman"/>
                <w:spacing w:val="-8"/>
                <w:sz w:val="22"/>
                <w:szCs w:val="22"/>
              </w:rPr>
              <w:t>提升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7" w:hRule="atLeast"/>
        </w:trPr>
        <w:tc>
          <w:tcPr>
            <w:tcW w:w="1101" w:type="dxa"/>
            <w:vMerge w:val="continue"/>
            <w:tcBorders>
              <w:left w:val="single" w:color="auto" w:sz="4" w:space="0"/>
            </w:tcBorders>
            <w:vAlign w:val="top"/>
          </w:tcPr>
          <w:p>
            <w:pPr>
              <w:pStyle w:val="9"/>
              <w:jc w:val="both"/>
              <w:rPr>
                <w:rFonts w:hint="default" w:ascii="Times New Roman" w:hAnsi="Times New Roman" w:cs="Times New Roman"/>
              </w:rPr>
            </w:pPr>
          </w:p>
        </w:tc>
        <w:tc>
          <w:tcPr>
            <w:tcW w:w="1449" w:type="dxa"/>
            <w:vAlign w:val="top"/>
          </w:tcPr>
          <w:p>
            <w:pPr>
              <w:spacing w:before="294" w:line="223" w:lineRule="auto"/>
              <w:ind w:left="186" w:leftChars="0"/>
              <w:rPr>
                <w:rFonts w:hint="default" w:ascii="Times New Roman" w:hAnsi="Times New Roman" w:eastAsia="仿宋" w:cs="Times New Roman"/>
                <w:spacing w:val="-5"/>
                <w:sz w:val="22"/>
                <w:szCs w:val="22"/>
              </w:rPr>
            </w:pPr>
            <w:r>
              <w:rPr>
                <w:rFonts w:hint="default" w:ascii="Times New Roman" w:hAnsi="Times New Roman" w:eastAsia="仿宋" w:cs="Times New Roman"/>
                <w:spacing w:val="-3"/>
                <w:sz w:val="22"/>
                <w:szCs w:val="22"/>
              </w:rPr>
              <w:t>满意度指标</w:t>
            </w:r>
          </w:p>
        </w:tc>
        <w:tc>
          <w:tcPr>
            <w:tcW w:w="1700" w:type="dxa"/>
            <w:vAlign w:val="top"/>
          </w:tcPr>
          <w:p>
            <w:pPr>
              <w:spacing w:before="294" w:line="223" w:lineRule="auto"/>
              <w:ind w:left="311" w:leftChars="0"/>
              <w:rPr>
                <w:rFonts w:hint="default" w:ascii="Times New Roman" w:hAnsi="Times New Roman" w:eastAsia="仿宋" w:cs="Times New Roman"/>
                <w:spacing w:val="-3"/>
                <w:sz w:val="22"/>
                <w:szCs w:val="22"/>
              </w:rPr>
            </w:pPr>
            <w:r>
              <w:rPr>
                <w:rFonts w:hint="default" w:ascii="Times New Roman" w:hAnsi="Times New Roman" w:eastAsia="仿宋" w:cs="Times New Roman"/>
                <w:spacing w:val="-3"/>
                <w:sz w:val="22"/>
                <w:szCs w:val="22"/>
              </w:rPr>
              <w:t>满意度指标</w:t>
            </w:r>
          </w:p>
        </w:tc>
        <w:tc>
          <w:tcPr>
            <w:tcW w:w="3156" w:type="dxa"/>
            <w:gridSpan w:val="2"/>
            <w:vAlign w:val="top"/>
          </w:tcPr>
          <w:p>
            <w:pPr>
              <w:spacing w:before="294" w:line="223" w:lineRule="auto"/>
              <w:ind w:left="1041" w:leftChars="0"/>
              <w:rPr>
                <w:rFonts w:hint="default" w:ascii="Times New Roman" w:hAnsi="Times New Roman" w:eastAsia="仿宋" w:cs="Times New Roman"/>
                <w:spacing w:val="-3"/>
                <w:sz w:val="22"/>
                <w:szCs w:val="22"/>
              </w:rPr>
            </w:pPr>
            <w:r>
              <w:rPr>
                <w:rFonts w:hint="default" w:ascii="Times New Roman" w:hAnsi="Times New Roman" w:eastAsia="仿宋" w:cs="Times New Roman"/>
                <w:spacing w:val="-3"/>
                <w:sz w:val="22"/>
                <w:szCs w:val="22"/>
              </w:rPr>
              <w:t>居民满意度</w:t>
            </w:r>
          </w:p>
        </w:tc>
        <w:tc>
          <w:tcPr>
            <w:tcW w:w="2104" w:type="dxa"/>
            <w:vAlign w:val="top"/>
          </w:tcPr>
          <w:p>
            <w:pPr>
              <w:pStyle w:val="9"/>
              <w:spacing w:before="285" w:line="264" w:lineRule="exact"/>
              <w:ind w:left="785" w:leftChars="0"/>
              <w:rPr>
                <w:rFonts w:hint="default" w:ascii="Times New Roman" w:hAnsi="Times New Roman" w:cs="Times New Roman"/>
                <w:spacing w:val="-10"/>
                <w:position w:val="2"/>
                <w:sz w:val="22"/>
                <w:szCs w:val="22"/>
              </w:rPr>
            </w:pPr>
            <w:r>
              <w:rPr>
                <w:rFonts w:hint="default" w:ascii="Times New Roman" w:hAnsi="Times New Roman" w:cs="Times New Roman"/>
                <w:spacing w:val="-15"/>
                <w:sz w:val="22"/>
                <w:szCs w:val="22"/>
              </w:rPr>
              <w:t>&gt;=95%</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textAlignment w:val="baseline"/>
        <w:rPr>
          <w:rFonts w:hint="default" w:ascii="Times New Roman" w:hAnsi="Times New Roman" w:cs="Times New Roman"/>
          <w:spacing w:val="0"/>
          <w:position w:val="0"/>
          <w:sz w:val="21"/>
        </w:rPr>
      </w:pPr>
      <w:r>
        <w:rPr>
          <w:rFonts w:hint="default" w:ascii="Times New Roman" w:hAnsi="Times New Roman" w:eastAsia="黑体" w:cs="Times New Roman"/>
          <w:spacing w:val="0"/>
          <w:position w:val="0"/>
          <w:sz w:val="32"/>
          <w:szCs w:val="32"/>
        </w:rPr>
        <w:t>二、绩效评价情况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textAlignment w:val="baseline"/>
        <w:rPr>
          <w:rFonts w:hint="default" w:ascii="Times New Roman" w:hAnsi="Times New Roman" w:eastAsia="楷体" w:cs="Times New Roman"/>
          <w:spacing w:val="0"/>
          <w:position w:val="0"/>
          <w:sz w:val="32"/>
          <w:szCs w:val="32"/>
        </w:rPr>
      </w:pPr>
      <w:r>
        <w:rPr>
          <w:rFonts w:hint="default" w:ascii="Times New Roman" w:hAnsi="Times New Roman" w:eastAsia="楷体" w:cs="Times New Roman"/>
          <w:spacing w:val="0"/>
          <w:position w:val="0"/>
          <w:sz w:val="32"/>
          <w:szCs w:val="32"/>
        </w:rPr>
        <w:t>(一)评价结论</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default" w:ascii="Times New Roman" w:hAnsi="Times New Roman" w:eastAsia="仿宋" w:cs="Times New Roman"/>
          <w:spacing w:val="0"/>
          <w:position w:val="0"/>
          <w:sz w:val="31"/>
          <w:szCs w:val="31"/>
        </w:rPr>
      </w:pPr>
      <w:r>
        <w:rPr>
          <w:rFonts w:hint="default" w:ascii="Times New Roman" w:hAnsi="Times New Roman" w:eastAsia="仿宋_GB2312" w:cs="Times New Roman"/>
          <w:snapToGrid/>
          <w:spacing w:val="0"/>
          <w:kern w:val="2"/>
          <w:position w:val="0"/>
          <w:sz w:val="32"/>
          <w:szCs w:val="32"/>
          <w:lang w:val="en-US" w:eastAsia="zh-CN" w:bidi="ar-SA"/>
        </w:rPr>
        <w:t>评价指标体系及评分标准，通过项目实施单位提供的基础数据、问卷调查和访谈获取的信息资料，评价组对“市政、园林、环卫一体化”第三方服务采购项目进行了独立客观的评价，最终评分结果为88.94分，评价等级为“良”。其中，项目决策18.6分，项目过程14.84分，项目产出35.5分，项目效益20分。各部分得分情况详见下表。评分过程详见附件1</w:t>
      </w:r>
      <w:r>
        <w:rPr>
          <w:rFonts w:hint="default" w:ascii="Times New Roman" w:hAnsi="Times New Roman" w:eastAsia="仿宋" w:cs="Times New Roman"/>
          <w:spacing w:val="0"/>
          <w:position w:val="0"/>
          <w:sz w:val="31"/>
          <w:szCs w:val="31"/>
        </w:rPr>
        <w:t>。</w:t>
      </w:r>
    </w:p>
    <w:p>
      <w:pPr>
        <w:spacing w:before="51" w:line="296" w:lineRule="exact"/>
        <w:ind w:firstLine="2376" w:firstLineChars="900"/>
        <w:rPr>
          <w:rFonts w:hint="default" w:ascii="Times New Roman" w:hAnsi="Times New Roman" w:eastAsia="黑体" w:cs="Times New Roman"/>
          <w:spacing w:val="0"/>
          <w:position w:val="0"/>
          <w:sz w:val="30"/>
          <w:szCs w:val="30"/>
        </w:rPr>
      </w:pPr>
      <w:r>
        <w:rPr>
          <w:rFonts w:hint="default" w:ascii="Times New Roman" w:hAnsi="Times New Roman" w:eastAsia="黑体" w:cs="Times New Roman"/>
          <w:spacing w:val="0"/>
          <w:w w:val="88"/>
          <w:position w:val="0"/>
          <w:sz w:val="30"/>
          <w:szCs w:val="30"/>
        </w:rPr>
        <w:t>项目指标得分情况汇总表</w:t>
      </w:r>
    </w:p>
    <w:tbl>
      <w:tblPr>
        <w:tblStyle w:val="8"/>
        <w:tblpPr w:leftFromText="180" w:rightFromText="180" w:vertAnchor="text" w:horzAnchor="page" w:tblpX="1428" w:tblpY="136"/>
        <w:tblOverlap w:val="never"/>
        <w:tblW w:w="850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74"/>
        <w:gridCol w:w="2123"/>
        <w:gridCol w:w="2069"/>
        <w:gridCol w:w="224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6" w:hRule="atLeast"/>
        </w:trPr>
        <w:tc>
          <w:tcPr>
            <w:tcW w:w="2074" w:type="dxa"/>
            <w:vAlign w:val="top"/>
          </w:tcPr>
          <w:p>
            <w:pPr>
              <w:spacing w:before="143" w:line="222" w:lineRule="auto"/>
              <w:ind w:left="617"/>
              <w:rPr>
                <w:rFonts w:hint="default" w:ascii="Times New Roman" w:hAnsi="Times New Roman" w:eastAsia="仿宋" w:cs="Times New Roman"/>
                <w:sz w:val="24"/>
                <w:szCs w:val="24"/>
              </w:rPr>
            </w:pPr>
            <w:r>
              <w:rPr>
                <w:rFonts w:hint="default" w:ascii="Times New Roman" w:hAnsi="Times New Roman" w:eastAsia="仿宋" w:cs="Times New Roman"/>
                <w:b/>
                <w:bCs/>
                <w:spacing w:val="-9"/>
                <w:sz w:val="24"/>
                <w:szCs w:val="24"/>
              </w:rPr>
              <w:t>评价指标</w:t>
            </w:r>
          </w:p>
        </w:tc>
        <w:tc>
          <w:tcPr>
            <w:tcW w:w="2123" w:type="dxa"/>
            <w:vAlign w:val="top"/>
          </w:tcPr>
          <w:p>
            <w:pPr>
              <w:pStyle w:val="9"/>
              <w:spacing w:before="133" w:line="330" w:lineRule="exact"/>
              <w:ind w:left="589"/>
              <w:rPr>
                <w:rFonts w:hint="default" w:ascii="Times New Roman" w:hAnsi="Times New Roman" w:eastAsia="仿宋" w:cs="Times New Roman"/>
                <w:sz w:val="24"/>
                <w:szCs w:val="24"/>
              </w:rPr>
            </w:pPr>
            <w:r>
              <w:rPr>
                <w:rFonts w:hint="default" w:ascii="Times New Roman" w:hAnsi="Times New Roman" w:eastAsia="仿宋" w:cs="Times New Roman"/>
                <w:b/>
                <w:bCs/>
                <w:spacing w:val="-28"/>
                <w:position w:val="1"/>
                <w:sz w:val="24"/>
                <w:szCs w:val="24"/>
              </w:rPr>
              <w:t>权重（</w:t>
            </w:r>
            <w:r>
              <w:rPr>
                <w:rFonts w:hint="default" w:ascii="Times New Roman" w:hAnsi="Times New Roman" w:cs="Times New Roman"/>
                <w:b/>
                <w:bCs/>
                <w:spacing w:val="-28"/>
                <w:position w:val="1"/>
                <w:sz w:val="24"/>
                <w:szCs w:val="24"/>
              </w:rPr>
              <w:t>%</w:t>
            </w:r>
            <w:r>
              <w:rPr>
                <w:rFonts w:hint="default" w:ascii="Times New Roman" w:hAnsi="Times New Roman" w:eastAsia="仿宋" w:cs="Times New Roman"/>
                <w:b/>
                <w:bCs/>
                <w:spacing w:val="-28"/>
                <w:position w:val="1"/>
                <w:sz w:val="24"/>
                <w:szCs w:val="24"/>
              </w:rPr>
              <w:t>）</w:t>
            </w:r>
          </w:p>
        </w:tc>
        <w:tc>
          <w:tcPr>
            <w:tcW w:w="2069" w:type="dxa"/>
            <w:vAlign w:val="top"/>
          </w:tcPr>
          <w:p>
            <w:pPr>
              <w:spacing w:before="143" w:line="222" w:lineRule="auto"/>
              <w:ind w:left="616"/>
              <w:rPr>
                <w:rFonts w:hint="default" w:ascii="Times New Roman" w:hAnsi="Times New Roman" w:eastAsia="仿宋" w:cs="Times New Roman"/>
                <w:sz w:val="24"/>
                <w:szCs w:val="24"/>
              </w:rPr>
            </w:pPr>
            <w:r>
              <w:rPr>
                <w:rFonts w:hint="default" w:ascii="Times New Roman" w:hAnsi="Times New Roman" w:eastAsia="仿宋" w:cs="Times New Roman"/>
                <w:b/>
                <w:bCs/>
                <w:spacing w:val="-9"/>
                <w:sz w:val="24"/>
                <w:szCs w:val="24"/>
              </w:rPr>
              <w:t>评价得分</w:t>
            </w:r>
          </w:p>
        </w:tc>
        <w:tc>
          <w:tcPr>
            <w:tcW w:w="2242" w:type="dxa"/>
            <w:vAlign w:val="top"/>
          </w:tcPr>
          <w:p>
            <w:pPr>
              <w:spacing w:before="143" w:line="222" w:lineRule="auto"/>
              <w:ind w:left="481"/>
              <w:rPr>
                <w:rFonts w:hint="default" w:ascii="Times New Roman" w:hAnsi="Times New Roman" w:eastAsia="仿宋" w:cs="Times New Roman"/>
                <w:sz w:val="24"/>
                <w:szCs w:val="24"/>
              </w:rPr>
            </w:pPr>
            <w:r>
              <w:rPr>
                <w:rFonts w:hint="default" w:ascii="Times New Roman" w:hAnsi="Times New Roman" w:eastAsia="仿宋" w:cs="Times New Roman"/>
                <w:b/>
                <w:bCs/>
                <w:spacing w:val="-7"/>
                <w:sz w:val="24"/>
                <w:szCs w:val="24"/>
              </w:rPr>
              <w:t>评价分值占比</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4" w:hRule="atLeast"/>
        </w:trPr>
        <w:tc>
          <w:tcPr>
            <w:tcW w:w="2074" w:type="dxa"/>
            <w:vAlign w:val="top"/>
          </w:tcPr>
          <w:p>
            <w:pPr>
              <w:pStyle w:val="9"/>
              <w:spacing w:before="129" w:line="330" w:lineRule="exact"/>
              <w:ind w:left="754"/>
              <w:rPr>
                <w:rFonts w:hint="default" w:ascii="Times New Roman" w:hAnsi="Times New Roman" w:eastAsia="仿宋" w:cs="Times New Roman"/>
                <w:sz w:val="24"/>
                <w:szCs w:val="24"/>
              </w:rPr>
            </w:pPr>
            <w:r>
              <w:rPr>
                <w:rFonts w:hint="default" w:ascii="Times New Roman" w:hAnsi="Times New Roman" w:cs="Times New Roman"/>
                <w:b/>
                <w:bCs/>
                <w:spacing w:val="-2"/>
                <w:position w:val="1"/>
                <w:sz w:val="24"/>
                <w:szCs w:val="24"/>
              </w:rPr>
              <w:t>1.</w:t>
            </w:r>
            <w:r>
              <w:rPr>
                <w:rFonts w:hint="default" w:ascii="Times New Roman" w:hAnsi="Times New Roman" w:eastAsia="仿宋" w:cs="Times New Roman"/>
                <w:b/>
                <w:bCs/>
                <w:spacing w:val="-2"/>
                <w:position w:val="1"/>
                <w:sz w:val="24"/>
                <w:szCs w:val="24"/>
              </w:rPr>
              <w:t>决策</w:t>
            </w:r>
          </w:p>
        </w:tc>
        <w:tc>
          <w:tcPr>
            <w:tcW w:w="2123" w:type="dxa"/>
            <w:vAlign w:val="top"/>
          </w:tcPr>
          <w:p>
            <w:pPr>
              <w:spacing w:before="160" w:line="189" w:lineRule="auto"/>
              <w:ind w:left="1171"/>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24</w:t>
            </w:r>
          </w:p>
        </w:tc>
        <w:tc>
          <w:tcPr>
            <w:tcW w:w="2069" w:type="dxa"/>
            <w:vAlign w:val="top"/>
          </w:tcPr>
          <w:p>
            <w:pPr>
              <w:spacing w:before="160" w:line="189" w:lineRule="auto"/>
              <w:ind w:left="1086"/>
              <w:rPr>
                <w:rFonts w:hint="default" w:ascii="Times New Roman" w:hAnsi="Times New Roman" w:eastAsia="Times New Roman" w:cs="Times New Roman"/>
                <w:sz w:val="22"/>
                <w:szCs w:val="22"/>
              </w:rPr>
            </w:pPr>
            <w:r>
              <w:rPr>
                <w:rFonts w:hint="default" w:ascii="Times New Roman" w:hAnsi="Times New Roman" w:eastAsia="Times New Roman" w:cs="Times New Roman"/>
                <w:spacing w:val="-7"/>
                <w:sz w:val="22"/>
                <w:szCs w:val="22"/>
              </w:rPr>
              <w:t>18.6</w:t>
            </w:r>
          </w:p>
        </w:tc>
        <w:tc>
          <w:tcPr>
            <w:tcW w:w="2242" w:type="dxa"/>
            <w:vAlign w:val="top"/>
          </w:tcPr>
          <w:p>
            <w:pPr>
              <w:spacing w:before="159" w:line="189" w:lineRule="auto"/>
              <w:ind w:left="1063"/>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77.5%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6" w:hRule="atLeast"/>
        </w:trPr>
        <w:tc>
          <w:tcPr>
            <w:tcW w:w="2074" w:type="dxa"/>
            <w:vAlign w:val="top"/>
          </w:tcPr>
          <w:p>
            <w:pPr>
              <w:pStyle w:val="9"/>
              <w:spacing w:before="133" w:line="331" w:lineRule="exact"/>
              <w:ind w:left="732"/>
              <w:rPr>
                <w:rFonts w:hint="default" w:ascii="Times New Roman" w:hAnsi="Times New Roman" w:eastAsia="仿宋" w:cs="Times New Roman"/>
                <w:sz w:val="24"/>
                <w:szCs w:val="24"/>
              </w:rPr>
            </w:pPr>
            <w:r>
              <w:rPr>
                <w:rFonts w:hint="default" w:ascii="Times New Roman" w:hAnsi="Times New Roman" w:cs="Times New Roman"/>
                <w:b/>
                <w:bCs/>
                <w:spacing w:val="3"/>
                <w:position w:val="1"/>
                <w:sz w:val="24"/>
                <w:szCs w:val="24"/>
              </w:rPr>
              <w:t>2.</w:t>
            </w:r>
            <w:r>
              <w:rPr>
                <w:rFonts w:hint="default" w:ascii="Times New Roman" w:hAnsi="Times New Roman" w:eastAsia="仿宋" w:cs="Times New Roman"/>
                <w:b/>
                <w:bCs/>
                <w:spacing w:val="3"/>
                <w:position w:val="1"/>
                <w:sz w:val="24"/>
                <w:szCs w:val="24"/>
              </w:rPr>
              <w:t>过程</w:t>
            </w:r>
          </w:p>
        </w:tc>
        <w:tc>
          <w:tcPr>
            <w:tcW w:w="2123" w:type="dxa"/>
            <w:vAlign w:val="top"/>
          </w:tcPr>
          <w:p>
            <w:pPr>
              <w:spacing w:before="163" w:line="189" w:lineRule="auto"/>
              <w:ind w:left="1193"/>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3"/>
                <w:sz w:val="22"/>
                <w:szCs w:val="22"/>
              </w:rPr>
              <w:t>16</w:t>
            </w:r>
          </w:p>
        </w:tc>
        <w:tc>
          <w:tcPr>
            <w:tcW w:w="2069" w:type="dxa"/>
            <w:vAlign w:val="top"/>
          </w:tcPr>
          <w:p>
            <w:pPr>
              <w:spacing w:before="163" w:line="189" w:lineRule="auto"/>
              <w:ind w:left="1030"/>
              <w:rPr>
                <w:rFonts w:hint="default" w:ascii="Times New Roman" w:hAnsi="Times New Roman" w:eastAsia="Times New Roman" w:cs="Times New Roman"/>
                <w:sz w:val="22"/>
                <w:szCs w:val="22"/>
              </w:rPr>
            </w:pPr>
            <w:r>
              <w:rPr>
                <w:rFonts w:hint="default" w:ascii="Times New Roman" w:hAnsi="Times New Roman" w:eastAsia="Times New Roman" w:cs="Times New Roman"/>
                <w:spacing w:val="-5"/>
                <w:sz w:val="22"/>
                <w:szCs w:val="22"/>
              </w:rPr>
              <w:t>14.84</w:t>
            </w:r>
          </w:p>
        </w:tc>
        <w:tc>
          <w:tcPr>
            <w:tcW w:w="2242" w:type="dxa"/>
            <w:vAlign w:val="top"/>
          </w:tcPr>
          <w:p>
            <w:pPr>
              <w:spacing w:before="163" w:line="189" w:lineRule="auto"/>
              <w:ind w:left="1008"/>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92.75%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0" w:hRule="atLeast"/>
        </w:trPr>
        <w:tc>
          <w:tcPr>
            <w:tcW w:w="2074" w:type="dxa"/>
            <w:vAlign w:val="top"/>
          </w:tcPr>
          <w:p>
            <w:pPr>
              <w:pStyle w:val="9"/>
              <w:spacing w:before="132" w:line="327" w:lineRule="exact"/>
              <w:ind w:left="741"/>
              <w:rPr>
                <w:rFonts w:hint="default" w:ascii="Times New Roman" w:hAnsi="Times New Roman" w:eastAsia="仿宋" w:cs="Times New Roman"/>
                <w:sz w:val="24"/>
                <w:szCs w:val="24"/>
              </w:rPr>
            </w:pPr>
            <w:r>
              <w:rPr>
                <w:rFonts w:hint="default" w:ascii="Times New Roman" w:hAnsi="Times New Roman" w:cs="Times New Roman"/>
                <w:b/>
                <w:bCs/>
                <w:spacing w:val="2"/>
                <w:position w:val="1"/>
                <w:sz w:val="24"/>
                <w:szCs w:val="24"/>
              </w:rPr>
              <w:t>3.</w:t>
            </w:r>
            <w:r>
              <w:rPr>
                <w:rFonts w:hint="default" w:ascii="Times New Roman" w:hAnsi="Times New Roman" w:eastAsia="仿宋" w:cs="Times New Roman"/>
                <w:b/>
                <w:bCs/>
                <w:spacing w:val="2"/>
                <w:position w:val="1"/>
                <w:sz w:val="24"/>
                <w:szCs w:val="24"/>
              </w:rPr>
              <w:t>产出</w:t>
            </w:r>
          </w:p>
        </w:tc>
        <w:tc>
          <w:tcPr>
            <w:tcW w:w="2123" w:type="dxa"/>
            <w:vAlign w:val="top"/>
          </w:tcPr>
          <w:p>
            <w:pPr>
              <w:spacing w:before="160" w:line="189" w:lineRule="auto"/>
              <w:ind w:left="1170"/>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40</w:t>
            </w:r>
          </w:p>
        </w:tc>
        <w:tc>
          <w:tcPr>
            <w:tcW w:w="2069" w:type="dxa"/>
            <w:vAlign w:val="top"/>
          </w:tcPr>
          <w:p>
            <w:pPr>
              <w:spacing w:before="160" w:line="189" w:lineRule="auto"/>
              <w:ind w:left="1069"/>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35.5</w:t>
            </w:r>
          </w:p>
        </w:tc>
        <w:tc>
          <w:tcPr>
            <w:tcW w:w="2242" w:type="dxa"/>
            <w:vAlign w:val="top"/>
          </w:tcPr>
          <w:p>
            <w:pPr>
              <w:spacing w:before="159" w:line="189" w:lineRule="auto"/>
              <w:ind w:left="1013"/>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88.75%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0" w:hRule="atLeast"/>
        </w:trPr>
        <w:tc>
          <w:tcPr>
            <w:tcW w:w="2074" w:type="dxa"/>
            <w:vAlign w:val="top"/>
          </w:tcPr>
          <w:p>
            <w:pPr>
              <w:pStyle w:val="9"/>
              <w:spacing w:before="132" w:line="327" w:lineRule="exact"/>
              <w:ind w:left="731"/>
              <w:rPr>
                <w:rFonts w:hint="default" w:ascii="Times New Roman" w:hAnsi="Times New Roman" w:eastAsia="仿宋" w:cs="Times New Roman"/>
                <w:sz w:val="24"/>
                <w:szCs w:val="24"/>
              </w:rPr>
            </w:pPr>
            <w:r>
              <w:rPr>
                <w:rFonts w:hint="default" w:ascii="Times New Roman" w:hAnsi="Times New Roman" w:cs="Times New Roman"/>
                <w:b/>
                <w:bCs/>
                <w:spacing w:val="3"/>
                <w:position w:val="1"/>
                <w:sz w:val="24"/>
                <w:szCs w:val="24"/>
              </w:rPr>
              <w:t>4.</w:t>
            </w:r>
            <w:r>
              <w:rPr>
                <w:rFonts w:hint="default" w:ascii="Times New Roman" w:hAnsi="Times New Roman" w:eastAsia="仿宋" w:cs="Times New Roman"/>
                <w:b/>
                <w:bCs/>
                <w:spacing w:val="3"/>
                <w:position w:val="1"/>
                <w:sz w:val="24"/>
                <w:szCs w:val="24"/>
              </w:rPr>
              <w:t>效果</w:t>
            </w:r>
          </w:p>
        </w:tc>
        <w:tc>
          <w:tcPr>
            <w:tcW w:w="2123" w:type="dxa"/>
            <w:vAlign w:val="top"/>
          </w:tcPr>
          <w:p>
            <w:pPr>
              <w:spacing w:before="162" w:line="189" w:lineRule="auto"/>
              <w:ind w:left="1171"/>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20</w:t>
            </w:r>
          </w:p>
        </w:tc>
        <w:tc>
          <w:tcPr>
            <w:tcW w:w="2069" w:type="dxa"/>
            <w:vAlign w:val="top"/>
          </w:tcPr>
          <w:p>
            <w:pPr>
              <w:spacing w:before="162" w:line="189" w:lineRule="auto"/>
              <w:ind w:left="1148"/>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20</w:t>
            </w:r>
          </w:p>
        </w:tc>
        <w:tc>
          <w:tcPr>
            <w:tcW w:w="2242" w:type="dxa"/>
            <w:vAlign w:val="top"/>
          </w:tcPr>
          <w:p>
            <w:pPr>
              <w:spacing w:before="162" w:line="189" w:lineRule="auto"/>
              <w:ind w:left="1109"/>
              <w:rPr>
                <w:rFonts w:hint="default" w:ascii="Times New Roman" w:hAnsi="Times New Roman" w:eastAsia="Times New Roman" w:cs="Times New Roman"/>
                <w:sz w:val="22"/>
                <w:szCs w:val="22"/>
              </w:rPr>
            </w:pPr>
            <w:r>
              <w:rPr>
                <w:rFonts w:hint="default" w:ascii="Times New Roman" w:hAnsi="Times New Roman" w:eastAsia="Times New Roman" w:cs="Times New Roman"/>
                <w:spacing w:val="-7"/>
                <w:sz w:val="22"/>
                <w:szCs w:val="22"/>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9" w:hRule="atLeast"/>
        </w:trPr>
        <w:tc>
          <w:tcPr>
            <w:tcW w:w="2074" w:type="dxa"/>
            <w:vAlign w:val="top"/>
          </w:tcPr>
          <w:p>
            <w:pPr>
              <w:spacing w:before="146" w:line="223" w:lineRule="auto"/>
              <w:ind w:left="627"/>
              <w:rPr>
                <w:rFonts w:hint="default" w:ascii="Times New Roman" w:hAnsi="Times New Roman" w:eastAsia="仿宋" w:cs="Times New Roman"/>
                <w:sz w:val="24"/>
                <w:szCs w:val="24"/>
              </w:rPr>
            </w:pPr>
            <w:r>
              <w:rPr>
                <w:rFonts w:hint="default" w:ascii="Times New Roman" w:hAnsi="Times New Roman" w:eastAsia="仿宋" w:cs="Times New Roman"/>
                <w:b/>
                <w:bCs/>
                <w:spacing w:val="-10"/>
                <w:sz w:val="24"/>
                <w:szCs w:val="24"/>
              </w:rPr>
              <w:t>综合绩效</w:t>
            </w:r>
          </w:p>
        </w:tc>
        <w:tc>
          <w:tcPr>
            <w:tcW w:w="2123" w:type="dxa"/>
            <w:vAlign w:val="top"/>
          </w:tcPr>
          <w:p>
            <w:pPr>
              <w:spacing w:before="167" w:line="189" w:lineRule="auto"/>
              <w:ind w:left="1140"/>
              <w:rPr>
                <w:rFonts w:hint="default" w:ascii="Times New Roman" w:hAnsi="Times New Roman" w:eastAsia="Times New Roman" w:cs="Times New Roman"/>
                <w:sz w:val="22"/>
                <w:szCs w:val="22"/>
              </w:rPr>
            </w:pPr>
            <w:r>
              <w:rPr>
                <w:rFonts w:hint="default" w:ascii="Times New Roman" w:hAnsi="Times New Roman" w:eastAsia="Times New Roman" w:cs="Times New Roman"/>
                <w:spacing w:val="-9"/>
                <w:sz w:val="22"/>
                <w:szCs w:val="22"/>
              </w:rPr>
              <w:t>100</w:t>
            </w:r>
          </w:p>
        </w:tc>
        <w:tc>
          <w:tcPr>
            <w:tcW w:w="2069" w:type="dxa"/>
            <w:vAlign w:val="top"/>
          </w:tcPr>
          <w:p>
            <w:pPr>
              <w:spacing w:before="167" w:line="189" w:lineRule="auto"/>
              <w:ind w:left="1018"/>
              <w:rPr>
                <w:rFonts w:hint="default" w:ascii="Times New Roman" w:hAnsi="Times New Roman" w:eastAsia="Times New Roman" w:cs="Times New Roman"/>
                <w:sz w:val="22"/>
                <w:szCs w:val="22"/>
              </w:rPr>
            </w:pPr>
            <w:r>
              <w:rPr>
                <w:rFonts w:hint="default" w:ascii="Times New Roman" w:hAnsi="Times New Roman" w:eastAsia="Times New Roman" w:cs="Times New Roman"/>
                <w:spacing w:val="-3"/>
                <w:sz w:val="22"/>
                <w:szCs w:val="22"/>
              </w:rPr>
              <w:t>88.94</w:t>
            </w:r>
          </w:p>
        </w:tc>
        <w:tc>
          <w:tcPr>
            <w:tcW w:w="2242" w:type="dxa"/>
            <w:vAlign w:val="top"/>
          </w:tcPr>
          <w:p>
            <w:pPr>
              <w:spacing w:before="167" w:line="189" w:lineRule="auto"/>
              <w:ind w:left="1013"/>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88.94%</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cs="Times New Roman"/>
          <w:spacing w:val="0"/>
          <w:position w:val="0"/>
          <w:sz w:val="21"/>
        </w:rPr>
      </w:pPr>
      <w:r>
        <w:rPr>
          <w:rFonts w:hint="default" w:ascii="Times New Roman" w:hAnsi="Times New Roman" w:eastAsia="楷体" w:cs="Times New Roman"/>
          <w:spacing w:val="0"/>
          <w:position w:val="0"/>
          <w:sz w:val="32"/>
          <w:szCs w:val="32"/>
        </w:rPr>
        <w:t>(二)预算执行情况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position w:val="0"/>
          <w:sz w:val="31"/>
          <w:szCs w:val="31"/>
        </w:rPr>
      </w:pPr>
      <w:r>
        <w:rPr>
          <w:rFonts w:hint="default" w:ascii="Times New Roman" w:hAnsi="Times New Roman" w:eastAsia="仿宋_GB2312" w:cs="Times New Roman"/>
          <w:snapToGrid/>
          <w:spacing w:val="0"/>
          <w:kern w:val="2"/>
          <w:position w:val="0"/>
          <w:sz w:val="32"/>
          <w:szCs w:val="32"/>
          <w:lang w:val="en-US" w:eastAsia="zh-CN" w:bidi="ar-SA"/>
        </w:rPr>
        <w:t>该项目预算资金总额为26980.13万元，区本级财政资金26980.13万元。截至2025年12月31日，区本级财政资金已到位26980.13万元，资金到位率100%。“市政、园林、环卫一体化”第三方服务采购项目26980.13万元，截至2025年12月31日，实际支出25930.18万元，预算执行率为96.11%</w:t>
      </w:r>
      <w:r>
        <w:rPr>
          <w:rFonts w:hint="default" w:ascii="Times New Roman" w:hAnsi="Times New Roman" w:eastAsia="仿宋" w:cs="Times New Roman"/>
          <w:spacing w:val="0"/>
          <w:position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楷体" w:cs="Times New Roman"/>
          <w:spacing w:val="0"/>
          <w:position w:val="0"/>
          <w:sz w:val="32"/>
          <w:szCs w:val="32"/>
        </w:rPr>
      </w:pPr>
      <w:r>
        <w:rPr>
          <w:rFonts w:hint="default" w:ascii="Times New Roman" w:hAnsi="Times New Roman" w:eastAsia="楷体" w:cs="Times New Roman"/>
          <w:spacing w:val="0"/>
          <w:position w:val="0"/>
          <w:sz w:val="32"/>
          <w:szCs w:val="32"/>
        </w:rPr>
        <w:t>(三)</w:t>
      </w:r>
      <w:r>
        <w:rPr>
          <w:rFonts w:hint="default" w:ascii="Times New Roman" w:hAnsi="Times New Roman" w:eastAsia="楷体" w:cs="Times New Roman"/>
          <w:color w:val="131313"/>
          <w:spacing w:val="0"/>
          <w:position w:val="0"/>
          <w:sz w:val="32"/>
          <w:szCs w:val="32"/>
        </w:rPr>
        <w:t>项目绩效情况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黑体" w:cs="Times New Roman"/>
          <w:spacing w:val="0"/>
          <w:position w:val="0"/>
          <w:sz w:val="32"/>
          <w:szCs w:val="32"/>
        </w:rPr>
      </w:pPr>
      <w:r>
        <w:rPr>
          <w:rFonts w:hint="default" w:ascii="Times New Roman" w:hAnsi="Times New Roman" w:eastAsia="仿宋_GB2312" w:cs="Times New Roman"/>
          <w:snapToGrid/>
          <w:spacing w:val="0"/>
          <w:kern w:val="2"/>
          <w:position w:val="0"/>
          <w:sz w:val="32"/>
          <w:szCs w:val="32"/>
          <w:lang w:val="en-US" w:eastAsia="zh-CN" w:bidi="ar-SA"/>
        </w:rPr>
        <w:t>评价结论：一是项目决策方面，该项目立项依据充分，立项程序规范，预算编制测算数据合理，测算标准客观。但项目绩效目标内容完整性、可衡量性不足。二是项目过程方面，项目资金及时足额到位，但资金存在为未支付完的情况，项目资料档案管理存在不规范的情况，因该项目之前由哈密市伊州区城市执法局实施，但2025年，该部门单位撤销，项目转由区住建局管理，但交接过程中，项目前期资料如项目可研、项目资金下达文件、项目前期批复等文件保存不当，导致项目资料存在缺失、资料不全的情况。三是项目产出方面，完成“市政、园林、环卫一体化”项目，城区及国省道路保洁面积应完成12629003.66平方米、园林绿化及公园管理面积6842546.11平方米、市政养护工作等，通过项目每月考核总结得知，项目产出方面整体完成情况良好，但项目存在垃圾清运中转站指标未完成情况，原因是项目年初核定租用4个垃圾清运中转站，但在项目实施中，发现实际只有2个垃圾清运中转站在使用，故该指标存在未完成情况。四是项目效益方面，“市政、园林、环卫一体化”项目的实施提升了城市整体形象，保障了城市整洁度及城市基础设施的养护工作，提升居民生活质量，市民满意度较高</w:t>
      </w:r>
      <w:r>
        <w:rPr>
          <w:rFonts w:hint="default" w:ascii="Times New Roman" w:hAnsi="Times New Roman" w:eastAsia="仿宋" w:cs="Times New Roman"/>
          <w:spacing w:val="0"/>
          <w:position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黑体" w:cs="Times New Roman"/>
          <w:spacing w:val="0"/>
          <w:position w:val="0"/>
          <w:sz w:val="32"/>
          <w:szCs w:val="32"/>
        </w:rPr>
      </w:pPr>
      <w:r>
        <w:rPr>
          <w:rFonts w:hint="default" w:ascii="Times New Roman" w:hAnsi="Times New Roman" w:eastAsia="黑体" w:cs="Times New Roman"/>
          <w:spacing w:val="0"/>
          <w:position w:val="0"/>
          <w:sz w:val="32"/>
          <w:szCs w:val="32"/>
        </w:rPr>
        <w:t>三、经验、问题和建议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微软雅黑" w:cs="Times New Roman"/>
          <w:spacing w:val="0"/>
          <w:position w:val="0"/>
          <w:sz w:val="33"/>
          <w:szCs w:val="33"/>
        </w:rPr>
      </w:pPr>
      <w:r>
        <w:rPr>
          <w:rFonts w:hint="default" w:ascii="Times New Roman" w:hAnsi="Times New Roman" w:eastAsia="楷体" w:cs="Times New Roman"/>
          <w:spacing w:val="0"/>
          <w:position w:val="0"/>
          <w:sz w:val="32"/>
          <w:szCs w:val="32"/>
        </w:rPr>
        <w:t>(一)主要经验及做法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napToGrid/>
          <w:spacing w:val="0"/>
          <w:kern w:val="2"/>
          <w:position w:val="0"/>
          <w:sz w:val="32"/>
          <w:szCs w:val="32"/>
          <w:lang w:val="en-US" w:eastAsia="zh-CN" w:bidi="ar-SA"/>
        </w:rPr>
      </w:pPr>
      <w:r>
        <w:rPr>
          <w:rFonts w:hint="default" w:ascii="Times New Roman" w:hAnsi="Times New Roman" w:eastAsia="仿宋_GB2312" w:cs="Times New Roman"/>
          <w:snapToGrid/>
          <w:spacing w:val="0"/>
          <w:kern w:val="2"/>
          <w:position w:val="0"/>
          <w:sz w:val="32"/>
          <w:szCs w:val="32"/>
          <w:lang w:val="en-US" w:eastAsia="zh-CN" w:bidi="ar-SA"/>
        </w:rPr>
        <w:t>项目立项依据充分，程序规范。本项目立项依据相关文件设立。2025年度，用制度和流程规范项目管理和财务管理的各个环节，将项目管理过程中的相关法律法规作为制度和流程的骨架和根本。项目工作形成的具备基础功能的项目与财务管理制度和流程，项目实施过程中的各项环节能够在制度的框架内基本有序运行，因此，2025年“市政、园林、环卫一体化”第三方服务采购项目总体上得以有序开展，在申报预算前，区住建局对建设“市政、园林、环卫一体化”项目地理位置和涉及项目实施面积进行测算，经本单位内部审批决议后，向区财政申请预算资金，录入项目库，立项审批资料齐全，程序规范。</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楷体" w:cs="Times New Roman"/>
          <w:snapToGrid/>
          <w:spacing w:val="0"/>
          <w:kern w:val="2"/>
          <w:position w:val="0"/>
          <w:sz w:val="32"/>
          <w:szCs w:val="32"/>
          <w:lang w:val="en-US" w:eastAsia="zh-CN" w:bidi="ar-SA"/>
        </w:rPr>
      </w:pPr>
      <w:r>
        <w:rPr>
          <w:rFonts w:hint="default" w:ascii="Times New Roman" w:hAnsi="Times New Roman" w:eastAsia="楷体" w:cs="Times New Roman"/>
          <w:snapToGrid/>
          <w:spacing w:val="0"/>
          <w:kern w:val="2"/>
          <w:position w:val="0"/>
          <w:sz w:val="32"/>
          <w:szCs w:val="32"/>
          <w:lang w:val="en-US" w:eastAsia="zh-CN" w:bidi="ar-SA"/>
        </w:rPr>
        <w:t>(二)存在问题与不足</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仿宋_GB2312" w:cs="Times New Roman"/>
          <w:b/>
          <w:bCs/>
          <w:snapToGrid/>
          <w:spacing w:val="0"/>
          <w:kern w:val="2"/>
          <w:position w:val="0"/>
          <w:sz w:val="32"/>
          <w:szCs w:val="32"/>
          <w:lang w:val="en-US" w:eastAsia="zh-CN" w:bidi="ar-SA"/>
        </w:rPr>
      </w:pPr>
      <w:r>
        <w:rPr>
          <w:rFonts w:hint="default" w:ascii="Times New Roman" w:hAnsi="Times New Roman" w:eastAsia="仿宋_GB2312" w:cs="Times New Roman"/>
          <w:b/>
          <w:bCs/>
          <w:snapToGrid/>
          <w:spacing w:val="0"/>
          <w:kern w:val="2"/>
          <w:position w:val="0"/>
          <w:sz w:val="32"/>
          <w:szCs w:val="32"/>
          <w:lang w:val="en-US" w:eastAsia="zh-CN" w:bidi="ar-SA"/>
        </w:rPr>
        <w:t>1.项目绩效管理水平有待提升。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Times New Roman" w:cs="Times New Roman"/>
          <w:b/>
          <w:bCs/>
          <w:spacing w:val="0"/>
          <w:position w:val="0"/>
          <w:sz w:val="31"/>
          <w:szCs w:val="31"/>
        </w:rPr>
      </w:pPr>
      <w:r>
        <w:rPr>
          <w:rFonts w:hint="default" w:ascii="Times New Roman" w:hAnsi="Times New Roman" w:eastAsia="仿宋_GB2312" w:cs="Times New Roman"/>
          <w:snapToGrid/>
          <w:spacing w:val="0"/>
          <w:kern w:val="2"/>
          <w:position w:val="0"/>
          <w:sz w:val="32"/>
          <w:szCs w:val="32"/>
          <w:lang w:val="en-US" w:eastAsia="zh-CN" w:bidi="ar-SA"/>
        </w:rPr>
        <w:t>部门单位设置年度绩效目标时，未根据项目实际情况设置目标，经实地核查，该项主要涉及的购买服务内容为三部分，分别是：城乡环卫保洁管理、园林绿化及公园管理、市政设施养护，但绩效目标表中，数量指标只设置了城乡环卫保洁管理方面的内容，未体现园林绿化及公园管理、市政设施养护方面的核心指标。成本指标设置的是项目总成本，未根据项目测算依据分为城乡环卫保洁管理、园林绿化及公园管理、市政设施养护内容分别设置，故绩效目标设定不够完整，指标内容细化程度不足</w:t>
      </w:r>
      <w:r>
        <w:rPr>
          <w:rFonts w:hint="default" w:ascii="Times New Roman" w:hAnsi="Times New Roman" w:eastAsia="仿宋" w:cs="Times New Roman"/>
          <w:spacing w:val="0"/>
          <w:position w:val="0"/>
          <w:sz w:val="31"/>
          <w:szCs w:val="31"/>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right="0" w:rightChars="0" w:firstLine="643" w:firstLineChars="200"/>
        <w:textAlignment w:val="baseline"/>
        <w:rPr>
          <w:rFonts w:hint="default" w:ascii="Times New Roman" w:hAnsi="Times New Roman" w:eastAsia="仿宋" w:cs="Times New Roman"/>
          <w:spacing w:val="0"/>
          <w:position w:val="0"/>
          <w:sz w:val="31"/>
          <w:szCs w:val="31"/>
          <w:lang w:val="en-US" w:eastAsia="zh-CN"/>
        </w:rPr>
      </w:pPr>
      <w:r>
        <w:rPr>
          <w:rFonts w:hint="default" w:ascii="Times New Roman" w:hAnsi="Times New Roman" w:eastAsia="仿宋_GB2312" w:cs="Times New Roman"/>
          <w:b/>
          <w:bCs/>
          <w:snapToGrid/>
          <w:spacing w:val="0"/>
          <w:kern w:val="2"/>
          <w:position w:val="0"/>
          <w:sz w:val="32"/>
          <w:szCs w:val="32"/>
          <w:lang w:val="en-US" w:eastAsia="zh-CN" w:bidi="ar-SA"/>
        </w:rPr>
        <w:t>2.项目档案管理不规范</w:t>
      </w:r>
      <w:r>
        <w:rPr>
          <w:rFonts w:hint="default" w:ascii="Times New Roman" w:hAnsi="Times New Roman" w:eastAsia="仿宋" w:cs="Times New Roman"/>
          <w:b/>
          <w:bCs/>
          <w:spacing w:val="0"/>
          <w:position w:val="0"/>
          <w:sz w:val="31"/>
          <w:szCs w:val="31"/>
          <w:lang w:eastAsia="zh-CN"/>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right="0" w:rightChars="0" w:firstLine="640" w:firstLineChars="200"/>
        <w:textAlignment w:val="baseline"/>
        <w:rPr>
          <w:rFonts w:hint="default" w:ascii="Times New Roman" w:hAnsi="Times New Roman" w:eastAsia="仿宋" w:cs="Times New Roman"/>
          <w:spacing w:val="0"/>
          <w:position w:val="0"/>
          <w:sz w:val="31"/>
          <w:szCs w:val="31"/>
        </w:rPr>
      </w:pPr>
      <w:r>
        <w:rPr>
          <w:rFonts w:hint="default" w:ascii="Times New Roman" w:hAnsi="Times New Roman" w:eastAsia="仿宋_GB2312" w:cs="Times New Roman"/>
          <w:snapToGrid/>
          <w:spacing w:val="0"/>
          <w:kern w:val="2"/>
          <w:position w:val="0"/>
          <w:sz w:val="32"/>
          <w:szCs w:val="32"/>
          <w:lang w:val="en-US" w:eastAsia="zh-CN" w:bidi="ar-SA"/>
        </w:rPr>
        <w:t>区住建局作为项目主管单位，哈密市伊州区城市公共事业服务中心作为项目实施单位，项目前期可行性研究报告、项目立项文件、项目前期批复文件、资金下达文件等相关项目资料，在与哈密市伊州区城市执法局项目交接时，未做到妥善交接和处理，导致项目档案资料保管不全，项目资料档案管理存在不规范的情况</w:t>
      </w:r>
      <w:r>
        <w:rPr>
          <w:rFonts w:hint="default" w:ascii="Times New Roman" w:hAnsi="Times New Roman" w:eastAsia="仿宋" w:cs="Times New Roman"/>
          <w:spacing w:val="0"/>
          <w:position w:val="0"/>
          <w:sz w:val="31"/>
          <w:szCs w:val="31"/>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right="0" w:rightChars="0" w:firstLine="643" w:firstLineChars="200"/>
        <w:textAlignment w:val="baseline"/>
        <w:rPr>
          <w:rFonts w:hint="default" w:ascii="Times New Roman" w:hAnsi="Times New Roman" w:eastAsia="仿宋_GB2312" w:cs="Times New Roman"/>
          <w:b/>
          <w:bCs/>
          <w:spacing w:val="0"/>
          <w:position w:val="0"/>
          <w:sz w:val="31"/>
          <w:szCs w:val="31"/>
          <w:lang w:eastAsia="zh-CN"/>
        </w:rPr>
      </w:pPr>
      <w:r>
        <w:rPr>
          <w:rFonts w:hint="default" w:ascii="Times New Roman" w:hAnsi="Times New Roman" w:eastAsia="仿宋_GB2312" w:cs="Times New Roman"/>
          <w:b/>
          <w:bCs/>
          <w:snapToGrid/>
          <w:spacing w:val="0"/>
          <w:kern w:val="2"/>
          <w:position w:val="0"/>
          <w:sz w:val="32"/>
          <w:szCs w:val="32"/>
          <w:lang w:val="en-US" w:eastAsia="zh-CN" w:bidi="ar-SA"/>
        </w:rPr>
        <w:t>3.项目资金执行率不足</w:t>
      </w:r>
      <w:r>
        <w:rPr>
          <w:rFonts w:hint="default" w:ascii="Times New Roman" w:hAnsi="Times New Roman" w:eastAsia="仿宋" w:cs="Times New Roman"/>
          <w:b/>
          <w:bCs/>
          <w:spacing w:val="0"/>
          <w:position w:val="0"/>
          <w:sz w:val="31"/>
          <w:szCs w:val="31"/>
          <w:lang w:eastAsia="zh-CN"/>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right="0" w:rightChars="0" w:firstLine="640" w:firstLineChars="200"/>
        <w:textAlignment w:val="baseline"/>
        <w:rPr>
          <w:rFonts w:hint="default" w:ascii="Times New Roman" w:hAnsi="Times New Roman" w:eastAsia="仿宋" w:cs="Times New Roman"/>
          <w:spacing w:val="0"/>
          <w:position w:val="0"/>
          <w:sz w:val="31"/>
          <w:szCs w:val="31"/>
        </w:rPr>
      </w:pPr>
      <w:r>
        <w:rPr>
          <w:rFonts w:hint="default" w:ascii="Times New Roman" w:hAnsi="Times New Roman" w:eastAsia="仿宋_GB2312" w:cs="Times New Roman"/>
          <w:snapToGrid/>
          <w:spacing w:val="0"/>
          <w:kern w:val="2"/>
          <w:position w:val="0"/>
          <w:sz w:val="32"/>
          <w:szCs w:val="32"/>
          <w:lang w:val="en-US" w:eastAsia="zh-CN" w:bidi="ar-SA"/>
        </w:rPr>
        <w:t>2025年“市政、园林、环卫一体化”第三方服务采购项目实际到位资金为26980.13万元。根据国库集中支付凭证、发票等资料，截至2025年12月31日，本项目实际支出25930.18万元，项目预算执行率为96.11%，本项目存在资金执行不到位的情况</w:t>
      </w:r>
      <w:r>
        <w:rPr>
          <w:rFonts w:hint="default" w:ascii="Times New Roman" w:hAnsi="Times New Roman" w:eastAsia="仿宋" w:cs="Times New Roman"/>
          <w:spacing w:val="0"/>
          <w:position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楷体" w:cs="Times New Roman"/>
          <w:snapToGrid/>
          <w:spacing w:val="0"/>
          <w:kern w:val="2"/>
          <w:position w:val="0"/>
          <w:sz w:val="32"/>
          <w:szCs w:val="32"/>
          <w:lang w:val="en-US" w:eastAsia="zh-CN" w:bidi="ar-SA"/>
        </w:rPr>
      </w:pPr>
      <w:r>
        <w:rPr>
          <w:rFonts w:hint="default" w:ascii="Times New Roman" w:hAnsi="Times New Roman" w:eastAsia="楷体" w:cs="Times New Roman"/>
          <w:snapToGrid/>
          <w:spacing w:val="0"/>
          <w:kern w:val="2"/>
          <w:position w:val="0"/>
          <w:sz w:val="32"/>
          <w:szCs w:val="32"/>
          <w:lang w:val="en-US" w:eastAsia="zh-CN" w:bidi="ar-SA"/>
        </w:rPr>
        <w:t>(三)建议和改进措施</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right="0" w:rightChars="0" w:firstLine="643" w:firstLineChars="200"/>
        <w:textAlignment w:val="baseline"/>
        <w:rPr>
          <w:rFonts w:hint="default" w:ascii="Times New Roman" w:hAnsi="Times New Roman" w:eastAsia="仿宋_GB2312" w:cs="Times New Roman"/>
          <w:b/>
          <w:bCs/>
          <w:snapToGrid/>
          <w:spacing w:val="0"/>
          <w:kern w:val="2"/>
          <w:position w:val="0"/>
          <w:sz w:val="32"/>
          <w:szCs w:val="32"/>
          <w:lang w:val="en-US" w:eastAsia="zh-CN" w:bidi="ar-SA"/>
        </w:rPr>
      </w:pPr>
      <w:r>
        <w:rPr>
          <w:rFonts w:hint="default" w:ascii="Times New Roman" w:hAnsi="Times New Roman" w:eastAsia="仿宋_GB2312" w:cs="Times New Roman"/>
          <w:b/>
          <w:bCs/>
          <w:snapToGrid/>
          <w:spacing w:val="0"/>
          <w:kern w:val="2"/>
          <w:position w:val="0"/>
          <w:sz w:val="32"/>
          <w:szCs w:val="32"/>
          <w:lang w:val="en-US" w:eastAsia="zh-CN" w:bidi="ar-SA"/>
        </w:rPr>
        <w:t>1.深化绩效意识，发挥绩效管理对项目指导作用。</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right="0" w:rightChars="0" w:firstLine="640" w:firstLineChars="200"/>
        <w:textAlignment w:val="baseline"/>
        <w:rPr>
          <w:rFonts w:hint="default" w:ascii="Times New Roman" w:hAnsi="Times New Roman" w:eastAsia="Times New Roman" w:cs="Times New Roman"/>
          <w:b/>
          <w:bCs/>
          <w:spacing w:val="0"/>
          <w:position w:val="0"/>
          <w:sz w:val="31"/>
          <w:szCs w:val="31"/>
        </w:rPr>
      </w:pPr>
      <w:r>
        <w:rPr>
          <w:rFonts w:hint="default" w:ascii="Times New Roman" w:hAnsi="Times New Roman" w:eastAsia="仿宋_GB2312" w:cs="Times New Roman"/>
          <w:snapToGrid/>
          <w:spacing w:val="0"/>
          <w:kern w:val="2"/>
          <w:position w:val="0"/>
          <w:sz w:val="32"/>
          <w:szCs w:val="32"/>
          <w:lang w:val="en-US" w:eastAsia="zh-CN" w:bidi="ar-SA"/>
        </w:rPr>
        <w:t>提升项目绩效目标编制质量。重视绩效目标的导向作用，在绩效目标编制阶段准确合理设置绩效目标，遵循“谁申请资金，谁设定目标”的原则，与项目历史业绩水平、实际情况、民政发展规划和上级政策文件充分衔接，设置符合项目特点的绩效目标，并分解为细化、可衡量、可评价的绩效指标。二是加强预算绩效管理学习培训力度。组织开展各业务部门预算绩效培训工作，树立正确的绩效管理观念，提高绩效管理水平</w:t>
      </w:r>
      <w:r>
        <w:rPr>
          <w:rFonts w:hint="default" w:ascii="Times New Roman" w:hAnsi="Times New Roman" w:eastAsia="仿宋" w:cs="Times New Roman"/>
          <w:spacing w:val="0"/>
          <w:position w:val="0"/>
          <w:sz w:val="31"/>
          <w:szCs w:val="31"/>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right="0" w:rightChars="0" w:firstLine="643" w:firstLineChars="200"/>
        <w:textAlignment w:val="baseline"/>
        <w:rPr>
          <w:rFonts w:hint="default" w:ascii="Times New Roman" w:hAnsi="Times New Roman" w:eastAsia="仿宋" w:cs="Times New Roman"/>
          <w:b/>
          <w:bCs/>
          <w:spacing w:val="0"/>
          <w:position w:val="0"/>
          <w:sz w:val="31"/>
          <w:szCs w:val="31"/>
        </w:rPr>
      </w:pPr>
      <w:r>
        <w:rPr>
          <w:rFonts w:hint="default" w:ascii="Times New Roman" w:hAnsi="Times New Roman" w:eastAsia="仿宋_GB2312" w:cs="Times New Roman"/>
          <w:b/>
          <w:bCs/>
          <w:snapToGrid/>
          <w:spacing w:val="0"/>
          <w:kern w:val="2"/>
          <w:position w:val="0"/>
          <w:sz w:val="32"/>
          <w:szCs w:val="32"/>
          <w:lang w:val="en-US" w:eastAsia="zh-CN" w:bidi="ar-SA"/>
        </w:rPr>
        <w:t>2.完善项目资料管理制度，保障项目高效推进</w:t>
      </w:r>
      <w:r>
        <w:rPr>
          <w:rFonts w:hint="default" w:ascii="Times New Roman" w:hAnsi="Times New Roman" w:eastAsia="仿宋" w:cs="Times New Roman"/>
          <w:b/>
          <w:bCs/>
          <w:spacing w:val="0"/>
          <w:position w:val="0"/>
          <w:sz w:val="31"/>
          <w:szCs w:val="31"/>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right="0" w:rightChars="0" w:firstLine="640" w:firstLineChars="200"/>
        <w:textAlignment w:val="baseline"/>
        <w:rPr>
          <w:rFonts w:hint="default" w:ascii="Times New Roman" w:hAnsi="Times New Roman" w:eastAsia="仿宋" w:cs="Times New Roman"/>
          <w:spacing w:val="0"/>
          <w:position w:val="0"/>
          <w:sz w:val="31"/>
          <w:szCs w:val="31"/>
        </w:rPr>
      </w:pPr>
      <w:r>
        <w:rPr>
          <w:rFonts w:hint="default" w:ascii="Times New Roman" w:hAnsi="Times New Roman" w:eastAsia="仿宋_GB2312" w:cs="Times New Roman"/>
          <w:snapToGrid/>
          <w:spacing w:val="0"/>
          <w:kern w:val="2"/>
          <w:position w:val="0"/>
          <w:sz w:val="32"/>
          <w:szCs w:val="32"/>
          <w:lang w:val="en-US" w:eastAsia="zh-CN" w:bidi="ar-SA"/>
        </w:rPr>
        <w:t>建议完善项目资料管理制度，建立项目立项、实施、资金拨付、验收、档案归档全流程资料管理归集、保管、查阅等制度工作，实现项目资料标准化、档案资料完整性、项目可追溯的管理要求，确保相应工作有章可循、有据可依，进一步保障项目的高效推进</w:t>
      </w:r>
      <w:r>
        <w:rPr>
          <w:rFonts w:hint="default" w:ascii="Times New Roman" w:hAnsi="Times New Roman" w:eastAsia="仿宋" w:cs="Times New Roman"/>
          <w:spacing w:val="0"/>
          <w:position w:val="0"/>
          <w:sz w:val="31"/>
          <w:szCs w:val="31"/>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right="0" w:firstLine="643" w:firstLineChars="200"/>
        <w:textAlignment w:val="baseline"/>
        <w:rPr>
          <w:rFonts w:hint="default" w:ascii="Times New Roman" w:hAnsi="Times New Roman" w:eastAsia="仿宋_GB2312" w:cs="Times New Roman"/>
          <w:b/>
          <w:bCs/>
          <w:snapToGrid/>
          <w:spacing w:val="0"/>
          <w:kern w:val="2"/>
          <w:position w:val="0"/>
          <w:sz w:val="32"/>
          <w:szCs w:val="32"/>
          <w:lang w:val="en-US" w:eastAsia="zh-CN" w:bidi="ar-SA"/>
        </w:rPr>
      </w:pPr>
      <w:r>
        <w:rPr>
          <w:rFonts w:hint="default" w:ascii="Times New Roman" w:hAnsi="Times New Roman" w:eastAsia="仿宋_GB2312" w:cs="Times New Roman"/>
          <w:b/>
          <w:bCs/>
          <w:snapToGrid/>
          <w:spacing w:val="0"/>
          <w:kern w:val="2"/>
          <w:position w:val="0"/>
          <w:sz w:val="32"/>
          <w:szCs w:val="32"/>
          <w:lang w:val="en-US" w:eastAsia="zh-CN" w:bidi="ar-SA"/>
        </w:rPr>
        <w:t>3.加强资金执行动态监管，提高预算执行率。</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 w:cs="Times New Roman"/>
          <w:spacing w:val="0"/>
          <w:position w:val="0"/>
          <w:sz w:val="31"/>
          <w:szCs w:val="31"/>
        </w:rPr>
      </w:pPr>
      <w:r>
        <w:rPr>
          <w:rFonts w:hint="default" w:ascii="Times New Roman" w:hAnsi="Times New Roman" w:eastAsia="仿宋_GB2312" w:cs="Times New Roman"/>
          <w:snapToGrid/>
          <w:spacing w:val="0"/>
          <w:kern w:val="2"/>
          <w:position w:val="0"/>
          <w:sz w:val="32"/>
          <w:szCs w:val="32"/>
          <w:lang w:val="en-US" w:eastAsia="zh-CN" w:bidi="ar-SA"/>
        </w:rPr>
        <w:t>建议单位定期对项目资金到位、支出情况进行分析，对比预算执行进度与项目施工进度的匹配度，及时发现资金执行中的偏差。对于执行进度滞后的情况，深入排查原因，确保资金执行与项目推进同步，切实提高预算执行率</w:t>
      </w:r>
      <w:r>
        <w:rPr>
          <w:rFonts w:hint="default" w:ascii="Times New Roman" w:hAnsi="Times New Roman" w:eastAsia="仿宋" w:cs="Times New Roman"/>
          <w:spacing w:val="0"/>
          <w:position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textAlignment w:val="baseline"/>
        <w:rPr>
          <w:rFonts w:hint="default" w:ascii="Times New Roman" w:hAnsi="Times New Roman" w:eastAsia="仿宋" w:cs="Times New Roman"/>
          <w:spacing w:val="0"/>
          <w:position w:val="0"/>
          <w:sz w:val="31"/>
          <w:szCs w:val="31"/>
        </w:rPr>
        <w:sectPr>
          <w:pgSz w:w="11906" w:h="16839"/>
          <w:pgMar w:top="2098" w:right="1587" w:bottom="1984" w:left="1587" w:header="0" w:footer="0" w:gutter="0"/>
          <w:cols w:space="0" w:num="1"/>
          <w:rtlGutter w:val="0"/>
          <w:docGrid w:linePitch="0" w:charSpace="0"/>
        </w:sectPr>
      </w:pPr>
    </w:p>
    <w:sdt>
      <w:sdtPr>
        <w:rPr>
          <w:rFonts w:hint="default" w:ascii="Times New Roman" w:hAnsi="Times New Roman" w:eastAsia="黑体" w:cs="Times New Roman"/>
          <w:sz w:val="44"/>
          <w:szCs w:val="44"/>
        </w:rPr>
        <w:id w:val="147477081"/>
        <w:docPartObj>
          <w:docPartGallery w:val="Table of Contents"/>
          <w:docPartUnique/>
        </w:docPartObj>
      </w:sdtPr>
      <w:sdtEndPr>
        <w:rPr>
          <w:rFonts w:hint="default" w:ascii="Times New Roman" w:hAnsi="Times New Roman" w:eastAsia="Arial" w:cs="Times New Roman"/>
          <w:position w:val="1"/>
          <w:sz w:val="31"/>
          <w:szCs w:val="31"/>
        </w:rPr>
      </w:sdtEndPr>
      <w:sdtContent>
        <w:p>
          <w:pPr>
            <w:pBdr>
              <w:top w:val="none" w:color="auto" w:sz="0" w:space="0"/>
              <w:left w:val="none" w:color="auto" w:sz="0" w:space="0"/>
              <w:bottom w:val="none" w:color="auto" w:sz="0" w:space="0"/>
              <w:right w:val="none" w:color="auto" w:sz="0" w:space="0"/>
              <w:between w:val="none" w:color="auto" w:sz="0" w:space="0"/>
            </w:pBdr>
            <w:spacing w:before="139" w:line="225" w:lineRule="auto"/>
            <w:ind w:left="4007"/>
            <w:rPr>
              <w:rFonts w:hint="default" w:ascii="Times New Roman" w:hAnsi="Times New Roman" w:eastAsia="黑体" w:cs="Times New Roman"/>
              <w:sz w:val="44"/>
              <w:szCs w:val="44"/>
            </w:rPr>
          </w:pPr>
          <w:r>
            <w:rPr>
              <w:rFonts w:hint="default" w:ascii="Times New Roman" w:hAnsi="Times New Roman" w:eastAsia="黑体" w:cs="Times New Roman"/>
              <w:b/>
              <w:bCs/>
              <w:spacing w:val="-31"/>
              <w:sz w:val="44"/>
              <w:szCs w:val="44"/>
            </w:rPr>
            <w:t>目录</w:t>
          </w:r>
        </w:p>
        <w:p>
          <w:pPr>
            <w:tabs>
              <w:tab w:val="right" w:leader="dot" w:pos="8310"/>
            </w:tabs>
            <w:spacing w:before="148" w:line="437" w:lineRule="exact"/>
            <w:ind w:left="37"/>
            <w:rPr>
              <w:rFonts w:hint="default" w:ascii="Times New Roman" w:hAnsi="Times New Roman" w:eastAsia="宋体"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 </w:instrText>
          </w:r>
          <w:r>
            <w:rPr>
              <w:rFonts w:hint="default" w:ascii="Times New Roman" w:hAnsi="Times New Roman" w:cs="Times New Roman"/>
            </w:rPr>
            <w:fldChar w:fldCharType="separate"/>
          </w:r>
          <w:r>
            <w:rPr>
              <w:rFonts w:hint="default" w:ascii="Times New Roman" w:hAnsi="Times New Roman" w:eastAsia="楷体" w:cs="Times New Roman"/>
              <w:b/>
              <w:bCs/>
              <w:spacing w:val="4"/>
              <w:position w:val="2"/>
              <w:sz w:val="32"/>
              <w:szCs w:val="32"/>
            </w:rPr>
            <w:t>一、项目基本情况</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default" w:ascii="Times New Roman" w:hAnsi="Times New Roman" w:eastAsia="楷体" w:cs="Times New Roman"/>
              <w:b/>
              <w:bCs/>
              <w:spacing w:val="-36"/>
              <w:position w:val="2"/>
              <w:sz w:val="32"/>
              <w:szCs w:val="32"/>
              <w:lang w:val="en-US" w:eastAsia="zh-CN"/>
            </w:rPr>
            <w:t>1</w:t>
          </w:r>
          <w:r>
            <w:rPr>
              <w:rFonts w:hint="default" w:ascii="Times New Roman" w:hAnsi="Times New Roman" w:eastAsia="Arial" w:cs="Times New Roman"/>
              <w:b/>
              <w:bCs/>
              <w:spacing w:val="-20"/>
              <w:position w:val="2"/>
              <w:sz w:val="31"/>
              <w:szCs w:val="31"/>
            </w:rPr>
            <w:fldChar w:fldCharType="end"/>
          </w:r>
        </w:p>
        <w:p>
          <w:pPr>
            <w:tabs>
              <w:tab w:val="right" w:leader="dot" w:pos="8335"/>
            </w:tabs>
            <w:spacing w:before="287" w:line="437" w:lineRule="exact"/>
            <w:ind w:left="320"/>
            <w:rPr>
              <w:rFonts w:hint="default" w:ascii="Times New Roman" w:hAnsi="Times New Roman" w:eastAsia="宋体"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"bookmark2"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（一）项目概况</w:t>
          </w:r>
          <w:r>
            <w:rPr>
              <w:rFonts w:hint="default" w:ascii="Times New Roman" w:hAnsi="Times New Roman" w:eastAsia="仿宋" w:cs="Times New Roman"/>
              <w:position w:val="2"/>
              <w:sz w:val="31"/>
              <w:szCs w:val="31"/>
            </w:rPr>
            <w:tab/>
          </w:r>
          <w:r>
            <w:rPr>
              <w:rFonts w:hint="default" w:ascii="Times New Roman" w:hAnsi="Times New Roman" w:eastAsia="仿宋" w:cs="Times New Roman"/>
              <w:spacing w:val="-29"/>
              <w:position w:val="2"/>
              <w:sz w:val="31"/>
              <w:szCs w:val="31"/>
              <w:lang w:val="en-US" w:eastAsia="zh-CN"/>
            </w:rPr>
            <w:t>1</w:t>
          </w:r>
          <w:r>
            <w:rPr>
              <w:rFonts w:hint="default" w:ascii="Times New Roman" w:hAnsi="Times New Roman" w:eastAsia="Arial" w:cs="Times New Roman"/>
              <w:spacing w:val="-15"/>
              <w:w w:val="96"/>
              <w:position w:val="2"/>
              <w:sz w:val="31"/>
              <w:szCs w:val="31"/>
            </w:rPr>
            <w:fldChar w:fldCharType="end"/>
          </w:r>
        </w:p>
        <w:p>
          <w:pPr>
            <w:tabs>
              <w:tab w:val="right" w:leader="dot" w:pos="8335"/>
            </w:tabs>
            <w:spacing w:before="285" w:line="437" w:lineRule="exact"/>
            <w:ind w:left="320"/>
            <w:rPr>
              <w:rFonts w:hint="default" w:ascii="Times New Roman" w:hAnsi="Times New Roman" w:eastAsia="Arial" w:cs="Times New Roman"/>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"bookmark3"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（二）项目绩效目标</w:t>
          </w:r>
          <w:r>
            <w:rPr>
              <w:rFonts w:hint="default" w:ascii="Times New Roman" w:hAnsi="Times New Roman" w:eastAsia="仿宋" w:cs="Times New Roman"/>
              <w:position w:val="2"/>
              <w:sz w:val="31"/>
              <w:szCs w:val="31"/>
            </w:rPr>
            <w:tab/>
          </w:r>
          <w:r>
            <w:rPr>
              <w:rFonts w:hint="default" w:ascii="Times New Roman" w:hAnsi="Times New Roman" w:eastAsia="仿宋" w:cs="Times New Roman"/>
              <w:spacing w:val="-29"/>
              <w:position w:val="2"/>
              <w:sz w:val="31"/>
              <w:szCs w:val="31"/>
              <w:lang w:val="en-US" w:eastAsia="zh-CN"/>
            </w:rPr>
            <w:t>5</w:t>
          </w:r>
          <w:r>
            <w:rPr>
              <w:rFonts w:hint="default" w:ascii="Times New Roman" w:hAnsi="Times New Roman" w:eastAsia="Arial" w:cs="Times New Roman"/>
              <w:spacing w:val="-11"/>
              <w:position w:val="2"/>
              <w:sz w:val="31"/>
              <w:szCs w:val="31"/>
            </w:rPr>
            <w:fldChar w:fldCharType="end"/>
          </w:r>
        </w:p>
        <w:p>
          <w:pPr>
            <w:tabs>
              <w:tab w:val="right" w:leader="dot" w:pos="8310"/>
            </w:tabs>
            <w:spacing w:before="288" w:line="434" w:lineRule="exact"/>
            <w:ind w:left="42"/>
            <w:rPr>
              <w:rFonts w:hint="default" w:ascii="Times New Roman" w:hAnsi="Times New Roman" w:eastAsia="Arial" w:cs="Times New Roman"/>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"bookmark4" </w:instrText>
          </w:r>
          <w:r>
            <w:rPr>
              <w:rFonts w:hint="default" w:ascii="Times New Roman" w:hAnsi="Times New Roman" w:cs="Times New Roman"/>
            </w:rPr>
            <w:fldChar w:fldCharType="separate"/>
          </w:r>
          <w:r>
            <w:rPr>
              <w:rFonts w:hint="default" w:ascii="Times New Roman" w:hAnsi="Times New Roman" w:eastAsia="楷体" w:cs="Times New Roman"/>
              <w:b/>
              <w:bCs/>
              <w:spacing w:val="4"/>
              <w:position w:val="2"/>
              <w:sz w:val="32"/>
              <w:szCs w:val="32"/>
            </w:rPr>
            <w:t>二、绩效评价工作开展情况</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default" w:ascii="Times New Roman" w:hAnsi="Times New Roman" w:eastAsia="楷体" w:cs="Times New Roman"/>
              <w:b/>
              <w:bCs/>
              <w:spacing w:val="-20"/>
              <w:position w:val="2"/>
              <w:sz w:val="32"/>
              <w:szCs w:val="32"/>
              <w:lang w:val="en-US" w:eastAsia="zh-CN"/>
            </w:rPr>
            <w:t>6</w:t>
          </w:r>
          <w:r>
            <w:rPr>
              <w:rFonts w:hint="default" w:ascii="Times New Roman" w:hAnsi="Times New Roman" w:eastAsia="Arial" w:cs="Times New Roman"/>
              <w:b/>
              <w:bCs/>
              <w:spacing w:val="-27"/>
              <w:position w:val="2"/>
              <w:sz w:val="31"/>
              <w:szCs w:val="31"/>
            </w:rPr>
            <w:fldChar w:fldCharType="end"/>
          </w:r>
        </w:p>
        <w:p>
          <w:pPr>
            <w:tabs>
              <w:tab w:val="right" w:leader="dot" w:pos="8335"/>
            </w:tabs>
            <w:spacing w:before="291" w:line="437" w:lineRule="exact"/>
            <w:ind w:left="320"/>
            <w:rPr>
              <w:rFonts w:hint="default" w:ascii="Times New Roman" w:hAnsi="Times New Roman" w:eastAsia="Arial" w:cs="Times New Roman"/>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"bookmark5" </w:instrText>
          </w:r>
          <w:r>
            <w:rPr>
              <w:rFonts w:hint="default" w:ascii="Times New Roman" w:hAnsi="Times New Roman" w:cs="Times New Roman"/>
            </w:rPr>
            <w:fldChar w:fldCharType="separate"/>
          </w:r>
          <w:r>
            <w:rPr>
              <w:rFonts w:hint="default" w:ascii="Times New Roman" w:hAnsi="Times New Roman" w:eastAsia="仿宋" w:cs="Times New Roman"/>
              <w:spacing w:val="-30"/>
              <w:position w:val="2"/>
              <w:sz w:val="31"/>
              <w:szCs w:val="31"/>
            </w:rPr>
            <w:t>（一）绩效评价的目的、对象和范围</w:t>
          </w:r>
          <w:r>
            <w:rPr>
              <w:rFonts w:hint="default" w:ascii="Times New Roman" w:hAnsi="Times New Roman" w:eastAsia="仿宋" w:cs="Times New Roman"/>
              <w:position w:val="2"/>
              <w:sz w:val="31"/>
              <w:szCs w:val="31"/>
            </w:rPr>
            <w:tab/>
          </w:r>
          <w:r>
            <w:rPr>
              <w:rFonts w:hint="default" w:ascii="Times New Roman" w:hAnsi="Times New Roman" w:eastAsia="仿宋" w:cs="Times New Roman"/>
              <w:spacing w:val="-29"/>
              <w:position w:val="2"/>
              <w:sz w:val="31"/>
              <w:szCs w:val="31"/>
              <w:lang w:val="en-US" w:eastAsia="zh-CN"/>
            </w:rPr>
            <w:t>6</w:t>
          </w:r>
          <w:r>
            <w:rPr>
              <w:rFonts w:hint="default" w:ascii="Times New Roman" w:hAnsi="Times New Roman" w:eastAsia="Arial" w:cs="Times New Roman"/>
              <w:spacing w:val="-14"/>
              <w:position w:val="2"/>
              <w:sz w:val="31"/>
              <w:szCs w:val="31"/>
            </w:rPr>
            <w:fldChar w:fldCharType="end"/>
          </w:r>
        </w:p>
        <w:p>
          <w:pPr>
            <w:tabs>
              <w:tab w:val="right" w:leader="dot" w:pos="8335"/>
            </w:tabs>
            <w:spacing w:before="285" w:line="437" w:lineRule="exact"/>
            <w:ind w:left="320"/>
            <w:rPr>
              <w:rFonts w:hint="default" w:ascii="Times New Roman" w:hAnsi="Times New Roman" w:eastAsia="Arial" w:cs="Times New Roman"/>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"bookmark6" </w:instrText>
          </w:r>
          <w:r>
            <w:rPr>
              <w:rFonts w:hint="default" w:ascii="Times New Roman" w:hAnsi="Times New Roman" w:cs="Times New Roman"/>
            </w:rPr>
            <w:fldChar w:fldCharType="separate"/>
          </w:r>
          <w:r>
            <w:rPr>
              <w:rFonts w:hint="default" w:ascii="Times New Roman" w:hAnsi="Times New Roman" w:eastAsia="仿宋" w:cs="Times New Roman"/>
              <w:spacing w:val="-30"/>
              <w:position w:val="2"/>
              <w:sz w:val="31"/>
              <w:szCs w:val="31"/>
            </w:rPr>
            <w:t>（二）绩效评价原则、评价指标体系、评价方法</w:t>
          </w:r>
          <w:r>
            <w:rPr>
              <w:rFonts w:hint="default" w:ascii="Times New Roman" w:hAnsi="Times New Roman" w:eastAsia="仿宋" w:cs="Times New Roman"/>
              <w:position w:val="2"/>
              <w:sz w:val="31"/>
              <w:szCs w:val="31"/>
            </w:rPr>
            <w:tab/>
          </w:r>
          <w:r>
            <w:rPr>
              <w:rFonts w:hint="default" w:ascii="Times New Roman" w:hAnsi="Times New Roman" w:eastAsia="仿宋" w:cs="Times New Roman"/>
              <w:spacing w:val="-29"/>
              <w:position w:val="2"/>
              <w:sz w:val="31"/>
              <w:szCs w:val="31"/>
              <w:lang w:val="en-US" w:eastAsia="zh-CN"/>
            </w:rPr>
            <w:t>7</w:t>
          </w:r>
          <w:r>
            <w:rPr>
              <w:rFonts w:hint="default" w:ascii="Times New Roman" w:hAnsi="Times New Roman" w:eastAsia="Arial" w:cs="Times New Roman"/>
              <w:spacing w:val="-11"/>
              <w:position w:val="2"/>
              <w:sz w:val="31"/>
              <w:szCs w:val="31"/>
            </w:rPr>
            <w:fldChar w:fldCharType="end"/>
          </w:r>
        </w:p>
        <w:p>
          <w:pPr>
            <w:tabs>
              <w:tab w:val="right" w:leader="dot" w:pos="8335"/>
            </w:tabs>
            <w:spacing w:before="288" w:line="434" w:lineRule="exact"/>
            <w:ind w:left="320"/>
            <w:rPr>
              <w:rFonts w:hint="default" w:ascii="Times New Roman" w:hAnsi="Times New Roman" w:eastAsia="Arial" w:cs="Times New Roman"/>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"bookmark7"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（三）绩效评价工作过程</w:t>
          </w:r>
          <w:r>
            <w:rPr>
              <w:rFonts w:hint="default" w:ascii="Times New Roman" w:hAnsi="Times New Roman" w:eastAsia="仿宋" w:cs="Times New Roman"/>
              <w:position w:val="2"/>
              <w:sz w:val="31"/>
              <w:szCs w:val="31"/>
            </w:rPr>
            <w:tab/>
          </w:r>
          <w:r>
            <w:rPr>
              <w:rFonts w:hint="default" w:ascii="Times New Roman" w:hAnsi="Times New Roman" w:eastAsia="仿宋" w:cs="Times New Roman"/>
              <w:spacing w:val="-29"/>
              <w:position w:val="2"/>
              <w:sz w:val="31"/>
              <w:szCs w:val="31"/>
              <w:lang w:val="en-US" w:eastAsia="zh-CN"/>
            </w:rPr>
            <w:t>9</w:t>
          </w:r>
          <w:r>
            <w:rPr>
              <w:rFonts w:hint="default" w:ascii="Times New Roman" w:hAnsi="Times New Roman" w:eastAsia="Arial" w:cs="Times New Roman"/>
              <w:spacing w:val="-15"/>
              <w:w w:val="94"/>
              <w:position w:val="2"/>
              <w:sz w:val="31"/>
              <w:szCs w:val="31"/>
            </w:rPr>
            <w:fldChar w:fldCharType="end"/>
          </w:r>
        </w:p>
        <w:p>
          <w:pPr>
            <w:tabs>
              <w:tab w:val="right" w:leader="dot" w:pos="8310"/>
            </w:tabs>
            <w:spacing w:before="291" w:line="437" w:lineRule="exact"/>
            <w:ind w:left="41"/>
            <w:rPr>
              <w:rFonts w:hint="default" w:ascii="Times New Roman" w:hAnsi="Times New Roman" w:eastAsia="宋体"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"bookmark8" </w:instrText>
          </w:r>
          <w:r>
            <w:rPr>
              <w:rFonts w:hint="default" w:ascii="Times New Roman" w:hAnsi="Times New Roman" w:cs="Times New Roman"/>
            </w:rPr>
            <w:fldChar w:fldCharType="separate"/>
          </w:r>
          <w:r>
            <w:rPr>
              <w:rFonts w:hint="default" w:ascii="Times New Roman" w:hAnsi="Times New Roman" w:eastAsia="楷体" w:cs="Times New Roman"/>
              <w:b/>
              <w:bCs/>
              <w:spacing w:val="4"/>
              <w:position w:val="2"/>
              <w:sz w:val="32"/>
              <w:szCs w:val="32"/>
            </w:rPr>
            <w:t>三、综合评价情况及评价结论</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default" w:ascii="Times New Roman" w:hAnsi="Times New Roman" w:eastAsia="楷体" w:cs="Times New Roman"/>
              <w:b/>
              <w:bCs/>
              <w:spacing w:val="-20"/>
              <w:position w:val="2"/>
              <w:sz w:val="32"/>
              <w:szCs w:val="32"/>
              <w:lang w:val="en-US" w:eastAsia="zh-CN"/>
            </w:rPr>
            <w:t>1</w:t>
          </w:r>
          <w:r>
            <w:rPr>
              <w:rFonts w:hint="default" w:ascii="Times New Roman" w:hAnsi="Times New Roman" w:eastAsia="Arial" w:cs="Times New Roman"/>
              <w:b/>
              <w:bCs/>
              <w:spacing w:val="-12"/>
              <w:w w:val="97"/>
              <w:position w:val="2"/>
              <w:sz w:val="31"/>
              <w:szCs w:val="31"/>
            </w:rPr>
            <w:fldChar w:fldCharType="end"/>
          </w:r>
          <w:r>
            <w:rPr>
              <w:rFonts w:hint="default" w:ascii="Times New Roman" w:hAnsi="Times New Roman" w:eastAsia="宋体" w:cs="Times New Roman"/>
              <w:b/>
              <w:bCs/>
              <w:spacing w:val="-12"/>
              <w:w w:val="97"/>
              <w:position w:val="2"/>
              <w:sz w:val="31"/>
              <w:szCs w:val="31"/>
              <w:lang w:val="en-US" w:eastAsia="zh-CN"/>
            </w:rPr>
            <w:t>1</w:t>
          </w:r>
        </w:p>
        <w:p>
          <w:pPr>
            <w:tabs>
              <w:tab w:val="right" w:leader="dot" w:pos="8310"/>
            </w:tabs>
            <w:spacing w:before="285" w:line="436" w:lineRule="exact"/>
            <w:ind w:left="70"/>
            <w:rPr>
              <w:rFonts w:hint="default" w:ascii="Times New Roman" w:hAnsi="Times New Roman" w:eastAsia="宋体"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"bookmark9" </w:instrText>
          </w:r>
          <w:r>
            <w:rPr>
              <w:rFonts w:hint="default" w:ascii="Times New Roman" w:hAnsi="Times New Roman" w:cs="Times New Roman"/>
            </w:rPr>
            <w:fldChar w:fldCharType="separate"/>
          </w:r>
          <w:r>
            <w:rPr>
              <w:rFonts w:hint="default" w:ascii="Times New Roman" w:hAnsi="Times New Roman" w:eastAsia="楷体" w:cs="Times New Roman"/>
              <w:b/>
              <w:bCs/>
              <w:spacing w:val="4"/>
              <w:position w:val="2"/>
              <w:sz w:val="32"/>
              <w:szCs w:val="32"/>
            </w:rPr>
            <w:t>四、绩效评价指标分析</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default" w:ascii="Times New Roman" w:hAnsi="Times New Roman" w:eastAsia="楷体" w:cs="Times New Roman"/>
              <w:b/>
              <w:bCs/>
              <w:spacing w:val="-20"/>
              <w:position w:val="2"/>
              <w:sz w:val="32"/>
              <w:szCs w:val="32"/>
              <w:lang w:val="en-US" w:eastAsia="zh-CN"/>
            </w:rPr>
            <w:t>1</w:t>
          </w:r>
          <w:r>
            <w:rPr>
              <w:rFonts w:hint="default" w:ascii="Times New Roman" w:hAnsi="Times New Roman" w:eastAsia="Arial" w:cs="Times New Roman"/>
              <w:b/>
              <w:bCs/>
              <w:spacing w:val="-16"/>
              <w:position w:val="2"/>
              <w:sz w:val="31"/>
              <w:szCs w:val="31"/>
            </w:rPr>
            <w:fldChar w:fldCharType="end"/>
          </w:r>
          <w:r>
            <w:rPr>
              <w:rFonts w:hint="default" w:ascii="Times New Roman" w:hAnsi="Times New Roman" w:eastAsia="楷体" w:cs="Times New Roman"/>
              <w:b/>
              <w:bCs/>
              <w:spacing w:val="-20"/>
              <w:position w:val="2"/>
              <w:sz w:val="32"/>
              <w:szCs w:val="32"/>
              <w:lang w:val="en-US" w:eastAsia="zh-CN"/>
            </w:rPr>
            <w:t>2</w:t>
          </w:r>
        </w:p>
        <w:p>
          <w:pPr>
            <w:tabs>
              <w:tab w:val="right" w:leader="dot" w:pos="8335"/>
            </w:tabs>
            <w:spacing w:before="285" w:line="437" w:lineRule="exact"/>
            <w:ind w:left="320"/>
            <w:rPr>
              <w:rFonts w:hint="default" w:ascii="Times New Roman" w:hAnsi="Times New Roman" w:eastAsia="仿宋" w:cs="Times New Roman"/>
              <w:spacing w:val="-29"/>
              <w:position w:val="2"/>
              <w:sz w:val="31"/>
              <w:szCs w:val="31"/>
              <w:lang w:val="en-US" w:eastAsia="zh-CN"/>
            </w:rPr>
          </w:pPr>
          <w:r>
            <w:rPr>
              <w:rFonts w:hint="default" w:ascii="Times New Roman" w:hAnsi="Times New Roman" w:eastAsia="仿宋" w:cs="Times New Roman"/>
              <w:spacing w:val="-29"/>
              <w:position w:val="2"/>
              <w:sz w:val="31"/>
              <w:szCs w:val="31"/>
            </w:rPr>
            <w:fldChar w:fldCharType="begin"/>
          </w:r>
          <w:r>
            <w:rPr>
              <w:rFonts w:hint="default" w:ascii="Times New Roman" w:hAnsi="Times New Roman" w:eastAsia="仿宋" w:cs="Times New Roman"/>
              <w:spacing w:val="-29"/>
              <w:position w:val="2"/>
              <w:sz w:val="31"/>
              <w:szCs w:val="31"/>
            </w:rPr>
            <w:instrText xml:space="preserve"> HYPERLINK \l "bookmark10" </w:instrText>
          </w:r>
          <w:r>
            <w:rPr>
              <w:rFonts w:hint="default" w:ascii="Times New Roman" w:hAnsi="Times New Roman" w:eastAsia="仿宋" w:cs="Times New Roman"/>
              <w:spacing w:val="-29"/>
              <w:position w:val="2"/>
              <w:sz w:val="31"/>
              <w:szCs w:val="31"/>
            </w:rPr>
            <w:fldChar w:fldCharType="separate"/>
          </w:r>
          <w:r>
            <w:rPr>
              <w:rFonts w:hint="default" w:ascii="Times New Roman" w:hAnsi="Times New Roman" w:eastAsia="仿宋" w:cs="Times New Roman"/>
              <w:spacing w:val="-29"/>
              <w:position w:val="2"/>
              <w:sz w:val="31"/>
              <w:szCs w:val="31"/>
            </w:rPr>
            <w:t>（一）项目决策情况</w:t>
          </w:r>
          <w:r>
            <w:rPr>
              <w:rFonts w:hint="default" w:ascii="Times New Roman" w:hAnsi="Times New Roman" w:eastAsia="仿宋" w:cs="Times New Roman"/>
              <w:spacing w:val="-29"/>
              <w:position w:val="2"/>
              <w:sz w:val="31"/>
              <w:szCs w:val="31"/>
            </w:rPr>
            <w:tab/>
          </w:r>
          <w:r>
            <w:rPr>
              <w:rFonts w:hint="default" w:ascii="Times New Roman" w:hAnsi="Times New Roman" w:eastAsia="仿宋" w:cs="Times New Roman"/>
              <w:spacing w:val="-29"/>
              <w:position w:val="2"/>
              <w:sz w:val="31"/>
              <w:szCs w:val="31"/>
              <w:lang w:val="en-US" w:eastAsia="zh-CN"/>
            </w:rPr>
            <w:t>1</w:t>
          </w:r>
          <w:r>
            <w:rPr>
              <w:rFonts w:hint="default" w:ascii="Times New Roman" w:hAnsi="Times New Roman" w:eastAsia="仿宋" w:cs="Times New Roman"/>
              <w:spacing w:val="-29"/>
              <w:position w:val="2"/>
              <w:sz w:val="31"/>
              <w:szCs w:val="31"/>
            </w:rPr>
            <w:fldChar w:fldCharType="end"/>
          </w:r>
          <w:r>
            <w:rPr>
              <w:rFonts w:hint="default" w:ascii="Times New Roman" w:hAnsi="Times New Roman" w:eastAsia="仿宋" w:cs="Times New Roman"/>
              <w:spacing w:val="-29"/>
              <w:position w:val="2"/>
              <w:sz w:val="31"/>
              <w:szCs w:val="31"/>
              <w:lang w:val="en-US" w:eastAsia="zh-CN"/>
            </w:rPr>
            <w:t>2</w:t>
          </w:r>
        </w:p>
        <w:p>
          <w:pPr>
            <w:tabs>
              <w:tab w:val="right" w:leader="dot" w:pos="8332"/>
            </w:tabs>
            <w:spacing w:before="288" w:line="437" w:lineRule="exact"/>
            <w:ind w:left="320"/>
            <w:rPr>
              <w:rFonts w:hint="default" w:ascii="Times New Roman" w:hAnsi="Times New Roman" w:eastAsia="仿宋"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"bookmark11"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（二）项目过程情况</w:t>
          </w:r>
          <w:r>
            <w:rPr>
              <w:rFonts w:hint="default" w:ascii="Times New Roman" w:hAnsi="Times New Roman" w:eastAsia="仿宋" w:cs="Times New Roman"/>
              <w:position w:val="2"/>
              <w:sz w:val="31"/>
              <w:szCs w:val="31"/>
            </w:rPr>
            <w:tab/>
          </w:r>
          <w:r>
            <w:rPr>
              <w:rFonts w:hint="default" w:ascii="Times New Roman" w:hAnsi="Times New Roman" w:eastAsia="仿宋" w:cs="Times New Roman"/>
              <w:spacing w:val="-29"/>
              <w:position w:val="2"/>
              <w:sz w:val="31"/>
              <w:szCs w:val="31"/>
              <w:lang w:val="en-US" w:eastAsia="zh-CN"/>
            </w:rPr>
            <w:t>1</w:t>
          </w:r>
          <w:r>
            <w:rPr>
              <w:rFonts w:hint="default" w:ascii="Times New Roman" w:hAnsi="Times New Roman" w:eastAsia="仿宋" w:cs="Times New Roman"/>
              <w:spacing w:val="-29"/>
              <w:position w:val="2"/>
              <w:sz w:val="31"/>
              <w:szCs w:val="31"/>
            </w:rPr>
            <w:fldChar w:fldCharType="end"/>
          </w:r>
          <w:r>
            <w:rPr>
              <w:rFonts w:hint="default" w:ascii="Times New Roman" w:hAnsi="Times New Roman" w:eastAsia="仿宋" w:cs="Times New Roman"/>
              <w:spacing w:val="-29"/>
              <w:position w:val="2"/>
              <w:sz w:val="31"/>
              <w:szCs w:val="31"/>
              <w:lang w:val="en-US" w:eastAsia="zh-CN"/>
            </w:rPr>
            <w:t>5</w:t>
          </w:r>
        </w:p>
        <w:p>
          <w:pPr>
            <w:tabs>
              <w:tab w:val="right" w:leader="dot" w:pos="8335"/>
            </w:tabs>
            <w:spacing w:before="285" w:line="437" w:lineRule="exact"/>
            <w:ind w:left="320"/>
            <w:rPr>
              <w:rFonts w:hint="default" w:ascii="Times New Roman" w:hAnsi="Times New Roman" w:eastAsia="宋体"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"bookmark12"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（三）项目产出情况</w:t>
          </w:r>
          <w:r>
            <w:rPr>
              <w:rFonts w:hint="default" w:ascii="Times New Roman" w:hAnsi="Times New Roman" w:eastAsia="仿宋" w:cs="Times New Roman"/>
              <w:position w:val="2"/>
              <w:sz w:val="31"/>
              <w:szCs w:val="31"/>
            </w:rPr>
            <w:tab/>
          </w:r>
          <w:r>
            <w:rPr>
              <w:rFonts w:hint="default" w:ascii="Times New Roman" w:hAnsi="Times New Roman" w:eastAsia="仿宋" w:cs="Times New Roman"/>
              <w:spacing w:val="-29"/>
              <w:position w:val="2"/>
              <w:sz w:val="31"/>
              <w:szCs w:val="31"/>
              <w:lang w:val="en-US" w:eastAsia="zh-CN"/>
            </w:rPr>
            <w:t>1</w:t>
          </w:r>
          <w:r>
            <w:rPr>
              <w:rFonts w:hint="default" w:ascii="Times New Roman" w:hAnsi="Times New Roman" w:eastAsia="Arial" w:cs="Times New Roman"/>
              <w:spacing w:val="-11"/>
              <w:position w:val="2"/>
              <w:sz w:val="31"/>
              <w:szCs w:val="31"/>
            </w:rPr>
            <w:fldChar w:fldCharType="end"/>
          </w:r>
          <w:r>
            <w:rPr>
              <w:rFonts w:hint="default" w:ascii="Times New Roman" w:hAnsi="Times New Roman" w:eastAsia="仿宋" w:cs="Times New Roman"/>
              <w:spacing w:val="-29"/>
              <w:position w:val="2"/>
              <w:sz w:val="31"/>
              <w:szCs w:val="31"/>
              <w:lang w:val="en-US" w:eastAsia="zh-CN"/>
            </w:rPr>
            <w:t>7</w:t>
          </w:r>
        </w:p>
        <w:p>
          <w:pPr>
            <w:tabs>
              <w:tab w:val="right" w:leader="dot" w:pos="8332"/>
            </w:tabs>
            <w:spacing w:before="288" w:line="437" w:lineRule="exact"/>
            <w:ind w:left="320"/>
            <w:rPr>
              <w:rFonts w:hint="default" w:ascii="Times New Roman" w:hAnsi="Times New Roman" w:eastAsia="仿宋"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"bookmark13"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（四）项目效益情况</w:t>
          </w:r>
          <w:r>
            <w:rPr>
              <w:rFonts w:hint="default" w:ascii="Times New Roman" w:hAnsi="Times New Roman" w:eastAsia="仿宋" w:cs="Times New Roman"/>
              <w:position w:val="2"/>
              <w:sz w:val="31"/>
              <w:szCs w:val="31"/>
            </w:rPr>
            <w:tab/>
          </w:r>
          <w:r>
            <w:rPr>
              <w:rFonts w:hint="default" w:ascii="Times New Roman" w:hAnsi="Times New Roman" w:eastAsia="仿宋" w:cs="Times New Roman"/>
              <w:position w:val="2"/>
              <w:sz w:val="31"/>
              <w:szCs w:val="31"/>
            </w:rPr>
            <w:fldChar w:fldCharType="end"/>
          </w:r>
          <w:r>
            <w:rPr>
              <w:rFonts w:hint="default" w:ascii="Times New Roman" w:hAnsi="Times New Roman" w:eastAsia="仿宋" w:cs="Times New Roman"/>
              <w:spacing w:val="-29"/>
              <w:position w:val="2"/>
              <w:sz w:val="31"/>
              <w:szCs w:val="31"/>
              <w:lang w:val="en-US" w:eastAsia="zh-CN"/>
            </w:rPr>
            <w:t>20</w:t>
          </w:r>
        </w:p>
        <w:p>
          <w:pPr>
            <w:tabs>
              <w:tab w:val="right" w:leader="dot" w:pos="8310"/>
            </w:tabs>
            <w:spacing w:before="288" w:line="432" w:lineRule="exact"/>
            <w:ind w:left="37"/>
            <w:rPr>
              <w:rFonts w:hint="default" w:ascii="Times New Roman" w:hAnsi="Times New Roman" w:eastAsia="宋体"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"bookmark14" </w:instrText>
          </w:r>
          <w:r>
            <w:rPr>
              <w:rFonts w:hint="default" w:ascii="Times New Roman" w:hAnsi="Times New Roman" w:cs="Times New Roman"/>
            </w:rPr>
            <w:fldChar w:fldCharType="separate"/>
          </w:r>
          <w:r>
            <w:rPr>
              <w:rFonts w:hint="default" w:ascii="Times New Roman" w:hAnsi="Times New Roman" w:eastAsia="楷体" w:cs="Times New Roman"/>
              <w:b/>
              <w:bCs/>
              <w:spacing w:val="4"/>
              <w:position w:val="2"/>
              <w:sz w:val="32"/>
              <w:szCs w:val="32"/>
            </w:rPr>
            <w:t>五、主要经验及做法、存在的问题及分析</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default" w:ascii="Times New Roman" w:hAnsi="Times New Roman" w:eastAsia="楷体" w:cs="Times New Roman"/>
              <w:b/>
              <w:bCs/>
              <w:spacing w:val="-20"/>
              <w:position w:val="2"/>
              <w:sz w:val="32"/>
              <w:szCs w:val="32"/>
              <w:lang w:val="en-US" w:eastAsia="zh-CN"/>
            </w:rPr>
            <w:t>2</w:t>
          </w:r>
          <w:r>
            <w:rPr>
              <w:rFonts w:hint="default" w:ascii="Times New Roman" w:hAnsi="Times New Roman" w:eastAsia="Arial" w:cs="Times New Roman"/>
              <w:b/>
              <w:bCs/>
              <w:spacing w:val="12"/>
              <w:position w:val="2"/>
              <w:sz w:val="31"/>
              <w:szCs w:val="31"/>
            </w:rPr>
            <w:fldChar w:fldCharType="end"/>
          </w:r>
          <w:r>
            <w:rPr>
              <w:rFonts w:hint="default" w:ascii="Times New Roman" w:hAnsi="Times New Roman" w:eastAsia="楷体" w:cs="Times New Roman"/>
              <w:b/>
              <w:bCs/>
              <w:spacing w:val="-20"/>
              <w:position w:val="2"/>
              <w:sz w:val="32"/>
              <w:szCs w:val="32"/>
              <w:lang w:val="en-US" w:eastAsia="zh-CN"/>
            </w:rPr>
            <w:t>2</w:t>
          </w:r>
        </w:p>
        <w:p>
          <w:pPr>
            <w:tabs>
              <w:tab w:val="right" w:leader="dot" w:pos="8335"/>
            </w:tabs>
            <w:spacing w:before="290" w:line="441" w:lineRule="exact"/>
            <w:ind w:left="320"/>
            <w:rPr>
              <w:rFonts w:hint="default" w:ascii="Times New Roman" w:hAnsi="Times New Roman" w:eastAsia="宋体"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"bookmark15"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（一）主要经验及做法</w:t>
          </w:r>
          <w:r>
            <w:rPr>
              <w:rFonts w:hint="default" w:ascii="Times New Roman" w:hAnsi="Times New Roman" w:eastAsia="仿宋" w:cs="Times New Roman"/>
              <w:position w:val="2"/>
              <w:sz w:val="31"/>
              <w:szCs w:val="31"/>
            </w:rPr>
            <w:tab/>
          </w:r>
          <w:r>
            <w:rPr>
              <w:rFonts w:hint="default" w:ascii="Times New Roman" w:hAnsi="Times New Roman" w:eastAsia="仿宋" w:cs="Times New Roman"/>
              <w:spacing w:val="-29"/>
              <w:position w:val="2"/>
              <w:sz w:val="31"/>
              <w:szCs w:val="31"/>
              <w:lang w:val="en-US" w:eastAsia="zh-CN"/>
            </w:rPr>
            <w:t>2</w:t>
          </w:r>
          <w:r>
            <w:rPr>
              <w:rFonts w:hint="default" w:ascii="Times New Roman" w:hAnsi="Times New Roman" w:eastAsia="Arial" w:cs="Times New Roman"/>
              <w:spacing w:val="-15"/>
              <w:w w:val="96"/>
              <w:position w:val="2"/>
              <w:sz w:val="31"/>
              <w:szCs w:val="31"/>
            </w:rPr>
            <w:fldChar w:fldCharType="end"/>
          </w:r>
          <w:r>
            <w:rPr>
              <w:rFonts w:hint="default" w:ascii="Times New Roman" w:hAnsi="Times New Roman" w:eastAsia="仿宋" w:cs="Times New Roman"/>
              <w:spacing w:val="-29"/>
              <w:position w:val="2"/>
              <w:sz w:val="31"/>
              <w:szCs w:val="31"/>
              <w:lang w:val="en-US" w:eastAsia="zh-CN"/>
            </w:rPr>
            <w:t>2</w:t>
          </w:r>
        </w:p>
        <w:p>
          <w:pPr>
            <w:tabs>
              <w:tab w:val="right" w:leader="dot" w:pos="8335"/>
            </w:tabs>
            <w:spacing w:before="284" w:line="432" w:lineRule="exact"/>
            <w:ind w:left="320"/>
            <w:rPr>
              <w:rFonts w:hint="default" w:ascii="Times New Roman" w:hAnsi="Times New Roman" w:eastAsia="仿宋" w:cs="Times New Roman"/>
              <w:sz w:val="31"/>
              <w:szCs w:val="31"/>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"bookmark16" </w:instrText>
          </w:r>
          <w:r>
            <w:rPr>
              <w:rFonts w:hint="default" w:ascii="Times New Roman" w:hAnsi="Times New Roman" w:cs="Times New Roman"/>
            </w:rPr>
            <w:fldChar w:fldCharType="separate"/>
          </w:r>
          <w:r>
            <w:rPr>
              <w:rFonts w:hint="default" w:ascii="Times New Roman" w:hAnsi="Times New Roman" w:eastAsia="仿宋" w:cs="Times New Roman"/>
              <w:spacing w:val="-29"/>
              <w:position w:val="2"/>
              <w:sz w:val="31"/>
              <w:szCs w:val="31"/>
            </w:rPr>
            <w:t>（二）存在问题及分析</w:t>
          </w:r>
          <w:r>
            <w:rPr>
              <w:rFonts w:hint="default" w:ascii="Times New Roman" w:hAnsi="Times New Roman" w:eastAsia="仿宋" w:cs="Times New Roman"/>
              <w:position w:val="2"/>
              <w:sz w:val="31"/>
              <w:szCs w:val="31"/>
            </w:rPr>
            <w:tab/>
          </w:r>
          <w:r>
            <w:rPr>
              <w:rFonts w:hint="default" w:ascii="Times New Roman" w:hAnsi="Times New Roman" w:eastAsia="仿宋" w:cs="Times New Roman"/>
              <w:spacing w:val="-29"/>
              <w:position w:val="2"/>
              <w:sz w:val="31"/>
              <w:szCs w:val="31"/>
              <w:lang w:val="en-US" w:eastAsia="zh-CN"/>
            </w:rPr>
            <w:t>2</w:t>
          </w:r>
          <w:r>
            <w:rPr>
              <w:rFonts w:hint="default" w:ascii="Times New Roman" w:hAnsi="Times New Roman" w:eastAsia="仿宋" w:cs="Times New Roman"/>
              <w:spacing w:val="-29"/>
              <w:position w:val="2"/>
              <w:sz w:val="31"/>
              <w:szCs w:val="31"/>
            </w:rPr>
            <w:fldChar w:fldCharType="end"/>
          </w:r>
          <w:r>
            <w:rPr>
              <w:rFonts w:hint="default" w:ascii="Times New Roman" w:hAnsi="Times New Roman" w:eastAsia="仿宋" w:cs="Times New Roman"/>
              <w:spacing w:val="-29"/>
              <w:position w:val="2"/>
              <w:sz w:val="31"/>
              <w:szCs w:val="31"/>
              <w:lang w:val="en-US" w:eastAsia="zh-CN"/>
            </w:rPr>
            <w:t>3</w:t>
          </w:r>
        </w:p>
        <w:p>
          <w:pPr>
            <w:tabs>
              <w:tab w:val="right" w:leader="dot" w:pos="8310"/>
            </w:tabs>
            <w:spacing w:before="293" w:line="436" w:lineRule="exact"/>
            <w:ind w:left="35"/>
            <w:rPr>
              <w:rFonts w:hint="default" w:ascii="Times New Roman" w:hAnsi="Times New Roman" w:eastAsia="Arial" w:cs="Times New Roman"/>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"bookmark17" </w:instrText>
          </w:r>
          <w:r>
            <w:rPr>
              <w:rFonts w:hint="default" w:ascii="Times New Roman" w:hAnsi="Times New Roman" w:cs="Times New Roman"/>
            </w:rPr>
            <w:fldChar w:fldCharType="separate"/>
          </w:r>
          <w:r>
            <w:rPr>
              <w:rFonts w:hint="default" w:ascii="Times New Roman" w:hAnsi="Times New Roman" w:eastAsia="楷体" w:cs="Times New Roman"/>
              <w:b/>
              <w:bCs/>
              <w:spacing w:val="4"/>
              <w:position w:val="2"/>
              <w:sz w:val="32"/>
              <w:szCs w:val="32"/>
            </w:rPr>
            <w:t>六、相关建议</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default" w:ascii="Times New Roman" w:hAnsi="Times New Roman" w:eastAsia="楷体" w:cs="Times New Roman"/>
              <w:b/>
              <w:bCs/>
              <w:spacing w:val="-20"/>
              <w:position w:val="2"/>
              <w:sz w:val="32"/>
              <w:szCs w:val="32"/>
              <w:lang w:val="en-US" w:eastAsia="zh-CN"/>
            </w:rPr>
            <w:t>2</w:t>
          </w:r>
          <w:r>
            <w:rPr>
              <w:rFonts w:hint="default" w:ascii="Times New Roman" w:hAnsi="Times New Roman" w:eastAsia="Arial" w:cs="Times New Roman"/>
              <w:b/>
              <w:bCs/>
              <w:spacing w:val="-16"/>
              <w:position w:val="2"/>
              <w:sz w:val="31"/>
              <w:szCs w:val="31"/>
            </w:rPr>
            <w:fldChar w:fldCharType="end"/>
          </w:r>
          <w:r>
            <w:rPr>
              <w:rFonts w:hint="default" w:ascii="Times New Roman" w:hAnsi="Times New Roman" w:eastAsia="宋体" w:cs="Times New Roman"/>
              <w:b/>
              <w:bCs/>
              <w:spacing w:val="-16"/>
              <w:position w:val="2"/>
              <w:sz w:val="31"/>
              <w:szCs w:val="31"/>
              <w:lang w:val="en-US" w:eastAsia="zh-CN"/>
            </w:rPr>
            <w:t>4</w:t>
          </w:r>
        </w:p>
      </w:sdtContent>
    </w:sdt>
    <w:sdt>
      <w:sdtPr>
        <w:rPr>
          <w:rFonts w:hint="default" w:ascii="Times New Roman" w:hAnsi="Times New Roman" w:eastAsia="仿宋" w:cs="Times New Roman"/>
          <w:sz w:val="31"/>
          <w:szCs w:val="31"/>
        </w:rPr>
        <w:id w:val="147451815"/>
        <w:docPartObj>
          <w:docPartGallery w:val="Table of Contents"/>
          <w:docPartUnique/>
        </w:docPartObj>
      </w:sdtPr>
      <w:sdtEndPr>
        <w:rPr>
          <w:rFonts w:hint="default" w:ascii="Times New Roman" w:hAnsi="Times New Roman" w:eastAsia="Arial" w:cs="Times New Roman"/>
          <w:position w:val="1"/>
          <w:sz w:val="31"/>
          <w:szCs w:val="31"/>
        </w:rPr>
      </w:sdtEndPr>
      <w:sdtContent>
        <w:p>
          <w:pPr>
            <w:tabs>
              <w:tab w:val="right" w:leader="dot" w:pos="8310"/>
            </w:tabs>
            <w:spacing w:before="101" w:line="435" w:lineRule="exact"/>
            <w:ind w:left="39"/>
            <w:rPr>
              <w:rFonts w:hint="default" w:ascii="Times New Roman" w:hAnsi="Times New Roman" w:eastAsia="Arial" w:cs="Times New Roman"/>
              <w:sz w:val="31"/>
              <w:szCs w:val="31"/>
            </w:rPr>
          </w:pPr>
          <w:r>
            <w:rPr>
              <w:rFonts w:hint="default" w:ascii="Times New Roman" w:hAnsi="Times New Roman" w:cs="Times New Roman"/>
            </w:rPr>
            <w:fldChar w:fldCharType="begin"/>
          </w:r>
          <w:r>
            <w:rPr>
              <w:rFonts w:hint="default" w:ascii="Times New Roman" w:hAnsi="Times New Roman" w:cs="Times New Roman"/>
            </w:rPr>
            <w:instrText xml:space="preserve"> HYPERLINK \l "bookmark18" </w:instrText>
          </w:r>
          <w:r>
            <w:rPr>
              <w:rFonts w:hint="default" w:ascii="Times New Roman" w:hAnsi="Times New Roman" w:cs="Times New Roman"/>
            </w:rPr>
            <w:fldChar w:fldCharType="separate"/>
          </w:r>
          <w:r>
            <w:rPr>
              <w:rFonts w:hint="default" w:ascii="Times New Roman" w:hAnsi="Times New Roman" w:eastAsia="楷体" w:cs="Times New Roman"/>
              <w:b/>
              <w:bCs/>
              <w:spacing w:val="4"/>
              <w:position w:val="2"/>
              <w:sz w:val="32"/>
              <w:szCs w:val="32"/>
            </w:rPr>
            <w:t>七、其他需要说明的问题</w:t>
          </w:r>
          <w:r>
            <w:rPr>
              <w:rFonts w:hint="default" w:ascii="Times New Roman" w:hAnsi="Times New Roman" w:eastAsia="仿宋" w:cs="Times New Roman"/>
              <w:position w:val="2"/>
              <w:sz w:val="31"/>
              <w:szCs w:val="31"/>
              <w14:textOutline w14:w="5793" w14:cap="flat" w14:cmpd="sng">
                <w14:solidFill>
                  <w14:srgbClr w14:val="000000"/>
                </w14:solidFill>
                <w14:prstDash w14:val="solid"/>
                <w14:miter w14:val="0"/>
              </w14:textOutline>
            </w:rPr>
            <w:tab/>
          </w:r>
          <w:r>
            <w:rPr>
              <w:rFonts w:hint="default" w:ascii="Times New Roman" w:hAnsi="Times New Roman" w:eastAsia="楷体" w:cs="Times New Roman"/>
              <w:b/>
              <w:bCs/>
              <w:spacing w:val="-20"/>
              <w:position w:val="2"/>
              <w:sz w:val="32"/>
              <w:szCs w:val="32"/>
              <w:lang w:val="en-US" w:eastAsia="zh-CN"/>
            </w:rPr>
            <w:t>2</w:t>
          </w:r>
          <w:r>
            <w:rPr>
              <w:rFonts w:hint="default" w:ascii="Times New Roman" w:hAnsi="Times New Roman" w:eastAsia="Arial" w:cs="Times New Roman"/>
              <w:b/>
              <w:bCs/>
              <w:spacing w:val="16"/>
              <w:position w:val="2"/>
              <w:sz w:val="31"/>
              <w:szCs w:val="31"/>
            </w:rPr>
            <w:fldChar w:fldCharType="end"/>
          </w:r>
          <w:r>
            <w:rPr>
              <w:rFonts w:hint="default" w:ascii="Times New Roman" w:hAnsi="Times New Roman" w:eastAsia="宋体" w:cs="Times New Roman"/>
              <w:b/>
              <w:bCs/>
              <w:spacing w:val="16"/>
              <w:position w:val="2"/>
              <w:sz w:val="31"/>
              <w:szCs w:val="31"/>
              <w:lang w:val="en-US" w:eastAsia="zh-CN"/>
            </w:rPr>
            <w:t>5</w:t>
          </w:r>
        </w:p>
      </w:sdtContent>
    </w:sdt>
    <w:p>
      <w:pPr>
        <w:spacing w:line="435" w:lineRule="exact"/>
        <w:rPr>
          <w:rFonts w:hint="default" w:ascii="Times New Roman" w:hAnsi="Times New Roman" w:eastAsia="Arial" w:cs="Times New Roman"/>
          <w:sz w:val="31"/>
          <w:szCs w:val="31"/>
        </w:rPr>
        <w:sectPr>
          <w:pgSz w:w="11906" w:h="16839"/>
          <w:pgMar w:top="2098" w:right="1587" w:bottom="1984" w:left="1587" w:header="0" w:footer="0" w:gutter="0"/>
          <w:cols w:space="0" w:num="1"/>
          <w:rtlGutter w:val="0"/>
          <w:docGrid w:linePitch="0" w:charSpace="0"/>
        </w:sect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jc w:val="center"/>
        <w:textAlignment w:val="baseline"/>
        <w:rPr>
          <w:rFonts w:hint="default" w:ascii="Times New Roman" w:hAnsi="Times New Roman" w:eastAsia="方正小标宋简体" w:cs="Times New Roman"/>
          <w:snapToGrid/>
          <w:kern w:val="2"/>
          <w:sz w:val="44"/>
          <w:szCs w:val="44"/>
          <w:lang w:eastAsia="zh-CN"/>
        </w:rPr>
      </w:pPr>
      <w:r>
        <w:rPr>
          <w:rFonts w:hint="default" w:ascii="Times New Roman" w:hAnsi="Times New Roman" w:eastAsia="方正小标宋简体" w:cs="Times New Roman"/>
          <w:snapToGrid/>
          <w:kern w:val="2"/>
          <w:sz w:val="44"/>
          <w:szCs w:val="44"/>
          <w:lang w:eastAsia="zh-CN"/>
        </w:rPr>
        <w:t>“市政、园林、环卫一体化”第三方服务</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jc w:val="center"/>
        <w:textAlignment w:val="baseline"/>
        <w:rPr>
          <w:rFonts w:hint="default" w:ascii="Times New Roman" w:hAnsi="Times New Roman" w:cs="Times New Roman"/>
          <w:sz w:val="44"/>
          <w:szCs w:val="44"/>
        </w:rPr>
      </w:pPr>
      <w:r>
        <w:rPr>
          <w:rFonts w:hint="default" w:ascii="Times New Roman" w:hAnsi="Times New Roman" w:eastAsia="方正小标宋简体" w:cs="Times New Roman"/>
          <w:snapToGrid/>
          <w:kern w:val="2"/>
          <w:sz w:val="44"/>
          <w:szCs w:val="44"/>
          <w:lang w:eastAsia="zh-CN"/>
        </w:rPr>
        <w:t>采购项目预算绩效评价报告</w:t>
      </w:r>
    </w:p>
    <w:p>
      <w:pPr>
        <w:spacing w:line="262" w:lineRule="auto"/>
        <w:rPr>
          <w:rFonts w:hint="default" w:ascii="Times New Roman" w:hAnsi="Times New Roman" w:cs="Times New Roman"/>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为贯彻落实全面推进预算绩效管理工作的要求，完善部门预算管理强化预算支出责任，提高财政资金的使用效益，根据相关文件的要求，受哈密市伊州区财政局（以下简称“区财政局”）的委托，天津安信管理咨询有限公司以第三方社会评价机构的身份（以下简称“评价组”），承担了“市政、园林、环卫一体化”第三方服务采购项目的绩效评价工作并形成绩效评价报告</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0"/>
        <w:rPr>
          <w:rFonts w:hint="default" w:ascii="Times New Roman" w:hAnsi="Times New Roman" w:eastAsia="黑体" w:cs="Times New Roman"/>
          <w:spacing w:val="0"/>
          <w:sz w:val="32"/>
          <w:szCs w:val="32"/>
        </w:rPr>
      </w:pPr>
      <w:bookmarkStart w:id="0" w:name="bookmark19"/>
      <w:bookmarkEnd w:id="0"/>
      <w:r>
        <w:rPr>
          <w:rFonts w:hint="default" w:ascii="Times New Roman" w:hAnsi="Times New Roman" w:eastAsia="黑体" w:cs="Times New Roman"/>
          <w:spacing w:val="0"/>
          <w:sz w:val="32"/>
          <w:szCs w:val="32"/>
        </w:rPr>
        <w:t>一、项目基本情况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default" w:ascii="Times New Roman" w:hAnsi="Times New Roman" w:eastAsia="楷体" w:cs="Times New Roman"/>
          <w:b w:val="0"/>
          <w:bCs w:val="0"/>
          <w:spacing w:val="0"/>
          <w:sz w:val="32"/>
          <w:szCs w:val="32"/>
        </w:rPr>
      </w:pPr>
      <w:bookmarkStart w:id="1" w:name="bookmark2"/>
      <w:bookmarkEnd w:id="1"/>
      <w:bookmarkStart w:id="2" w:name="bookmark1"/>
      <w:bookmarkEnd w:id="2"/>
      <w:r>
        <w:rPr>
          <w:rFonts w:hint="default" w:ascii="Times New Roman" w:hAnsi="Times New Roman" w:eastAsia="楷体" w:cs="Times New Roman"/>
          <w:b w:val="0"/>
          <w:bCs w:val="0"/>
          <w:spacing w:val="0"/>
          <w:sz w:val="32"/>
          <w:szCs w:val="32"/>
        </w:rPr>
        <w:t>（一）项目概况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仿宋_GB2312" w:cs="Times New Roman"/>
          <w:b/>
          <w:bCs/>
          <w:snapToGrid/>
          <w:spacing w:val="0"/>
          <w:kern w:val="2"/>
          <w:sz w:val="32"/>
          <w:szCs w:val="32"/>
          <w:lang w:val="en-US" w:eastAsia="zh-CN" w:bidi="ar-SA"/>
        </w:rPr>
      </w:pPr>
      <w:r>
        <w:rPr>
          <w:rFonts w:hint="default" w:ascii="Times New Roman" w:hAnsi="Times New Roman" w:eastAsia="仿宋_GB2312" w:cs="Times New Roman"/>
          <w:b/>
          <w:bCs/>
          <w:snapToGrid/>
          <w:spacing w:val="0"/>
          <w:kern w:val="2"/>
          <w:sz w:val="32"/>
          <w:szCs w:val="32"/>
          <w:lang w:val="en-US" w:eastAsia="zh-CN" w:bidi="ar-SA"/>
        </w:rPr>
        <w:t>1.项目背景</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2025年，深入贯彻落实中央、自治区关于提升城市精治理管理水平、建设美丽宜居城市的重要决策部署，紧扣市委、市政府“123456”发展思路，锚定城市服务高质量发展目标，深入践行“人民城市人民建、人民城市为人民”理念，以推进“市政、园林、环卫一体化”管理改革为重要抓手，深化与哈密城市建设投资发展有限公司、哈密北控城市服务有限公司协同联动，着力打破部门壁垒，整合管理资源，优化作业流程，实现城市综合管理效能与人居环境品质双提升，改革合作取得阶段性成果。打造干净的城市样貌，修复园林湿地生态问题，提升城市的市容市貌，提高居民生活品质，创建团结的蜜城，从生态、文化、生活三方面剖析市政、园林、环卫等问题，满足群众需求，提升城市环境策略。此项目的实施会使哈密市更加宜居且充满活力，让更多的居民们都拥有一个干净、美丽的闲绿地广场和生活环境，从而提升城市居民的生活品质与感受</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仿宋_GB2312" w:cs="Times New Roman"/>
          <w:b/>
          <w:bCs/>
          <w:snapToGrid/>
          <w:spacing w:val="0"/>
          <w:kern w:val="2"/>
          <w:sz w:val="32"/>
          <w:szCs w:val="32"/>
          <w:lang w:val="en-US" w:eastAsia="zh-CN" w:bidi="ar-SA"/>
        </w:rPr>
      </w:pPr>
      <w:r>
        <w:rPr>
          <w:rFonts w:hint="default" w:ascii="Times New Roman" w:hAnsi="Times New Roman" w:eastAsia="仿宋_GB2312" w:cs="Times New Roman"/>
          <w:b/>
          <w:bCs/>
          <w:snapToGrid/>
          <w:spacing w:val="0"/>
          <w:kern w:val="2"/>
          <w:sz w:val="32"/>
          <w:szCs w:val="32"/>
          <w:lang w:val="en-US" w:eastAsia="zh-CN" w:bidi="ar-SA"/>
        </w:rPr>
        <w:t>2.主要内容</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本项目实施的主要内容：1.城乡环卫保洁管理：通路清扫保洁服务面积12629003.66平方米、垃圾收运124319.57吨/年、中转站4座、公厕保洁114座、旱厕1座、垃圾填埋场1座、智慧环卫1套、停车场1项、冬季除雪9022920.121平方米；2.园林绿化及公园管理：6842546.11平方米。3.市政设施养护：市政道路桥梁养护4132559.33平方米、路灯照明设施管养19518个</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仿宋_GB2312" w:cs="Times New Roman"/>
          <w:b/>
          <w:bCs/>
          <w:snapToGrid/>
          <w:spacing w:val="0"/>
          <w:kern w:val="2"/>
          <w:sz w:val="32"/>
          <w:szCs w:val="32"/>
          <w:lang w:val="en-US" w:eastAsia="zh-CN" w:bidi="ar-SA"/>
        </w:rPr>
      </w:pPr>
      <w:r>
        <w:rPr>
          <w:rFonts w:hint="default" w:ascii="Times New Roman" w:hAnsi="Times New Roman" w:eastAsia="仿宋_GB2312" w:cs="Times New Roman"/>
          <w:b/>
          <w:bCs/>
          <w:snapToGrid/>
          <w:spacing w:val="0"/>
          <w:kern w:val="2"/>
          <w:sz w:val="32"/>
          <w:szCs w:val="32"/>
          <w:lang w:val="en-US" w:eastAsia="zh-CN" w:bidi="ar-SA"/>
        </w:rPr>
        <w:t>3.项目组织管理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（1）项目组织情况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本项目涉及的单位包括区哈密市伊州区财政局（以下简称“区财政局”）、哈密市伊州区住房和城乡建设局（以下简称“区住建局”）、哈密市伊州区城市公共事业服务中心</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textAlignment w:val="baseline"/>
        <w:rPr>
          <w:rFonts w:hint="default" w:ascii="Times New Roman" w:hAnsi="Times New Roman" w:eastAsia="Times New Roman" w:cs="Times New Roman"/>
          <w:spacing w:val="0"/>
          <w:sz w:val="31"/>
          <w:szCs w:val="31"/>
        </w:rPr>
      </w:pPr>
      <w:r>
        <w:rPr>
          <w:rFonts w:hint="default" w:ascii="Times New Roman" w:hAnsi="Times New Roman" w:eastAsia="仿宋" w:cs="Times New Roman"/>
          <w:spacing w:val="0"/>
          <w:sz w:val="31"/>
          <w:szCs w:val="31"/>
        </w:rPr>
        <w:t>各单位的职责如下</w:t>
      </w:r>
      <w:r>
        <w:rPr>
          <w:rFonts w:hint="default" w:ascii="Times New Roman" w:hAnsi="Times New Roman" w:eastAsia="Times New Roman"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b/>
          <w:bCs/>
          <w:snapToGrid/>
          <w:spacing w:val="0"/>
          <w:kern w:val="2"/>
          <w:sz w:val="32"/>
          <w:szCs w:val="32"/>
          <w:lang w:val="en-US" w:eastAsia="zh-CN" w:bidi="ar-SA"/>
        </w:rPr>
        <w:t>哈密市伊州区财政局：</w:t>
      </w:r>
      <w:r>
        <w:rPr>
          <w:rFonts w:hint="default" w:ascii="Times New Roman" w:hAnsi="Times New Roman" w:eastAsia="仿宋_GB2312" w:cs="Times New Roman"/>
          <w:snapToGrid/>
          <w:spacing w:val="0"/>
          <w:kern w:val="2"/>
          <w:sz w:val="32"/>
          <w:szCs w:val="32"/>
          <w:lang w:val="en-US" w:eastAsia="zh-CN" w:bidi="ar-SA"/>
        </w:rPr>
        <w:t>负责审核项目资金的年度预算及项目指标下达管理，协同各部门制订和完善资金管理政策、项目申报指南，参与项目财务事项评审，接收转移支付资金并根据项目做好资金分配，对项目资金使用情况进行绩效考核和监督检查</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b/>
          <w:bCs/>
          <w:snapToGrid/>
          <w:spacing w:val="0"/>
          <w:kern w:val="2"/>
          <w:sz w:val="32"/>
          <w:szCs w:val="32"/>
          <w:lang w:val="en-US" w:eastAsia="zh-CN" w:bidi="ar-SA"/>
        </w:rPr>
        <w:t>哈密市伊州区住房和城乡建设局：</w:t>
      </w:r>
      <w:r>
        <w:rPr>
          <w:rFonts w:hint="default" w:ascii="Times New Roman" w:hAnsi="Times New Roman" w:eastAsia="仿宋_GB2312" w:cs="Times New Roman"/>
          <w:snapToGrid/>
          <w:spacing w:val="0"/>
          <w:kern w:val="2"/>
          <w:sz w:val="32"/>
          <w:szCs w:val="32"/>
          <w:lang w:val="en-US" w:eastAsia="zh-CN" w:bidi="ar-SA"/>
        </w:rPr>
        <w:t>根据城市发展需求和居民实际诉求，编制“市政、园林、环卫一体化”第三方服务采购工作年度计划和中长期规划，明确建设目标、任务分工和时间节点，推动建设工作有序开展。负责“市政、园林、环卫一体化”第三方服务采购项目的立项、可行性研究报告审批、初步设计及概算审批等工作，确保项目符合相关规范和标准。负责“市政、园林、环卫一体化”项目资金的筹集、拨付和监管，确保资金专款专用，提高资金使用效益</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b/>
          <w:bCs/>
          <w:snapToGrid/>
          <w:spacing w:val="0"/>
          <w:kern w:val="2"/>
          <w:sz w:val="32"/>
          <w:szCs w:val="32"/>
          <w:lang w:val="en-US" w:eastAsia="zh-CN" w:bidi="ar-SA"/>
        </w:rPr>
        <w:t>哈密市伊州区城市公共事业服务中心：</w:t>
      </w:r>
      <w:r>
        <w:rPr>
          <w:rFonts w:hint="default" w:ascii="Times New Roman" w:hAnsi="Times New Roman" w:eastAsia="仿宋_GB2312" w:cs="Times New Roman"/>
          <w:snapToGrid/>
          <w:spacing w:val="0"/>
          <w:kern w:val="2"/>
          <w:sz w:val="32"/>
          <w:szCs w:val="32"/>
          <w:lang w:val="en-US" w:eastAsia="zh-CN" w:bidi="ar-SA"/>
        </w:rPr>
        <w:t>对“市政、园林、环卫一体化”的项目监督、考核、项目实施质量等环节进行全过程监督检查，确保项目符合要求。项目完成后，组织相关部门对项目进行考核验收，对城市环境、卫生等方面进行全面评估验收</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楷体" w:cs="Times New Roman"/>
          <w:spacing w:val="0"/>
          <w:sz w:val="32"/>
          <w:szCs w:val="32"/>
        </w:rPr>
      </w:pPr>
      <w:r>
        <w:rPr>
          <w:rFonts w:hint="default" w:ascii="Times New Roman" w:hAnsi="Times New Roman" w:eastAsia="仿宋_GB2312" w:cs="Times New Roman"/>
          <w:snapToGrid/>
          <w:spacing w:val="0"/>
          <w:kern w:val="2"/>
          <w:sz w:val="32"/>
          <w:szCs w:val="32"/>
          <w:lang w:val="en-US" w:eastAsia="zh-CN" w:bidi="ar-SA"/>
        </w:rPr>
        <w:t>（2）资金管理情况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b/>
          <w:bCs/>
          <w:snapToGrid/>
          <w:spacing w:val="0"/>
          <w:kern w:val="2"/>
          <w:sz w:val="32"/>
          <w:szCs w:val="32"/>
          <w:lang w:val="en-US" w:eastAsia="zh-CN" w:bidi="ar-SA"/>
        </w:rPr>
        <w:t>预算编制：</w:t>
      </w:r>
      <w:r>
        <w:rPr>
          <w:rFonts w:hint="default" w:ascii="Times New Roman" w:hAnsi="Times New Roman" w:eastAsia="仿宋_GB2312" w:cs="Times New Roman"/>
          <w:snapToGrid/>
          <w:spacing w:val="0"/>
          <w:kern w:val="2"/>
          <w:sz w:val="32"/>
          <w:szCs w:val="32"/>
          <w:lang w:val="en-US" w:eastAsia="zh-CN" w:bidi="ar-SA"/>
        </w:rPr>
        <w:t>该项目资金为哈密市伊州区本级财政配套资金，由区住建局进行预算编制及申报</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b/>
          <w:bCs/>
          <w:snapToGrid/>
          <w:spacing w:val="0"/>
          <w:kern w:val="2"/>
          <w:sz w:val="32"/>
          <w:szCs w:val="32"/>
          <w:lang w:val="en-US" w:eastAsia="zh-CN" w:bidi="ar-SA"/>
        </w:rPr>
        <w:t>资金拨付：</w:t>
      </w:r>
      <w:r>
        <w:rPr>
          <w:rFonts w:hint="default" w:ascii="Times New Roman" w:hAnsi="Times New Roman" w:eastAsia="仿宋_GB2312" w:cs="Times New Roman"/>
          <w:snapToGrid/>
          <w:spacing w:val="0"/>
          <w:kern w:val="2"/>
          <w:sz w:val="32"/>
          <w:szCs w:val="32"/>
          <w:lang w:val="en-US" w:eastAsia="zh-CN" w:bidi="ar-SA"/>
        </w:rPr>
        <w:t>哈密市伊州区财政局（以下简称“区财政局”）根据资金文件及区住建局提供的资金申请，及时将项目指标下达至目标单位。在项目预算指标下达后，由区住建局按照规定使用开展“市政、园林、环卫一体化”第三方服务采购工作，切实规范专项资金管理，确保资金专款专用，按计划实现项目预期目标，发挥资金使用效益</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4.资金投入和使用情况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该项目预算资金总额为26980.13万元，区本级财政资金26980.13万元。截至2025年12月31日，区本级财政资金已到位26980.13万元，资金到位率100%。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“市政、园林、环卫一体化”第三方服务采购项目26980.13万元，截至2025年12月31日，实际支出25930.18万元，预算执行率为96.11%。资金具体情况见下表1-1</w:t>
      </w:r>
      <w:r>
        <w:rPr>
          <w:rFonts w:hint="default" w:ascii="Times New Roman" w:hAnsi="Times New Roman" w:eastAsia="仿宋" w:cs="Times New Roman"/>
          <w:spacing w:val="0"/>
          <w:sz w:val="31"/>
          <w:szCs w:val="31"/>
        </w:rPr>
        <w:t>。</w:t>
      </w:r>
    </w:p>
    <w:p>
      <w:pPr>
        <w:spacing w:before="1" w:line="221" w:lineRule="auto"/>
        <w:jc w:val="center"/>
        <w:rPr>
          <w:rFonts w:hint="default" w:ascii="Times New Roman" w:hAnsi="Times New Roman" w:eastAsia="仿宋" w:cs="Times New Roman"/>
          <w:sz w:val="28"/>
          <w:szCs w:val="28"/>
        </w:rPr>
      </w:pPr>
      <w:r>
        <w:rPr>
          <w:rFonts w:hint="default" w:ascii="Times New Roman" w:hAnsi="Times New Roman" w:eastAsia="仿宋" w:cs="Times New Roman"/>
          <w:b/>
          <w:bCs/>
          <w:spacing w:val="-11"/>
          <w:sz w:val="28"/>
          <w:szCs w:val="28"/>
        </w:rPr>
        <w:t>表</w:t>
      </w:r>
      <w:r>
        <w:rPr>
          <w:rFonts w:hint="default" w:ascii="Times New Roman" w:hAnsi="Times New Roman" w:eastAsia="Times New Roman" w:cs="Times New Roman"/>
          <w:spacing w:val="-11"/>
          <w:sz w:val="28"/>
          <w:szCs w:val="28"/>
        </w:rPr>
        <w:t>1-1</w:t>
      </w:r>
      <w:r>
        <w:rPr>
          <w:rFonts w:hint="default" w:ascii="Times New Roman" w:hAnsi="Times New Roman" w:eastAsia="仿宋" w:cs="Times New Roman"/>
          <w:b/>
          <w:bCs/>
          <w:spacing w:val="-11"/>
          <w:sz w:val="28"/>
          <w:szCs w:val="28"/>
        </w:rPr>
        <w:t>资金预算执行率情况表</w:t>
      </w:r>
    </w:p>
    <w:p>
      <w:pPr>
        <w:spacing w:before="167" w:line="228" w:lineRule="auto"/>
        <w:ind w:left="7283"/>
        <w:rPr>
          <w:rFonts w:hint="default" w:ascii="Times New Roman" w:hAnsi="Times New Roman" w:eastAsia="宋体" w:cs="Times New Roman"/>
          <w:sz w:val="20"/>
          <w:szCs w:val="20"/>
        </w:rPr>
      </w:pPr>
      <w:r>
        <w:rPr>
          <w:rFonts w:hint="default" w:ascii="Times New Roman" w:hAnsi="Times New Roman" w:eastAsia="宋体" w:cs="Times New Roman"/>
          <w:spacing w:val="7"/>
          <w:sz w:val="20"/>
          <w:szCs w:val="20"/>
        </w:rPr>
        <w:t>单位：万元</w:t>
      </w:r>
    </w:p>
    <w:tbl>
      <w:tblPr>
        <w:tblStyle w:val="8"/>
        <w:tblpPr w:leftFromText="180" w:rightFromText="180" w:vertAnchor="text" w:horzAnchor="page" w:tblpX="2088" w:tblpY="13"/>
        <w:tblOverlap w:val="never"/>
        <w:tblW w:w="830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8"/>
        <w:gridCol w:w="1312"/>
        <w:gridCol w:w="1312"/>
        <w:gridCol w:w="1534"/>
        <w:gridCol w:w="1312"/>
        <w:gridCol w:w="154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1" w:hRule="atLeast"/>
        </w:trPr>
        <w:tc>
          <w:tcPr>
            <w:tcW w:w="1288" w:type="dxa"/>
            <w:vAlign w:val="top"/>
          </w:tcPr>
          <w:p>
            <w:pPr>
              <w:spacing w:before="51" w:line="223" w:lineRule="auto"/>
              <w:ind w:left="225"/>
              <w:rPr>
                <w:rFonts w:hint="default" w:ascii="Times New Roman" w:hAnsi="Times New Roman" w:eastAsia="仿宋" w:cs="Times New Roman"/>
                <w:sz w:val="22"/>
                <w:szCs w:val="22"/>
              </w:rPr>
            </w:pPr>
            <w:r>
              <w:rPr>
                <w:rFonts w:hint="default" w:ascii="Times New Roman" w:hAnsi="Times New Roman" w:eastAsia="仿宋" w:cs="Times New Roman"/>
                <w:b/>
                <w:bCs/>
                <w:spacing w:val="-8"/>
                <w:sz w:val="22"/>
                <w:szCs w:val="22"/>
              </w:rPr>
              <w:t>资金计划</w:t>
            </w:r>
          </w:p>
          <w:p>
            <w:pPr>
              <w:spacing w:before="45" w:line="217" w:lineRule="auto"/>
              <w:ind w:left="218"/>
              <w:rPr>
                <w:rFonts w:hint="default" w:ascii="Times New Roman" w:hAnsi="Times New Roman" w:eastAsia="仿宋" w:cs="Times New Roman"/>
                <w:sz w:val="22"/>
                <w:szCs w:val="22"/>
              </w:rPr>
            </w:pPr>
            <w:r>
              <w:rPr>
                <w:rFonts w:hint="default" w:ascii="Times New Roman" w:hAnsi="Times New Roman" w:eastAsia="仿宋" w:cs="Times New Roman"/>
                <w:b/>
                <w:bCs/>
                <w:spacing w:val="-7"/>
                <w:sz w:val="22"/>
                <w:szCs w:val="22"/>
              </w:rPr>
              <w:t>下达时间</w:t>
            </w:r>
          </w:p>
        </w:tc>
        <w:tc>
          <w:tcPr>
            <w:tcW w:w="1312" w:type="dxa"/>
            <w:vAlign w:val="top"/>
          </w:tcPr>
          <w:p>
            <w:pPr>
              <w:spacing w:before="51" w:line="223" w:lineRule="auto"/>
              <w:ind w:left="235"/>
              <w:rPr>
                <w:rFonts w:hint="default" w:ascii="Times New Roman" w:hAnsi="Times New Roman" w:eastAsia="仿宋" w:cs="Times New Roman"/>
                <w:sz w:val="22"/>
                <w:szCs w:val="22"/>
              </w:rPr>
            </w:pPr>
            <w:r>
              <w:rPr>
                <w:rFonts w:hint="default" w:ascii="Times New Roman" w:hAnsi="Times New Roman" w:eastAsia="仿宋" w:cs="Times New Roman"/>
                <w:b/>
                <w:bCs/>
                <w:spacing w:val="-8"/>
                <w:sz w:val="22"/>
                <w:szCs w:val="22"/>
              </w:rPr>
              <w:t>资金计划</w:t>
            </w:r>
          </w:p>
          <w:p>
            <w:pPr>
              <w:spacing w:before="45" w:line="217" w:lineRule="auto"/>
              <w:ind w:left="228"/>
              <w:rPr>
                <w:rFonts w:hint="default" w:ascii="Times New Roman" w:hAnsi="Times New Roman" w:eastAsia="仿宋" w:cs="Times New Roman"/>
                <w:sz w:val="22"/>
                <w:szCs w:val="22"/>
              </w:rPr>
            </w:pPr>
            <w:r>
              <w:rPr>
                <w:rFonts w:hint="default" w:ascii="Times New Roman" w:hAnsi="Times New Roman" w:eastAsia="仿宋" w:cs="Times New Roman"/>
                <w:b/>
                <w:bCs/>
                <w:spacing w:val="-7"/>
                <w:sz w:val="22"/>
                <w:szCs w:val="22"/>
              </w:rPr>
              <w:t>下达金额</w:t>
            </w:r>
          </w:p>
        </w:tc>
        <w:tc>
          <w:tcPr>
            <w:tcW w:w="1312" w:type="dxa"/>
            <w:vAlign w:val="top"/>
          </w:tcPr>
          <w:p>
            <w:pPr>
              <w:spacing w:before="51" w:line="239" w:lineRule="auto"/>
              <w:ind w:left="456" w:right="213" w:hanging="227"/>
              <w:rPr>
                <w:rFonts w:hint="default" w:ascii="Times New Roman" w:hAnsi="Times New Roman" w:eastAsia="仿宋" w:cs="Times New Roman"/>
                <w:sz w:val="22"/>
                <w:szCs w:val="22"/>
              </w:rPr>
            </w:pPr>
            <w:r>
              <w:rPr>
                <w:rFonts w:hint="default" w:ascii="Times New Roman" w:hAnsi="Times New Roman" w:eastAsia="仿宋" w:cs="Times New Roman"/>
                <w:b/>
                <w:bCs/>
                <w:spacing w:val="-7"/>
                <w:sz w:val="22"/>
                <w:szCs w:val="22"/>
              </w:rPr>
              <w:t>实际到位</w:t>
            </w:r>
            <w:r>
              <w:rPr>
                <w:rFonts w:hint="default" w:ascii="Times New Roman" w:hAnsi="Times New Roman" w:eastAsia="仿宋" w:cs="Times New Roman"/>
                <w:b/>
                <w:bCs/>
                <w:spacing w:val="-15"/>
                <w:sz w:val="22"/>
                <w:szCs w:val="22"/>
              </w:rPr>
              <w:t>资金</w:t>
            </w:r>
          </w:p>
        </w:tc>
        <w:tc>
          <w:tcPr>
            <w:tcW w:w="1534" w:type="dxa"/>
            <w:vAlign w:val="top"/>
          </w:tcPr>
          <w:p>
            <w:pPr>
              <w:spacing w:before="207" w:line="222" w:lineRule="auto"/>
              <w:ind w:left="239"/>
              <w:rPr>
                <w:rFonts w:hint="default" w:ascii="Times New Roman" w:hAnsi="Times New Roman" w:eastAsia="仿宋" w:cs="Times New Roman"/>
                <w:sz w:val="22"/>
                <w:szCs w:val="22"/>
              </w:rPr>
            </w:pPr>
            <w:r>
              <w:rPr>
                <w:rFonts w:hint="default" w:ascii="Times New Roman" w:hAnsi="Times New Roman" w:eastAsia="仿宋" w:cs="Times New Roman"/>
                <w:b/>
                <w:bCs/>
                <w:spacing w:val="-7"/>
                <w:sz w:val="22"/>
                <w:szCs w:val="22"/>
              </w:rPr>
              <w:t>资金到位率</w:t>
            </w:r>
          </w:p>
        </w:tc>
        <w:tc>
          <w:tcPr>
            <w:tcW w:w="1312" w:type="dxa"/>
            <w:vAlign w:val="top"/>
          </w:tcPr>
          <w:p>
            <w:pPr>
              <w:spacing w:before="51" w:line="239" w:lineRule="auto"/>
              <w:ind w:left="459" w:right="210" w:hanging="227"/>
              <w:rPr>
                <w:rFonts w:hint="default" w:ascii="Times New Roman" w:hAnsi="Times New Roman" w:eastAsia="仿宋" w:cs="Times New Roman"/>
                <w:sz w:val="22"/>
                <w:szCs w:val="22"/>
              </w:rPr>
            </w:pPr>
            <w:r>
              <w:rPr>
                <w:rFonts w:hint="default" w:ascii="Times New Roman" w:hAnsi="Times New Roman" w:eastAsia="仿宋" w:cs="Times New Roman"/>
                <w:b/>
                <w:bCs/>
                <w:spacing w:val="-7"/>
                <w:sz w:val="22"/>
                <w:szCs w:val="22"/>
              </w:rPr>
              <w:t>实际支付</w:t>
            </w:r>
            <w:r>
              <w:rPr>
                <w:rFonts w:hint="default" w:ascii="Times New Roman" w:hAnsi="Times New Roman" w:eastAsia="仿宋" w:cs="Times New Roman"/>
                <w:b/>
                <w:bCs/>
                <w:spacing w:val="-15"/>
                <w:sz w:val="22"/>
                <w:szCs w:val="22"/>
              </w:rPr>
              <w:t>资金</w:t>
            </w:r>
          </w:p>
        </w:tc>
        <w:tc>
          <w:tcPr>
            <w:tcW w:w="1548" w:type="dxa"/>
            <w:vAlign w:val="top"/>
          </w:tcPr>
          <w:p>
            <w:pPr>
              <w:spacing w:before="206" w:line="222" w:lineRule="auto"/>
              <w:ind w:left="235"/>
              <w:rPr>
                <w:rFonts w:hint="default" w:ascii="Times New Roman" w:hAnsi="Times New Roman" w:eastAsia="仿宋" w:cs="Times New Roman"/>
                <w:sz w:val="22"/>
                <w:szCs w:val="22"/>
              </w:rPr>
            </w:pPr>
            <w:r>
              <w:rPr>
                <w:rFonts w:hint="default" w:ascii="Times New Roman" w:hAnsi="Times New Roman" w:eastAsia="仿宋" w:cs="Times New Roman"/>
                <w:b/>
                <w:bCs/>
                <w:spacing w:val="-5"/>
                <w:sz w:val="22"/>
                <w:szCs w:val="22"/>
              </w:rPr>
              <w:t>预算执行率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8" w:hRule="atLeast"/>
        </w:trPr>
        <w:tc>
          <w:tcPr>
            <w:tcW w:w="1288" w:type="dxa"/>
            <w:vAlign w:val="top"/>
          </w:tcPr>
          <w:p>
            <w:pPr>
              <w:spacing w:before="118" w:line="220" w:lineRule="auto"/>
              <w:ind w:left="288"/>
              <w:rPr>
                <w:rFonts w:hint="default" w:ascii="Times New Roman" w:hAnsi="Times New Roman" w:eastAsia="宋体" w:cs="Times New Roman"/>
                <w:sz w:val="22"/>
                <w:szCs w:val="22"/>
              </w:rPr>
            </w:pPr>
            <w:r>
              <w:rPr>
                <w:rFonts w:hint="default" w:ascii="Times New Roman" w:hAnsi="Times New Roman" w:eastAsia="Times New Roman" w:cs="Times New Roman"/>
                <w:spacing w:val="-1"/>
                <w:sz w:val="22"/>
                <w:szCs w:val="22"/>
              </w:rPr>
              <w:t>2025</w:t>
            </w:r>
            <w:r>
              <w:rPr>
                <w:rFonts w:hint="default" w:ascii="Times New Roman" w:hAnsi="Times New Roman" w:eastAsia="宋体" w:cs="Times New Roman"/>
                <w:spacing w:val="-1"/>
                <w:sz w:val="22"/>
                <w:szCs w:val="22"/>
              </w:rPr>
              <w:t>年</w:t>
            </w:r>
          </w:p>
        </w:tc>
        <w:tc>
          <w:tcPr>
            <w:tcW w:w="1312" w:type="dxa"/>
            <w:vAlign w:val="top"/>
          </w:tcPr>
          <w:p>
            <w:pPr>
              <w:spacing w:before="153" w:line="189" w:lineRule="auto"/>
              <w:ind w:left="243"/>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
                <w:sz w:val="22"/>
                <w:szCs w:val="22"/>
              </w:rPr>
              <w:t>26980.13</w:t>
            </w:r>
          </w:p>
        </w:tc>
        <w:tc>
          <w:tcPr>
            <w:tcW w:w="1312" w:type="dxa"/>
            <w:vAlign w:val="top"/>
          </w:tcPr>
          <w:p>
            <w:pPr>
              <w:spacing w:before="153" w:line="189" w:lineRule="auto"/>
              <w:ind w:left="246"/>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
                <w:sz w:val="22"/>
                <w:szCs w:val="22"/>
              </w:rPr>
              <w:t>26980.13</w:t>
            </w:r>
          </w:p>
        </w:tc>
        <w:tc>
          <w:tcPr>
            <w:tcW w:w="1534" w:type="dxa"/>
            <w:vAlign w:val="top"/>
          </w:tcPr>
          <w:p>
            <w:pPr>
              <w:spacing w:before="153" w:line="189" w:lineRule="auto"/>
              <w:ind w:left="534"/>
              <w:rPr>
                <w:rFonts w:hint="default" w:ascii="Times New Roman" w:hAnsi="Times New Roman" w:eastAsia="Times New Roman" w:cs="Times New Roman"/>
                <w:sz w:val="22"/>
                <w:szCs w:val="22"/>
              </w:rPr>
            </w:pPr>
            <w:r>
              <w:rPr>
                <w:rFonts w:hint="default" w:ascii="Times New Roman" w:hAnsi="Times New Roman" w:eastAsia="Times New Roman" w:cs="Times New Roman"/>
                <w:spacing w:val="-7"/>
                <w:sz w:val="22"/>
                <w:szCs w:val="22"/>
              </w:rPr>
              <w:t>100%</w:t>
            </w:r>
          </w:p>
        </w:tc>
        <w:tc>
          <w:tcPr>
            <w:tcW w:w="1312" w:type="dxa"/>
            <w:vAlign w:val="top"/>
          </w:tcPr>
          <w:p>
            <w:pPr>
              <w:spacing w:before="153" w:line="189" w:lineRule="auto"/>
              <w:ind w:left="246"/>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
                <w:sz w:val="22"/>
                <w:szCs w:val="22"/>
              </w:rPr>
              <w:t>25930.18</w:t>
            </w:r>
          </w:p>
        </w:tc>
        <w:tc>
          <w:tcPr>
            <w:tcW w:w="1548" w:type="dxa"/>
            <w:vAlign w:val="top"/>
          </w:tcPr>
          <w:p>
            <w:pPr>
              <w:spacing w:before="153" w:line="189" w:lineRule="auto"/>
              <w:ind w:left="441"/>
              <w:rPr>
                <w:rFonts w:hint="default" w:ascii="Times New Roman" w:hAnsi="Times New Roman" w:eastAsia="Times New Roman" w:cs="Times New Roman"/>
                <w:sz w:val="22"/>
                <w:szCs w:val="22"/>
              </w:rPr>
            </w:pPr>
            <w:r>
              <w:rPr>
                <w:rFonts w:hint="default" w:ascii="Times New Roman" w:hAnsi="Times New Roman" w:eastAsia="Times New Roman" w:cs="Times New Roman"/>
                <w:spacing w:val="-6"/>
                <w:sz w:val="22"/>
                <w:szCs w:val="22"/>
              </w:rPr>
              <w:t>96.11%</w:t>
            </w:r>
          </w:p>
        </w:tc>
      </w:tr>
    </w:tbl>
    <w:p>
      <w:pPr>
        <w:spacing w:line="142" w:lineRule="auto"/>
        <w:rPr>
          <w:rFonts w:hint="default" w:ascii="Times New Roman" w:hAnsi="Times New Roman" w:cs="Times New Roman"/>
          <w:sz w:val="2"/>
        </w:rPr>
      </w:pPr>
    </w:p>
    <w:p>
      <w:pPr>
        <w:rPr>
          <w:rFonts w:hint="default" w:ascii="Times New Roman" w:hAnsi="Times New Roman" w:cs="Times New Roman"/>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textAlignment w:val="baseline"/>
        <w:outlineLvl w:val="1"/>
        <w:rPr>
          <w:rFonts w:hint="default" w:ascii="Times New Roman" w:hAnsi="Times New Roman" w:eastAsia="楷体" w:cs="Times New Roman"/>
          <w:spacing w:val="0"/>
          <w:sz w:val="32"/>
          <w:szCs w:val="32"/>
        </w:rPr>
      </w:pPr>
      <w:bookmarkStart w:id="3" w:name="bookmark3"/>
      <w:bookmarkEnd w:id="3"/>
      <w:r>
        <w:rPr>
          <w:rFonts w:hint="default" w:ascii="Times New Roman" w:hAnsi="Times New Roman" w:eastAsia="楷体" w:cs="Times New Roman"/>
          <w:b/>
          <w:bCs/>
          <w:spacing w:val="0"/>
          <w:sz w:val="32"/>
          <w:szCs w:val="32"/>
          <w:lang w:eastAsia="zh-CN"/>
        </w:rPr>
        <w:t>（</w:t>
      </w:r>
      <w:r>
        <w:rPr>
          <w:rFonts w:hint="default" w:ascii="Times New Roman" w:hAnsi="Times New Roman" w:eastAsia="楷体" w:cs="Times New Roman"/>
          <w:b/>
          <w:bCs/>
          <w:spacing w:val="0"/>
          <w:sz w:val="32"/>
          <w:szCs w:val="32"/>
          <w:lang w:val="en-US" w:eastAsia="zh-CN"/>
        </w:rPr>
        <w:t>二</w:t>
      </w:r>
      <w:r>
        <w:rPr>
          <w:rFonts w:hint="default" w:ascii="Times New Roman" w:hAnsi="Times New Roman" w:eastAsia="楷体" w:cs="Times New Roman"/>
          <w:b/>
          <w:bCs/>
          <w:spacing w:val="0"/>
          <w:sz w:val="32"/>
          <w:szCs w:val="32"/>
        </w:rPr>
        <w:t>）项目绩效目标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textAlignment w:val="baseline"/>
        <w:rPr>
          <w:rFonts w:hint="default" w:ascii="Times New Roman" w:hAnsi="Times New Roman" w:eastAsia="仿宋" w:cs="Times New Roman"/>
          <w:b/>
          <w:bCs/>
          <w:spacing w:val="0"/>
          <w:sz w:val="31"/>
          <w:szCs w:val="31"/>
        </w:rPr>
      </w:pPr>
      <w:r>
        <w:rPr>
          <w:rFonts w:hint="default" w:ascii="Times New Roman" w:hAnsi="Times New Roman" w:eastAsia="仿宋_GB2312" w:cs="Times New Roman"/>
          <w:b/>
          <w:bCs/>
          <w:snapToGrid/>
          <w:spacing w:val="0"/>
          <w:kern w:val="2"/>
          <w:sz w:val="32"/>
          <w:szCs w:val="32"/>
          <w:lang w:val="en-US" w:eastAsia="zh-CN" w:bidi="ar-SA"/>
        </w:rPr>
        <w:t>1.总目标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市政、园林、环卫一体化”第三方服务采购项目计划通过借助第三方专业服务企业的技术，确保道路干净整洁，保持园林景观美观，植物生长健康，提升环境质量，提升城市的整体形象和品质，促进文明城市创建，提升居民生活质量，增加居民日常休闲娱乐场所</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3" w:firstLineChars="200"/>
        <w:textAlignment w:val="baseline"/>
        <w:rPr>
          <w:rFonts w:hint="default" w:ascii="Times New Roman" w:hAnsi="Times New Roman" w:eastAsia="仿宋_GB2312" w:cs="Times New Roman"/>
          <w:b/>
          <w:bCs/>
          <w:snapToGrid/>
          <w:spacing w:val="0"/>
          <w:kern w:val="2"/>
          <w:sz w:val="32"/>
          <w:szCs w:val="32"/>
          <w:lang w:val="en-US" w:eastAsia="zh-CN" w:bidi="ar-SA"/>
        </w:rPr>
      </w:pPr>
      <w:r>
        <w:rPr>
          <w:rFonts w:hint="default" w:ascii="Times New Roman" w:hAnsi="Times New Roman" w:eastAsia="仿宋_GB2312" w:cs="Times New Roman"/>
          <w:b/>
          <w:bCs/>
          <w:snapToGrid/>
          <w:spacing w:val="0"/>
          <w:kern w:val="2"/>
          <w:sz w:val="32"/>
          <w:szCs w:val="32"/>
          <w:lang w:val="en-US" w:eastAsia="zh-CN" w:bidi="ar-SA"/>
        </w:rPr>
        <w:t>2</w:t>
      </w:r>
      <w:r>
        <w:rPr>
          <w:rFonts w:hint="default" w:ascii="Times New Roman" w:hAnsi="Times New Roman" w:eastAsia="Times New Roman" w:cs="Times New Roman"/>
          <w:b/>
          <w:bCs/>
          <w:spacing w:val="0"/>
          <w:sz w:val="31"/>
          <w:szCs w:val="31"/>
        </w:rPr>
        <w:t>.</w:t>
      </w:r>
      <w:r>
        <w:rPr>
          <w:rFonts w:hint="default" w:ascii="Times New Roman" w:hAnsi="Times New Roman" w:eastAsia="仿宋_GB2312" w:cs="Times New Roman"/>
          <w:b/>
          <w:bCs/>
          <w:snapToGrid/>
          <w:spacing w:val="0"/>
          <w:kern w:val="2"/>
          <w:sz w:val="32"/>
          <w:szCs w:val="32"/>
          <w:lang w:val="en-US" w:eastAsia="zh-CN" w:bidi="ar-SA"/>
        </w:rPr>
        <w:t>年度绩效目标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根据《“市政、园林、环卫一体化”第三方服务采购项</w:t>
      </w:r>
      <w:bookmarkStart w:id="4" w:name="bookmark4"/>
      <w:bookmarkEnd w:id="4"/>
      <w:r>
        <w:rPr>
          <w:rFonts w:hint="default" w:ascii="Times New Roman" w:hAnsi="Times New Roman" w:eastAsia="仿宋_GB2312" w:cs="Times New Roman"/>
          <w:snapToGrid/>
          <w:spacing w:val="0"/>
          <w:kern w:val="2"/>
          <w:sz w:val="32"/>
          <w:szCs w:val="32"/>
          <w:lang w:val="en-US" w:eastAsia="zh-CN" w:bidi="ar-SA"/>
        </w:rPr>
        <w:t>目》，本项目2025年度绩效目标见表1-2</w:t>
      </w:r>
      <w:r>
        <w:rPr>
          <w:rFonts w:hint="default" w:ascii="Times New Roman" w:hAnsi="Times New Roman" w:eastAsia="仿宋" w:cs="Times New Roman"/>
          <w:spacing w:val="0"/>
          <w:sz w:val="31"/>
          <w:szCs w:val="31"/>
        </w:rPr>
        <w:t>。</w:t>
      </w:r>
    </w:p>
    <w:p>
      <w:pPr>
        <w:spacing w:before="2" w:line="222" w:lineRule="auto"/>
        <w:ind w:left="4677" w:leftChars="291" w:hanging="4066" w:hangingChars="1500"/>
        <w:rPr>
          <w:rFonts w:hint="default" w:ascii="Times New Roman" w:hAnsi="Times New Roman" w:eastAsia="仿宋" w:cs="Times New Roman"/>
          <w:sz w:val="28"/>
          <w:szCs w:val="28"/>
        </w:rPr>
      </w:pPr>
      <w:r>
        <w:rPr>
          <w:rFonts w:hint="default" w:ascii="Times New Roman" w:hAnsi="Times New Roman" w:eastAsia="仿宋" w:cs="Times New Roman"/>
          <w:b/>
          <w:bCs/>
          <w:spacing w:val="-5"/>
          <w:sz w:val="28"/>
          <w:szCs w:val="28"/>
        </w:rPr>
        <w:t>表</w:t>
      </w:r>
      <w:r>
        <w:rPr>
          <w:rFonts w:hint="default" w:ascii="Times New Roman" w:hAnsi="Times New Roman" w:eastAsia="Times New Roman" w:cs="Times New Roman"/>
          <w:spacing w:val="-5"/>
          <w:sz w:val="28"/>
          <w:szCs w:val="28"/>
        </w:rPr>
        <w:t>1-2</w:t>
      </w:r>
      <w:r>
        <w:rPr>
          <w:rFonts w:hint="default" w:ascii="Times New Roman" w:hAnsi="Times New Roman" w:eastAsia="仿宋" w:cs="Times New Roman"/>
          <w:b/>
          <w:bCs/>
          <w:spacing w:val="-5"/>
          <w:sz w:val="28"/>
          <w:szCs w:val="28"/>
        </w:rPr>
        <w:t>“市政、园林、环卫一体化”第三方服务采购项目绩效目标</w:t>
      </w:r>
      <w:r>
        <w:rPr>
          <w:rFonts w:hint="default" w:ascii="Times New Roman" w:hAnsi="Times New Roman" w:eastAsia="仿宋" w:cs="Times New Roman"/>
          <w:b/>
          <w:bCs/>
          <w:spacing w:val="-3"/>
          <w:sz w:val="28"/>
          <w:szCs w:val="28"/>
        </w:rPr>
        <w:t>表</w:t>
      </w:r>
    </w:p>
    <w:tbl>
      <w:tblPr>
        <w:tblStyle w:val="8"/>
        <w:tblpPr w:leftFromText="180" w:rightFromText="180" w:vertAnchor="text" w:horzAnchor="page" w:tblpX="1524" w:tblpY="104"/>
        <w:tblOverlap w:val="never"/>
        <w:tblW w:w="935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1"/>
        <w:gridCol w:w="1449"/>
        <w:gridCol w:w="1700"/>
        <w:gridCol w:w="863"/>
        <w:gridCol w:w="2537"/>
        <w:gridCol w:w="170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9" w:hRule="atLeast"/>
        </w:trPr>
        <w:tc>
          <w:tcPr>
            <w:tcW w:w="1101" w:type="dxa"/>
            <w:vAlign w:val="top"/>
          </w:tcPr>
          <w:p>
            <w:pPr>
              <w:spacing w:before="295" w:line="222" w:lineRule="auto"/>
              <w:ind w:left="123"/>
              <w:rPr>
                <w:rFonts w:hint="default" w:ascii="Times New Roman" w:hAnsi="Times New Roman" w:eastAsia="仿宋" w:cs="Times New Roman"/>
                <w:sz w:val="22"/>
                <w:szCs w:val="22"/>
              </w:rPr>
            </w:pPr>
            <w:r>
              <w:rPr>
                <w:rFonts w:hint="default" w:ascii="Times New Roman" w:hAnsi="Times New Roman" w:eastAsia="仿宋" w:cs="Times New Roman"/>
                <w:spacing w:val="-4"/>
                <w:sz w:val="22"/>
                <w:szCs w:val="22"/>
              </w:rPr>
              <w:t>项目名称</w:t>
            </w:r>
          </w:p>
        </w:tc>
        <w:tc>
          <w:tcPr>
            <w:tcW w:w="8254" w:type="dxa"/>
            <w:gridSpan w:val="5"/>
            <w:vAlign w:val="top"/>
          </w:tcPr>
          <w:p>
            <w:pPr>
              <w:spacing w:before="295" w:line="223" w:lineRule="auto"/>
              <w:ind w:left="1693"/>
              <w:rPr>
                <w:rFonts w:hint="default" w:ascii="Times New Roman" w:hAnsi="Times New Roman" w:eastAsia="仿宋" w:cs="Times New Roman"/>
                <w:sz w:val="22"/>
                <w:szCs w:val="22"/>
              </w:rPr>
            </w:pPr>
            <w:r>
              <w:rPr>
                <w:rFonts w:hint="default" w:ascii="Times New Roman" w:hAnsi="Times New Roman" w:eastAsia="仿宋" w:cs="Times New Roman"/>
                <w:sz w:val="22"/>
                <w:szCs w:val="22"/>
              </w:rPr>
              <w:t>“市政、园林、环卫一体化”第三方服务采购项目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63" w:hRule="atLeast"/>
        </w:trPr>
        <w:tc>
          <w:tcPr>
            <w:tcW w:w="1101" w:type="dxa"/>
            <w:vAlign w:val="top"/>
          </w:tcPr>
          <w:p>
            <w:pPr>
              <w:spacing w:before="291" w:line="222" w:lineRule="auto"/>
              <w:ind w:left="126"/>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实施单位</w:t>
            </w:r>
          </w:p>
        </w:tc>
        <w:tc>
          <w:tcPr>
            <w:tcW w:w="8254" w:type="dxa"/>
            <w:gridSpan w:val="5"/>
            <w:vAlign w:val="top"/>
          </w:tcPr>
          <w:p>
            <w:pPr>
              <w:spacing w:before="291" w:line="222" w:lineRule="auto"/>
              <w:ind w:left="2607"/>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哈密市伊州区住房和城乡建设局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4" w:hRule="atLeast"/>
        </w:trPr>
        <w:tc>
          <w:tcPr>
            <w:tcW w:w="1101" w:type="dxa"/>
            <w:vMerge w:val="restart"/>
            <w:tcBorders>
              <w:top w:val="single" w:color="auto" w:sz="4" w:space="0"/>
              <w:left w:val="single" w:color="auto" w:sz="4" w:space="0"/>
              <w:bottom w:val="single" w:color="auto" w:sz="4" w:space="0"/>
              <w:right w:val="single" w:color="auto" w:sz="4" w:space="0"/>
            </w:tcBorders>
            <w:vAlign w:val="top"/>
          </w:tcPr>
          <w:p>
            <w:pPr>
              <w:spacing w:before="292" w:line="225" w:lineRule="auto"/>
              <w:ind w:left="123"/>
              <w:rPr>
                <w:rFonts w:hint="default" w:ascii="Times New Roman" w:hAnsi="Times New Roman" w:eastAsia="仿宋" w:cs="Times New Roman"/>
                <w:sz w:val="22"/>
                <w:szCs w:val="22"/>
              </w:rPr>
            </w:pPr>
            <w:r>
              <w:rPr>
                <w:rFonts w:hint="default" w:ascii="Times New Roman" w:hAnsi="Times New Roman" w:eastAsia="仿宋" w:cs="Times New Roman"/>
                <w:spacing w:val="-4"/>
                <w:sz w:val="22"/>
                <w:szCs w:val="22"/>
              </w:rPr>
              <w:t>项目资金</w:t>
            </w:r>
          </w:p>
          <w:p>
            <w:pPr>
              <w:pStyle w:val="9"/>
              <w:spacing w:line="258" w:lineRule="auto"/>
              <w:rPr>
                <w:rFonts w:hint="default" w:ascii="Times New Roman" w:hAnsi="Times New Roman" w:cs="Times New Roman"/>
              </w:rPr>
            </w:pPr>
          </w:p>
          <w:p>
            <w:pPr>
              <w:spacing w:before="72" w:line="227" w:lineRule="auto"/>
              <w:ind w:left="122"/>
              <w:rPr>
                <w:rFonts w:hint="default" w:ascii="Times New Roman" w:hAnsi="Times New Roman" w:eastAsia="仿宋" w:cs="Times New Roman"/>
                <w:sz w:val="22"/>
                <w:szCs w:val="22"/>
              </w:rPr>
            </w:pPr>
            <w:r>
              <w:rPr>
                <w:rFonts w:hint="default" w:ascii="Times New Roman" w:hAnsi="Times New Roman" w:eastAsia="仿宋" w:cs="Times New Roman"/>
                <w:spacing w:val="-4"/>
                <w:sz w:val="22"/>
                <w:szCs w:val="22"/>
              </w:rPr>
              <w:t>（万元）</w:t>
            </w:r>
          </w:p>
        </w:tc>
        <w:tc>
          <w:tcPr>
            <w:tcW w:w="4012" w:type="dxa"/>
            <w:gridSpan w:val="3"/>
            <w:tcBorders>
              <w:top w:val="single" w:color="auto" w:sz="4" w:space="0"/>
              <w:left w:val="single" w:color="auto" w:sz="4" w:space="0"/>
              <w:bottom w:val="single" w:color="auto" w:sz="4" w:space="0"/>
              <w:right w:val="single" w:color="auto" w:sz="4" w:space="0"/>
            </w:tcBorders>
            <w:vAlign w:val="top"/>
          </w:tcPr>
          <w:p>
            <w:pPr>
              <w:spacing w:before="293" w:line="223" w:lineRule="auto"/>
              <w:ind w:left="1252"/>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年度资金总额：</w:t>
            </w:r>
          </w:p>
        </w:tc>
        <w:tc>
          <w:tcPr>
            <w:tcW w:w="4242" w:type="dxa"/>
            <w:gridSpan w:val="2"/>
            <w:tcBorders>
              <w:left w:val="single" w:color="auto" w:sz="4" w:space="0"/>
            </w:tcBorders>
            <w:vAlign w:val="top"/>
          </w:tcPr>
          <w:p>
            <w:pPr>
              <w:pStyle w:val="9"/>
              <w:spacing w:before="284" w:line="264" w:lineRule="exact"/>
              <w:ind w:left="1691"/>
              <w:rPr>
                <w:rFonts w:hint="default" w:ascii="Times New Roman" w:hAnsi="Times New Roman" w:cs="Times New Roman"/>
                <w:sz w:val="22"/>
                <w:szCs w:val="22"/>
              </w:rPr>
            </w:pPr>
            <w:r>
              <w:rPr>
                <w:rFonts w:hint="default" w:ascii="Times New Roman" w:hAnsi="Times New Roman" w:cs="Times New Roman"/>
                <w:spacing w:val="-10"/>
                <w:sz w:val="22"/>
                <w:szCs w:val="22"/>
              </w:rPr>
              <w:t>26980.13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4"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pStyle w:val="9"/>
              <w:rPr>
                <w:rFonts w:hint="default" w:ascii="Times New Roman" w:hAnsi="Times New Roman" w:cs="Times New Roman"/>
              </w:rPr>
            </w:pPr>
          </w:p>
        </w:tc>
        <w:tc>
          <w:tcPr>
            <w:tcW w:w="4012" w:type="dxa"/>
            <w:gridSpan w:val="3"/>
            <w:tcBorders>
              <w:top w:val="single" w:color="auto" w:sz="4" w:space="0"/>
              <w:left w:val="single" w:color="auto" w:sz="4" w:space="0"/>
              <w:bottom w:val="single" w:color="auto" w:sz="4" w:space="0"/>
              <w:right w:val="single" w:color="auto" w:sz="4" w:space="0"/>
            </w:tcBorders>
            <w:vAlign w:val="top"/>
          </w:tcPr>
          <w:p>
            <w:pPr>
              <w:spacing w:before="293" w:line="223" w:lineRule="auto"/>
              <w:ind w:left="1250"/>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其中：财政拨款</w:t>
            </w:r>
          </w:p>
        </w:tc>
        <w:tc>
          <w:tcPr>
            <w:tcW w:w="4242" w:type="dxa"/>
            <w:gridSpan w:val="2"/>
            <w:tcBorders>
              <w:left w:val="single" w:color="auto" w:sz="4" w:space="0"/>
            </w:tcBorders>
            <w:vAlign w:val="top"/>
          </w:tcPr>
          <w:p>
            <w:pPr>
              <w:pStyle w:val="9"/>
              <w:spacing w:before="284" w:line="264" w:lineRule="exact"/>
              <w:ind w:left="1691"/>
              <w:rPr>
                <w:rFonts w:hint="default" w:ascii="Times New Roman" w:hAnsi="Times New Roman" w:cs="Times New Roman"/>
                <w:sz w:val="22"/>
                <w:szCs w:val="22"/>
              </w:rPr>
            </w:pPr>
            <w:r>
              <w:rPr>
                <w:rFonts w:hint="default" w:ascii="Times New Roman" w:hAnsi="Times New Roman" w:cs="Times New Roman"/>
                <w:spacing w:val="-10"/>
                <w:sz w:val="22"/>
                <w:szCs w:val="22"/>
              </w:rPr>
              <w:t>26980.13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pStyle w:val="9"/>
              <w:rPr>
                <w:rFonts w:hint="default" w:ascii="Times New Roman" w:hAnsi="Times New Roman" w:cs="Times New Roman"/>
              </w:rPr>
            </w:pPr>
          </w:p>
        </w:tc>
        <w:tc>
          <w:tcPr>
            <w:tcW w:w="4012" w:type="dxa"/>
            <w:gridSpan w:val="3"/>
            <w:tcBorders>
              <w:top w:val="single" w:color="auto" w:sz="4" w:space="0"/>
              <w:left w:val="single" w:color="auto" w:sz="4" w:space="0"/>
              <w:bottom w:val="single" w:color="auto" w:sz="4" w:space="0"/>
              <w:right w:val="single" w:color="auto" w:sz="4" w:space="0"/>
            </w:tcBorders>
            <w:vAlign w:val="top"/>
          </w:tcPr>
          <w:p>
            <w:pPr>
              <w:spacing w:before="294" w:line="222" w:lineRule="auto"/>
              <w:ind w:left="1578"/>
              <w:rPr>
                <w:rFonts w:hint="default" w:ascii="Times New Roman" w:hAnsi="Times New Roman" w:eastAsia="仿宋" w:cs="Times New Roman"/>
                <w:sz w:val="22"/>
                <w:szCs w:val="22"/>
              </w:rPr>
            </w:pPr>
            <w:r>
              <w:rPr>
                <w:rFonts w:hint="default" w:ascii="Times New Roman" w:hAnsi="Times New Roman" w:eastAsia="仿宋" w:cs="Times New Roman"/>
                <w:spacing w:val="-4"/>
                <w:sz w:val="22"/>
                <w:szCs w:val="22"/>
              </w:rPr>
              <w:t>其他资金</w:t>
            </w:r>
          </w:p>
        </w:tc>
        <w:tc>
          <w:tcPr>
            <w:tcW w:w="4242" w:type="dxa"/>
            <w:gridSpan w:val="2"/>
            <w:tcBorders>
              <w:left w:val="single" w:color="auto" w:sz="4" w:space="0"/>
            </w:tcBorders>
            <w:vAlign w:val="top"/>
          </w:tcPr>
          <w:p>
            <w:pPr>
              <w:pStyle w:val="9"/>
              <w:spacing w:before="285" w:line="264" w:lineRule="exact"/>
              <w:ind w:left="2071"/>
              <w:rPr>
                <w:rFonts w:hint="default" w:ascii="Times New Roman" w:hAnsi="Times New Roman" w:cs="Times New Roman"/>
                <w:sz w:val="22"/>
                <w:szCs w:val="22"/>
              </w:rPr>
            </w:pPr>
            <w:r>
              <w:rPr>
                <w:rFonts w:hint="default" w:ascii="Times New Roman" w:hAnsi="Times New Roman" w:cs="Times New Roman"/>
                <w:sz w:val="22"/>
                <w:szCs w:val="22"/>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restart"/>
            <w:tcBorders>
              <w:bottom w:val="nil"/>
            </w:tcBorders>
            <w:vAlign w:val="top"/>
          </w:tcPr>
          <w:p>
            <w:pPr>
              <w:spacing w:before="296" w:line="223" w:lineRule="auto"/>
              <w:ind w:left="131"/>
              <w:rPr>
                <w:rFonts w:hint="default" w:ascii="Times New Roman" w:hAnsi="Times New Roman" w:eastAsia="仿宋" w:cs="Times New Roman"/>
                <w:sz w:val="22"/>
                <w:szCs w:val="22"/>
              </w:rPr>
            </w:pPr>
            <w:r>
              <w:rPr>
                <w:rFonts w:hint="default" w:ascii="Times New Roman" w:hAnsi="Times New Roman" w:eastAsia="仿宋" w:cs="Times New Roman"/>
                <w:spacing w:val="-6"/>
                <w:sz w:val="22"/>
                <w:szCs w:val="22"/>
              </w:rPr>
              <w:t>总体目标</w:t>
            </w:r>
          </w:p>
        </w:tc>
        <w:tc>
          <w:tcPr>
            <w:tcW w:w="8254" w:type="dxa"/>
            <w:gridSpan w:val="5"/>
            <w:vAlign w:val="top"/>
          </w:tcPr>
          <w:p>
            <w:pPr>
              <w:spacing w:before="296" w:line="223" w:lineRule="auto"/>
              <w:ind w:left="3482"/>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年度绩效目标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06" w:hRule="atLeast"/>
        </w:trPr>
        <w:tc>
          <w:tcPr>
            <w:tcW w:w="1101" w:type="dxa"/>
            <w:vMerge w:val="continue"/>
            <w:tcBorders>
              <w:top w:val="nil"/>
            </w:tcBorders>
            <w:vAlign w:val="top"/>
          </w:tcPr>
          <w:p>
            <w:pPr>
              <w:pStyle w:val="9"/>
              <w:rPr>
                <w:rFonts w:hint="default" w:ascii="Times New Roman" w:hAnsi="Times New Roman" w:cs="Times New Roman"/>
              </w:rPr>
            </w:pPr>
          </w:p>
        </w:tc>
        <w:tc>
          <w:tcPr>
            <w:tcW w:w="8254" w:type="dxa"/>
            <w:gridSpan w:val="5"/>
            <w:vAlign w:val="top"/>
          </w:tcPr>
          <w:p>
            <w:pPr>
              <w:spacing w:before="294" w:line="420" w:lineRule="auto"/>
              <w:ind w:left="130" w:right="105" w:hanging="8"/>
              <w:jc w:val="both"/>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通过借助第三方专业服务企业的技术，确保道路干净整洁，保持</w:t>
            </w:r>
            <w:r>
              <w:rPr>
                <w:rFonts w:hint="default" w:ascii="Times New Roman" w:hAnsi="Times New Roman" w:eastAsia="仿宋" w:cs="Times New Roman"/>
                <w:spacing w:val="-4"/>
                <w:sz w:val="22"/>
                <w:szCs w:val="22"/>
              </w:rPr>
              <w:t>园林景观美观，植物生长健康，提升环境质量，提升城市的整体形象和品质，促进文明城市创建，提升居</w:t>
            </w:r>
            <w:r>
              <w:rPr>
                <w:rFonts w:hint="default" w:ascii="Times New Roman" w:hAnsi="Times New Roman" w:eastAsia="仿宋" w:cs="Times New Roman"/>
                <w:spacing w:val="-2"/>
                <w:sz w:val="22"/>
                <w:szCs w:val="22"/>
              </w:rPr>
              <w:t>民生活质量，增加居民日常休闲娱乐场所。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9" w:hRule="atLeast"/>
        </w:trPr>
        <w:tc>
          <w:tcPr>
            <w:tcW w:w="1101" w:type="dxa"/>
            <w:tcBorders>
              <w:bottom w:val="single" w:color="auto" w:sz="4" w:space="0"/>
            </w:tcBorders>
            <w:vAlign w:val="top"/>
          </w:tcPr>
          <w:p>
            <w:pPr>
              <w:pStyle w:val="9"/>
              <w:rPr>
                <w:rFonts w:hint="default" w:ascii="Times New Roman" w:hAnsi="Times New Roman" w:cs="Times New Roman"/>
              </w:rPr>
            </w:pPr>
          </w:p>
        </w:tc>
        <w:tc>
          <w:tcPr>
            <w:tcW w:w="1449" w:type="dxa"/>
            <w:tcBorders>
              <w:bottom w:val="single" w:color="auto" w:sz="4" w:space="0"/>
            </w:tcBorders>
            <w:vAlign w:val="top"/>
          </w:tcPr>
          <w:p>
            <w:pPr>
              <w:spacing w:before="295" w:line="223" w:lineRule="auto"/>
              <w:ind w:left="299"/>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一级指标</w:t>
            </w:r>
          </w:p>
        </w:tc>
        <w:tc>
          <w:tcPr>
            <w:tcW w:w="1700" w:type="dxa"/>
            <w:vAlign w:val="top"/>
          </w:tcPr>
          <w:p>
            <w:pPr>
              <w:spacing w:before="295" w:line="223" w:lineRule="auto"/>
              <w:ind w:left="428"/>
              <w:rPr>
                <w:rFonts w:hint="default" w:ascii="Times New Roman" w:hAnsi="Times New Roman" w:eastAsia="仿宋" w:cs="Times New Roman"/>
                <w:sz w:val="22"/>
                <w:szCs w:val="22"/>
              </w:rPr>
            </w:pPr>
            <w:r>
              <w:rPr>
                <w:rFonts w:hint="default" w:ascii="Times New Roman" w:hAnsi="Times New Roman" w:eastAsia="仿宋" w:cs="Times New Roman"/>
                <w:spacing w:val="-6"/>
                <w:sz w:val="22"/>
                <w:szCs w:val="22"/>
              </w:rPr>
              <w:t>二级指标</w:t>
            </w:r>
          </w:p>
        </w:tc>
        <w:tc>
          <w:tcPr>
            <w:tcW w:w="3400" w:type="dxa"/>
            <w:gridSpan w:val="2"/>
            <w:vAlign w:val="top"/>
          </w:tcPr>
          <w:p>
            <w:pPr>
              <w:spacing w:before="295" w:line="223" w:lineRule="auto"/>
              <w:ind w:left="1278"/>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三级指标</w:t>
            </w:r>
          </w:p>
        </w:tc>
        <w:tc>
          <w:tcPr>
            <w:tcW w:w="1705" w:type="dxa"/>
            <w:vAlign w:val="top"/>
          </w:tcPr>
          <w:p>
            <w:pPr>
              <w:spacing w:before="295" w:line="223" w:lineRule="auto"/>
              <w:ind w:left="533"/>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指标值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92" w:hRule="atLeast"/>
        </w:trPr>
        <w:tc>
          <w:tcPr>
            <w:tcW w:w="1101" w:type="dxa"/>
            <w:vMerge w:val="restart"/>
            <w:tcBorders>
              <w:top w:val="single" w:color="auto" w:sz="4" w:space="0"/>
              <w:left w:val="single" w:color="auto" w:sz="4" w:space="0"/>
              <w:bottom w:val="single" w:color="auto" w:sz="4" w:space="0"/>
              <w:right w:val="single" w:color="auto" w:sz="4" w:space="0"/>
            </w:tcBorders>
            <w:vAlign w:val="top"/>
          </w:tcPr>
          <w:p>
            <w:pPr>
              <w:pStyle w:val="9"/>
              <w:spacing w:line="252" w:lineRule="auto"/>
              <w:rPr>
                <w:rFonts w:hint="default" w:ascii="Times New Roman" w:hAnsi="Times New Roman" w:cs="Times New Roman"/>
              </w:rPr>
            </w:pPr>
          </w:p>
          <w:p>
            <w:pPr>
              <w:pStyle w:val="9"/>
              <w:spacing w:line="252" w:lineRule="auto"/>
              <w:rPr>
                <w:rFonts w:hint="default" w:ascii="Times New Roman" w:hAnsi="Times New Roman" w:cs="Times New Roman"/>
              </w:rPr>
            </w:pPr>
          </w:p>
          <w:p>
            <w:pPr>
              <w:pStyle w:val="9"/>
              <w:spacing w:line="252" w:lineRule="auto"/>
              <w:rPr>
                <w:rFonts w:hint="default" w:ascii="Times New Roman" w:hAnsi="Times New Roman" w:cs="Times New Roman"/>
              </w:rPr>
            </w:pPr>
          </w:p>
          <w:p>
            <w:pPr>
              <w:pStyle w:val="9"/>
              <w:spacing w:line="252" w:lineRule="auto"/>
              <w:rPr>
                <w:rFonts w:hint="default" w:ascii="Times New Roman" w:hAnsi="Times New Roman" w:cs="Times New Roman"/>
              </w:rPr>
            </w:pPr>
          </w:p>
          <w:p>
            <w:pPr>
              <w:pStyle w:val="9"/>
              <w:spacing w:line="252" w:lineRule="auto"/>
              <w:rPr>
                <w:rFonts w:hint="default" w:ascii="Times New Roman" w:hAnsi="Times New Roman" w:cs="Times New Roman"/>
              </w:rPr>
            </w:pPr>
          </w:p>
          <w:p>
            <w:pPr>
              <w:pStyle w:val="9"/>
              <w:spacing w:line="252" w:lineRule="auto"/>
              <w:rPr>
                <w:rFonts w:hint="default" w:ascii="Times New Roman" w:hAnsi="Times New Roman" w:cs="Times New Roman"/>
              </w:rPr>
            </w:pPr>
          </w:p>
          <w:p>
            <w:pPr>
              <w:pStyle w:val="9"/>
              <w:spacing w:line="252" w:lineRule="auto"/>
              <w:rPr>
                <w:rFonts w:hint="default" w:ascii="Times New Roman" w:hAnsi="Times New Roman" w:cs="Times New Roman"/>
              </w:rPr>
            </w:pPr>
          </w:p>
          <w:p>
            <w:pPr>
              <w:pStyle w:val="9"/>
              <w:spacing w:line="252"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spacing w:before="71" w:line="223" w:lineRule="auto"/>
              <w:ind w:left="125"/>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绩效指标</w:t>
            </w:r>
          </w:p>
        </w:tc>
        <w:tc>
          <w:tcPr>
            <w:tcW w:w="1449" w:type="dxa"/>
            <w:vMerge w:val="restart"/>
            <w:tcBorders>
              <w:top w:val="single" w:color="auto" w:sz="4" w:space="0"/>
              <w:left w:val="single" w:color="auto" w:sz="4" w:space="0"/>
              <w:bottom w:val="single" w:color="auto" w:sz="4" w:space="0"/>
              <w:right w:val="single" w:color="auto" w:sz="4" w:space="0"/>
            </w:tcBorders>
            <w:vAlign w:val="top"/>
          </w:tcPr>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spacing w:before="71" w:line="223" w:lineRule="auto"/>
              <w:ind w:left="297"/>
              <w:rPr>
                <w:rFonts w:hint="default" w:ascii="Times New Roman" w:hAnsi="Times New Roman" w:eastAsia="仿宋" w:cs="Times New Roman"/>
                <w:sz w:val="22"/>
                <w:szCs w:val="22"/>
              </w:rPr>
            </w:pPr>
            <w:r>
              <w:rPr>
                <w:rFonts w:hint="default" w:ascii="Times New Roman" w:hAnsi="Times New Roman" w:eastAsia="仿宋" w:cs="Times New Roman"/>
                <w:spacing w:val="-4"/>
                <w:sz w:val="22"/>
                <w:szCs w:val="22"/>
              </w:rPr>
              <w:t>产出指标</w:t>
            </w:r>
          </w:p>
        </w:tc>
        <w:tc>
          <w:tcPr>
            <w:tcW w:w="1700" w:type="dxa"/>
            <w:vMerge w:val="restart"/>
            <w:tcBorders>
              <w:left w:val="single" w:color="auto" w:sz="4" w:space="0"/>
              <w:bottom w:val="nil"/>
            </w:tcBorders>
            <w:vAlign w:val="top"/>
          </w:tcPr>
          <w:p>
            <w:pPr>
              <w:pStyle w:val="9"/>
              <w:spacing w:line="279" w:lineRule="auto"/>
              <w:rPr>
                <w:rFonts w:hint="default" w:ascii="Times New Roman" w:hAnsi="Times New Roman" w:cs="Times New Roman"/>
              </w:rPr>
            </w:pPr>
          </w:p>
          <w:p>
            <w:pPr>
              <w:pStyle w:val="9"/>
              <w:spacing w:line="279" w:lineRule="auto"/>
              <w:rPr>
                <w:rFonts w:hint="default" w:ascii="Times New Roman" w:hAnsi="Times New Roman" w:cs="Times New Roman"/>
              </w:rPr>
            </w:pPr>
          </w:p>
          <w:p>
            <w:pPr>
              <w:pStyle w:val="9"/>
              <w:spacing w:line="279" w:lineRule="auto"/>
              <w:rPr>
                <w:rFonts w:hint="default" w:ascii="Times New Roman" w:hAnsi="Times New Roman" w:cs="Times New Roman"/>
              </w:rPr>
            </w:pPr>
          </w:p>
          <w:p>
            <w:pPr>
              <w:pStyle w:val="9"/>
              <w:spacing w:line="280" w:lineRule="auto"/>
              <w:rPr>
                <w:rFonts w:hint="default" w:ascii="Times New Roman" w:hAnsi="Times New Roman" w:cs="Times New Roman"/>
              </w:rPr>
            </w:pPr>
          </w:p>
          <w:p>
            <w:pPr>
              <w:spacing w:before="72" w:line="223" w:lineRule="auto"/>
              <w:ind w:left="420"/>
              <w:rPr>
                <w:rFonts w:hint="default" w:ascii="Times New Roman" w:hAnsi="Times New Roman" w:eastAsia="仿宋" w:cs="Times New Roman"/>
                <w:sz w:val="22"/>
                <w:szCs w:val="22"/>
              </w:rPr>
            </w:pPr>
            <w:r>
              <w:rPr>
                <w:rFonts w:hint="default" w:ascii="Times New Roman" w:hAnsi="Times New Roman" w:eastAsia="仿宋" w:cs="Times New Roman"/>
                <w:spacing w:val="-4"/>
                <w:sz w:val="22"/>
                <w:szCs w:val="22"/>
              </w:rPr>
              <w:t>数量指标</w:t>
            </w:r>
          </w:p>
        </w:tc>
        <w:tc>
          <w:tcPr>
            <w:tcW w:w="3400" w:type="dxa"/>
            <w:gridSpan w:val="2"/>
            <w:vAlign w:val="top"/>
          </w:tcPr>
          <w:p>
            <w:pPr>
              <w:pStyle w:val="9"/>
              <w:spacing w:line="258" w:lineRule="auto"/>
              <w:rPr>
                <w:rFonts w:hint="default" w:ascii="Times New Roman" w:hAnsi="Times New Roman" w:cs="Times New Roman"/>
              </w:rPr>
            </w:pPr>
          </w:p>
          <w:p>
            <w:pPr>
              <w:pStyle w:val="9"/>
              <w:spacing w:line="258" w:lineRule="auto"/>
              <w:rPr>
                <w:rFonts w:hint="default" w:ascii="Times New Roman" w:hAnsi="Times New Roman" w:cs="Times New Roman"/>
              </w:rPr>
            </w:pPr>
          </w:p>
          <w:p>
            <w:pPr>
              <w:spacing w:before="71" w:line="222" w:lineRule="auto"/>
              <w:ind w:left="508"/>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城区及国省道路保洁面积</w:t>
            </w:r>
          </w:p>
        </w:tc>
        <w:tc>
          <w:tcPr>
            <w:tcW w:w="1705" w:type="dxa"/>
            <w:vAlign w:val="top"/>
          </w:tcPr>
          <w:p>
            <w:pPr>
              <w:pStyle w:val="9"/>
              <w:spacing w:before="283" w:line="382" w:lineRule="auto"/>
              <w:ind w:left="648" w:right="160" w:hanging="477"/>
              <w:rPr>
                <w:rFonts w:hint="default" w:ascii="Times New Roman" w:hAnsi="Times New Roman" w:eastAsia="仿宋" w:cs="Times New Roman"/>
                <w:sz w:val="22"/>
                <w:szCs w:val="22"/>
              </w:rPr>
            </w:pPr>
            <w:r>
              <w:rPr>
                <w:rFonts w:hint="default" w:ascii="Times New Roman" w:hAnsi="Times New Roman" w:cs="Times New Roman"/>
                <w:spacing w:val="-15"/>
                <w:sz w:val="22"/>
                <w:szCs w:val="22"/>
              </w:rPr>
              <w:t>&gt;=12629004</w:t>
            </w:r>
            <w:r>
              <w:rPr>
                <w:rFonts w:hint="default" w:ascii="Times New Roman" w:hAnsi="Times New Roman" w:eastAsia="仿宋" w:cs="Times New Roman"/>
                <w:spacing w:val="-15"/>
                <w:sz w:val="22"/>
                <w:szCs w:val="22"/>
              </w:rPr>
              <w:t>平</w:t>
            </w:r>
            <w:r>
              <w:rPr>
                <w:rFonts w:hint="default" w:ascii="Times New Roman" w:hAnsi="Times New Roman" w:eastAsia="仿宋" w:cs="Times New Roman"/>
                <w:spacing w:val="-10"/>
                <w:sz w:val="22"/>
                <w:szCs w:val="22"/>
              </w:rPr>
              <w:t>方米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16"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pStyle w:val="9"/>
              <w:rPr>
                <w:rFonts w:hint="default" w:ascii="Times New Roman" w:hAnsi="Times New Roman" w:cs="Times New Roman"/>
              </w:rPr>
            </w:pPr>
          </w:p>
        </w:tc>
        <w:tc>
          <w:tcPr>
            <w:tcW w:w="1449" w:type="dxa"/>
            <w:vMerge w:val="continue"/>
            <w:tcBorders>
              <w:top w:val="single" w:color="auto" w:sz="4" w:space="0"/>
              <w:left w:val="single" w:color="auto" w:sz="4" w:space="0"/>
              <w:bottom w:val="single" w:color="auto" w:sz="4" w:space="0"/>
              <w:right w:val="single" w:color="auto" w:sz="4" w:space="0"/>
            </w:tcBorders>
            <w:vAlign w:val="top"/>
          </w:tcPr>
          <w:p>
            <w:pPr>
              <w:pStyle w:val="9"/>
              <w:rPr>
                <w:rFonts w:hint="default" w:ascii="Times New Roman" w:hAnsi="Times New Roman" w:cs="Times New Roman"/>
              </w:rPr>
            </w:pPr>
          </w:p>
        </w:tc>
        <w:tc>
          <w:tcPr>
            <w:tcW w:w="1700" w:type="dxa"/>
            <w:vMerge w:val="continue"/>
            <w:tcBorders>
              <w:top w:val="nil"/>
              <w:left w:val="single" w:color="auto" w:sz="4" w:space="0"/>
            </w:tcBorders>
            <w:vAlign w:val="top"/>
          </w:tcPr>
          <w:p>
            <w:pPr>
              <w:pStyle w:val="9"/>
              <w:rPr>
                <w:rFonts w:hint="default" w:ascii="Times New Roman" w:hAnsi="Times New Roman" w:cs="Times New Roman"/>
              </w:rPr>
            </w:pPr>
          </w:p>
        </w:tc>
        <w:tc>
          <w:tcPr>
            <w:tcW w:w="3400" w:type="dxa"/>
            <w:gridSpan w:val="2"/>
            <w:vAlign w:val="top"/>
          </w:tcPr>
          <w:p>
            <w:pPr>
              <w:spacing w:before="291" w:line="222" w:lineRule="auto"/>
              <w:ind w:left="177"/>
              <w:rPr>
                <w:rFonts w:hint="default" w:ascii="Times New Roman" w:hAnsi="Times New Roman" w:cs="Times New Roman"/>
              </w:rPr>
            </w:pPr>
            <w:r>
              <w:rPr>
                <w:rFonts w:hint="default" w:ascii="Times New Roman" w:hAnsi="Times New Roman" w:eastAsia="仿宋" w:cs="Times New Roman"/>
                <w:spacing w:val="-2"/>
                <w:sz w:val="22"/>
                <w:szCs w:val="22"/>
              </w:rPr>
              <w:t>城市公共区域内的湿地公园养护</w:t>
            </w:r>
          </w:p>
          <w:p>
            <w:pPr>
              <w:spacing w:before="72" w:line="224" w:lineRule="auto"/>
              <w:ind w:left="1497"/>
              <w:rPr>
                <w:rFonts w:hint="default" w:ascii="Times New Roman" w:hAnsi="Times New Roman" w:eastAsia="仿宋" w:cs="Times New Roman"/>
                <w:sz w:val="22"/>
                <w:szCs w:val="22"/>
              </w:rPr>
            </w:pPr>
            <w:r>
              <w:rPr>
                <w:rFonts w:hint="default" w:ascii="Times New Roman" w:hAnsi="Times New Roman" w:eastAsia="仿宋" w:cs="Times New Roman"/>
                <w:spacing w:val="-9"/>
                <w:sz w:val="22"/>
                <w:szCs w:val="22"/>
              </w:rPr>
              <w:t>面积</w:t>
            </w:r>
          </w:p>
        </w:tc>
        <w:tc>
          <w:tcPr>
            <w:tcW w:w="1705" w:type="dxa"/>
            <w:vAlign w:val="top"/>
          </w:tcPr>
          <w:p>
            <w:pPr>
              <w:pStyle w:val="9"/>
              <w:spacing w:before="283" w:line="382" w:lineRule="auto"/>
              <w:ind w:left="757" w:right="105" w:hanging="638"/>
              <w:rPr>
                <w:rFonts w:hint="default" w:ascii="Times New Roman" w:hAnsi="Times New Roman" w:eastAsia="仿宋" w:cs="Times New Roman"/>
                <w:sz w:val="22"/>
                <w:szCs w:val="22"/>
              </w:rPr>
            </w:pPr>
            <w:r>
              <w:rPr>
                <w:rFonts w:hint="default" w:ascii="Times New Roman" w:hAnsi="Times New Roman" w:cs="Times New Roman"/>
                <w:spacing w:val="-12"/>
                <w:sz w:val="22"/>
                <w:szCs w:val="22"/>
              </w:rPr>
              <w:t>&gt;=2557989</w:t>
            </w:r>
            <w:r>
              <w:rPr>
                <w:rFonts w:hint="default" w:ascii="Times New Roman" w:hAnsi="Times New Roman" w:eastAsia="仿宋" w:cs="Times New Roman"/>
                <w:spacing w:val="-12"/>
                <w:sz w:val="22"/>
                <w:szCs w:val="22"/>
              </w:rPr>
              <w:t>平方</w:t>
            </w:r>
            <w:r>
              <w:rPr>
                <w:rFonts w:hint="default" w:ascii="Times New Roman" w:hAnsi="Times New Roman" w:eastAsia="仿宋" w:cs="Times New Roman"/>
                <w:sz w:val="22"/>
                <w:szCs w:val="22"/>
              </w:rPr>
              <w:t>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pStyle w:val="9"/>
              <w:rPr>
                <w:rFonts w:hint="default" w:ascii="Times New Roman" w:hAnsi="Times New Roman" w:cs="Times New Roman"/>
              </w:rPr>
            </w:pPr>
          </w:p>
        </w:tc>
        <w:tc>
          <w:tcPr>
            <w:tcW w:w="1449" w:type="dxa"/>
            <w:vMerge w:val="continue"/>
            <w:tcBorders>
              <w:top w:val="single" w:color="auto" w:sz="4" w:space="0"/>
              <w:left w:val="single" w:color="auto" w:sz="4" w:space="0"/>
              <w:bottom w:val="single" w:color="auto" w:sz="4" w:space="0"/>
              <w:right w:val="single" w:color="auto" w:sz="4" w:space="0"/>
            </w:tcBorders>
            <w:vAlign w:val="top"/>
          </w:tcPr>
          <w:p>
            <w:pPr>
              <w:pStyle w:val="9"/>
              <w:rPr>
                <w:rFonts w:hint="default" w:ascii="Times New Roman" w:hAnsi="Times New Roman" w:cs="Times New Roman"/>
              </w:rPr>
            </w:pPr>
          </w:p>
        </w:tc>
        <w:tc>
          <w:tcPr>
            <w:tcW w:w="1700" w:type="dxa"/>
            <w:tcBorders>
              <w:left w:val="single" w:color="auto" w:sz="4" w:space="0"/>
            </w:tcBorders>
            <w:vAlign w:val="top"/>
          </w:tcPr>
          <w:p>
            <w:pPr>
              <w:spacing w:before="295" w:line="223" w:lineRule="auto"/>
              <w:ind w:left="426"/>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质量指标</w:t>
            </w:r>
          </w:p>
        </w:tc>
        <w:tc>
          <w:tcPr>
            <w:tcW w:w="3400" w:type="dxa"/>
            <w:gridSpan w:val="2"/>
            <w:vAlign w:val="top"/>
          </w:tcPr>
          <w:p>
            <w:pPr>
              <w:spacing w:before="295" w:line="223" w:lineRule="auto"/>
              <w:ind w:left="177"/>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城市道路及湿地公园任务完成率</w:t>
            </w:r>
          </w:p>
        </w:tc>
        <w:tc>
          <w:tcPr>
            <w:tcW w:w="1705" w:type="dxa"/>
            <w:vAlign w:val="top"/>
          </w:tcPr>
          <w:p>
            <w:pPr>
              <w:pStyle w:val="9"/>
              <w:spacing w:before="286" w:line="264" w:lineRule="exact"/>
              <w:ind w:left="581"/>
              <w:rPr>
                <w:rFonts w:hint="default" w:ascii="Times New Roman" w:hAnsi="Times New Roman" w:cs="Times New Roman"/>
                <w:sz w:val="22"/>
                <w:szCs w:val="22"/>
              </w:rPr>
            </w:pPr>
            <w:r>
              <w:rPr>
                <w:rFonts w:hint="default" w:ascii="Times New Roman" w:hAnsi="Times New Roman" w:cs="Times New Roman"/>
                <w:spacing w:val="-13"/>
                <w:sz w:val="22"/>
                <w:szCs w:val="22"/>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44"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pStyle w:val="9"/>
              <w:rPr>
                <w:rFonts w:hint="default" w:ascii="Times New Roman" w:hAnsi="Times New Roman" w:cs="Times New Roman"/>
              </w:rPr>
            </w:pPr>
          </w:p>
        </w:tc>
        <w:tc>
          <w:tcPr>
            <w:tcW w:w="1449" w:type="dxa"/>
            <w:vMerge w:val="continue"/>
            <w:tcBorders>
              <w:top w:val="single" w:color="auto" w:sz="4" w:space="0"/>
              <w:left w:val="single" w:color="auto" w:sz="4" w:space="0"/>
              <w:bottom w:val="single" w:color="auto" w:sz="4" w:space="0"/>
              <w:right w:val="single" w:color="auto" w:sz="4" w:space="0"/>
            </w:tcBorders>
            <w:vAlign w:val="top"/>
          </w:tcPr>
          <w:p>
            <w:pPr>
              <w:pStyle w:val="9"/>
              <w:rPr>
                <w:rFonts w:hint="default" w:ascii="Times New Roman" w:hAnsi="Times New Roman" w:cs="Times New Roman"/>
              </w:rPr>
            </w:pPr>
          </w:p>
        </w:tc>
        <w:tc>
          <w:tcPr>
            <w:tcW w:w="1700" w:type="dxa"/>
            <w:tcBorders>
              <w:left w:val="single" w:color="auto" w:sz="4" w:space="0"/>
            </w:tcBorders>
            <w:vAlign w:val="top"/>
          </w:tcPr>
          <w:p>
            <w:pPr>
              <w:pStyle w:val="9"/>
              <w:spacing w:line="260" w:lineRule="auto"/>
              <w:rPr>
                <w:rFonts w:hint="default" w:ascii="Times New Roman" w:hAnsi="Times New Roman" w:cs="Times New Roman"/>
              </w:rPr>
            </w:pPr>
          </w:p>
          <w:p>
            <w:pPr>
              <w:pStyle w:val="9"/>
              <w:spacing w:line="260" w:lineRule="auto"/>
              <w:rPr>
                <w:rFonts w:hint="default" w:ascii="Times New Roman" w:hAnsi="Times New Roman" w:cs="Times New Roman"/>
              </w:rPr>
            </w:pPr>
          </w:p>
          <w:p>
            <w:pPr>
              <w:spacing w:before="71" w:line="223" w:lineRule="auto"/>
              <w:ind w:left="436"/>
              <w:rPr>
                <w:rFonts w:hint="default" w:ascii="Times New Roman" w:hAnsi="Times New Roman" w:eastAsia="仿宋" w:cs="Times New Roman"/>
                <w:sz w:val="22"/>
                <w:szCs w:val="22"/>
              </w:rPr>
            </w:pPr>
            <w:r>
              <w:rPr>
                <w:rFonts w:hint="default" w:ascii="Times New Roman" w:hAnsi="Times New Roman" w:eastAsia="仿宋" w:cs="Times New Roman"/>
                <w:spacing w:val="-8"/>
                <w:sz w:val="22"/>
                <w:szCs w:val="22"/>
              </w:rPr>
              <w:t>时效指标</w:t>
            </w:r>
          </w:p>
        </w:tc>
        <w:tc>
          <w:tcPr>
            <w:tcW w:w="3400" w:type="dxa"/>
            <w:gridSpan w:val="2"/>
            <w:vAlign w:val="top"/>
          </w:tcPr>
          <w:p>
            <w:pPr>
              <w:spacing w:before="294" w:line="223" w:lineRule="auto"/>
              <w:ind w:left="177"/>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城市道路及湿地公园任务完成及</w:t>
            </w:r>
          </w:p>
          <w:p>
            <w:pPr>
              <w:spacing w:before="72" w:line="224" w:lineRule="auto"/>
              <w:ind w:left="1508"/>
              <w:rPr>
                <w:rFonts w:hint="default" w:ascii="Times New Roman" w:hAnsi="Times New Roman" w:eastAsia="仿宋" w:cs="Times New Roman"/>
                <w:sz w:val="22"/>
                <w:szCs w:val="22"/>
              </w:rPr>
            </w:pPr>
            <w:r>
              <w:rPr>
                <w:rFonts w:hint="default" w:ascii="Times New Roman" w:hAnsi="Times New Roman" w:eastAsia="仿宋" w:cs="Times New Roman"/>
                <w:spacing w:val="-15"/>
                <w:sz w:val="22"/>
                <w:szCs w:val="22"/>
              </w:rPr>
              <w:t>时率</w:t>
            </w:r>
          </w:p>
        </w:tc>
        <w:tc>
          <w:tcPr>
            <w:tcW w:w="1705" w:type="dxa"/>
            <w:vAlign w:val="top"/>
          </w:tcPr>
          <w:p>
            <w:pPr>
              <w:pStyle w:val="9"/>
              <w:spacing w:line="259" w:lineRule="auto"/>
              <w:rPr>
                <w:rFonts w:hint="default" w:ascii="Times New Roman" w:hAnsi="Times New Roman" w:cs="Times New Roman"/>
              </w:rPr>
            </w:pPr>
          </w:p>
          <w:p>
            <w:pPr>
              <w:pStyle w:val="9"/>
              <w:spacing w:line="260" w:lineRule="auto"/>
              <w:rPr>
                <w:rFonts w:hint="default" w:ascii="Times New Roman" w:hAnsi="Times New Roman" w:cs="Times New Roman"/>
              </w:rPr>
            </w:pPr>
          </w:p>
          <w:p>
            <w:pPr>
              <w:pStyle w:val="9"/>
              <w:spacing w:before="63" w:line="264" w:lineRule="exact"/>
              <w:ind w:left="581"/>
              <w:rPr>
                <w:rFonts w:hint="default" w:ascii="Times New Roman" w:hAnsi="Times New Roman" w:cs="Times New Roman"/>
                <w:sz w:val="22"/>
                <w:szCs w:val="22"/>
              </w:rPr>
            </w:pPr>
            <w:r>
              <w:rPr>
                <w:rFonts w:hint="default" w:ascii="Times New Roman" w:hAnsi="Times New Roman" w:cs="Times New Roman"/>
                <w:spacing w:val="-13"/>
                <w:sz w:val="22"/>
                <w:szCs w:val="22"/>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26"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pStyle w:val="9"/>
              <w:rPr>
                <w:rFonts w:hint="default" w:ascii="Times New Roman" w:hAnsi="Times New Roman" w:cs="Times New Roman"/>
              </w:rPr>
            </w:pPr>
          </w:p>
        </w:tc>
        <w:tc>
          <w:tcPr>
            <w:tcW w:w="1449" w:type="dxa"/>
            <w:tcBorders>
              <w:top w:val="single" w:color="auto" w:sz="4" w:space="0"/>
              <w:left w:val="single" w:color="auto" w:sz="4" w:space="0"/>
              <w:bottom w:val="single" w:color="auto" w:sz="4" w:space="0"/>
              <w:right w:val="single" w:color="auto" w:sz="4" w:space="0"/>
            </w:tcBorders>
            <w:vAlign w:val="top"/>
          </w:tcPr>
          <w:p>
            <w:pPr>
              <w:pStyle w:val="9"/>
              <w:spacing w:line="260" w:lineRule="auto"/>
              <w:rPr>
                <w:rFonts w:hint="default" w:ascii="Times New Roman" w:hAnsi="Times New Roman" w:cs="Times New Roman"/>
              </w:rPr>
            </w:pPr>
          </w:p>
          <w:p>
            <w:pPr>
              <w:pStyle w:val="9"/>
              <w:spacing w:line="260" w:lineRule="auto"/>
              <w:rPr>
                <w:rFonts w:hint="default" w:ascii="Times New Roman" w:hAnsi="Times New Roman" w:cs="Times New Roman"/>
              </w:rPr>
            </w:pPr>
          </w:p>
          <w:p>
            <w:pPr>
              <w:spacing w:before="72" w:line="223" w:lineRule="auto"/>
              <w:ind w:left="299"/>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成本指标</w:t>
            </w:r>
          </w:p>
        </w:tc>
        <w:tc>
          <w:tcPr>
            <w:tcW w:w="1700" w:type="dxa"/>
            <w:tcBorders>
              <w:left w:val="single" w:color="auto" w:sz="4" w:space="0"/>
            </w:tcBorders>
            <w:vAlign w:val="top"/>
          </w:tcPr>
          <w:p>
            <w:pPr>
              <w:pStyle w:val="9"/>
              <w:spacing w:line="260" w:lineRule="auto"/>
              <w:rPr>
                <w:rFonts w:hint="default" w:ascii="Times New Roman" w:hAnsi="Times New Roman" w:cs="Times New Roman"/>
              </w:rPr>
            </w:pPr>
          </w:p>
          <w:p>
            <w:pPr>
              <w:pStyle w:val="9"/>
              <w:spacing w:line="260" w:lineRule="auto"/>
              <w:rPr>
                <w:rFonts w:hint="default" w:ascii="Times New Roman" w:hAnsi="Times New Roman" w:cs="Times New Roman"/>
              </w:rPr>
            </w:pPr>
          </w:p>
          <w:p>
            <w:pPr>
              <w:spacing w:before="71" w:line="222" w:lineRule="auto"/>
              <w:ind w:left="200"/>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经济成本指标</w:t>
            </w:r>
          </w:p>
        </w:tc>
        <w:tc>
          <w:tcPr>
            <w:tcW w:w="3400" w:type="dxa"/>
            <w:gridSpan w:val="2"/>
            <w:vAlign w:val="top"/>
          </w:tcPr>
          <w:p>
            <w:pPr>
              <w:pStyle w:val="9"/>
              <w:spacing w:line="260" w:lineRule="auto"/>
              <w:rPr>
                <w:rFonts w:hint="default" w:ascii="Times New Roman" w:hAnsi="Times New Roman" w:cs="Times New Roman"/>
              </w:rPr>
            </w:pPr>
          </w:p>
          <w:p>
            <w:pPr>
              <w:pStyle w:val="9"/>
              <w:spacing w:line="260" w:lineRule="auto"/>
              <w:rPr>
                <w:rFonts w:hint="default" w:ascii="Times New Roman" w:hAnsi="Times New Roman" w:cs="Times New Roman"/>
              </w:rPr>
            </w:pPr>
          </w:p>
          <w:p>
            <w:pPr>
              <w:spacing w:before="72" w:line="223" w:lineRule="auto"/>
              <w:ind w:left="513"/>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第三方服务采购项目经费</w:t>
            </w:r>
          </w:p>
        </w:tc>
        <w:tc>
          <w:tcPr>
            <w:tcW w:w="1705" w:type="dxa"/>
            <w:vAlign w:val="top"/>
          </w:tcPr>
          <w:p>
            <w:pPr>
              <w:pStyle w:val="9"/>
              <w:spacing w:before="285" w:line="381" w:lineRule="auto"/>
              <w:ind w:left="757" w:right="160" w:hanging="590"/>
              <w:rPr>
                <w:rFonts w:hint="default" w:ascii="Times New Roman" w:hAnsi="Times New Roman" w:eastAsia="仿宋" w:cs="Times New Roman"/>
                <w:sz w:val="22"/>
                <w:szCs w:val="22"/>
              </w:rPr>
            </w:pPr>
            <w:r>
              <w:rPr>
                <w:rFonts w:hint="default" w:ascii="Times New Roman" w:hAnsi="Times New Roman" w:cs="Times New Roman"/>
                <w:spacing w:val="-13"/>
                <w:sz w:val="22"/>
                <w:szCs w:val="22"/>
              </w:rPr>
              <w:t>&lt;=26980.13</w:t>
            </w:r>
            <w:r>
              <w:rPr>
                <w:rFonts w:hint="default" w:ascii="Times New Roman" w:hAnsi="Times New Roman" w:eastAsia="仿宋" w:cs="Times New Roman"/>
                <w:spacing w:val="-13"/>
                <w:sz w:val="22"/>
                <w:szCs w:val="22"/>
              </w:rPr>
              <w:t>万</w:t>
            </w:r>
            <w:r>
              <w:rPr>
                <w:rFonts w:hint="default" w:ascii="Times New Roman" w:hAnsi="Times New Roman" w:eastAsia="仿宋" w:cs="Times New Roman"/>
                <w:sz w:val="22"/>
                <w:szCs w:val="22"/>
              </w:rPr>
              <w:t>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single" w:color="auto" w:sz="4" w:space="0"/>
              <w:left w:val="single" w:color="auto" w:sz="4" w:space="0"/>
              <w:bottom w:val="single" w:color="auto" w:sz="4" w:space="0"/>
            </w:tcBorders>
            <w:vAlign w:val="top"/>
          </w:tcPr>
          <w:p>
            <w:pPr>
              <w:pStyle w:val="9"/>
              <w:rPr>
                <w:rFonts w:hint="default" w:ascii="Times New Roman" w:hAnsi="Times New Roman" w:cs="Times New Roman"/>
              </w:rPr>
            </w:pPr>
          </w:p>
        </w:tc>
        <w:tc>
          <w:tcPr>
            <w:tcW w:w="1449" w:type="dxa"/>
            <w:vMerge w:val="restart"/>
            <w:tcBorders>
              <w:top w:val="single" w:color="auto" w:sz="4" w:space="0"/>
              <w:bottom w:val="single" w:color="auto" w:sz="4" w:space="0"/>
            </w:tcBorders>
            <w:vAlign w:val="top"/>
          </w:tcPr>
          <w:p>
            <w:pPr>
              <w:pStyle w:val="9"/>
              <w:spacing w:line="263" w:lineRule="auto"/>
              <w:rPr>
                <w:rFonts w:hint="default" w:ascii="Times New Roman" w:hAnsi="Times New Roman" w:cs="Times New Roman"/>
              </w:rPr>
            </w:pPr>
          </w:p>
          <w:p>
            <w:pPr>
              <w:pStyle w:val="9"/>
              <w:spacing w:line="263" w:lineRule="auto"/>
              <w:rPr>
                <w:rFonts w:hint="default" w:ascii="Times New Roman" w:hAnsi="Times New Roman" w:cs="Times New Roman"/>
              </w:rPr>
            </w:pPr>
          </w:p>
          <w:p>
            <w:pPr>
              <w:spacing w:before="71" w:line="223" w:lineRule="auto"/>
              <w:ind w:left="299"/>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效益指标</w:t>
            </w:r>
          </w:p>
        </w:tc>
        <w:tc>
          <w:tcPr>
            <w:tcW w:w="1700" w:type="dxa"/>
            <w:vAlign w:val="top"/>
          </w:tcPr>
          <w:p>
            <w:pPr>
              <w:spacing w:before="295" w:line="223" w:lineRule="auto"/>
              <w:ind w:left="200"/>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社会效益指标</w:t>
            </w:r>
          </w:p>
        </w:tc>
        <w:tc>
          <w:tcPr>
            <w:tcW w:w="3400" w:type="dxa"/>
            <w:gridSpan w:val="2"/>
            <w:vAlign w:val="top"/>
          </w:tcPr>
          <w:p>
            <w:pPr>
              <w:spacing w:before="295" w:line="223" w:lineRule="auto"/>
              <w:ind w:left="834"/>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提高居民生活质量</w:t>
            </w:r>
          </w:p>
        </w:tc>
        <w:tc>
          <w:tcPr>
            <w:tcW w:w="1705" w:type="dxa"/>
            <w:vAlign w:val="top"/>
          </w:tcPr>
          <w:p>
            <w:pPr>
              <w:spacing w:before="295" w:line="224" w:lineRule="auto"/>
              <w:ind w:left="645"/>
              <w:rPr>
                <w:rFonts w:hint="default" w:ascii="Times New Roman" w:hAnsi="Times New Roman" w:eastAsia="仿宋" w:cs="Times New Roman"/>
                <w:sz w:val="22"/>
                <w:szCs w:val="22"/>
              </w:rPr>
            </w:pPr>
            <w:r>
              <w:rPr>
                <w:rFonts w:hint="default" w:ascii="Times New Roman" w:hAnsi="Times New Roman" w:eastAsia="仿宋" w:cs="Times New Roman"/>
                <w:spacing w:val="-8"/>
                <w:sz w:val="22"/>
                <w:szCs w:val="22"/>
              </w:rPr>
              <w:t>提升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5" w:hRule="atLeast"/>
        </w:trPr>
        <w:tc>
          <w:tcPr>
            <w:tcW w:w="1101" w:type="dxa"/>
            <w:vMerge w:val="continue"/>
            <w:tcBorders>
              <w:top w:val="single" w:color="auto" w:sz="4" w:space="0"/>
              <w:left w:val="single" w:color="auto" w:sz="4" w:space="0"/>
              <w:bottom w:val="single" w:color="auto" w:sz="4" w:space="0"/>
            </w:tcBorders>
            <w:vAlign w:val="top"/>
          </w:tcPr>
          <w:p>
            <w:pPr>
              <w:pStyle w:val="9"/>
              <w:rPr>
                <w:rFonts w:hint="default" w:ascii="Times New Roman" w:hAnsi="Times New Roman" w:cs="Times New Roman"/>
              </w:rPr>
            </w:pPr>
          </w:p>
        </w:tc>
        <w:tc>
          <w:tcPr>
            <w:tcW w:w="1449" w:type="dxa"/>
            <w:vMerge w:val="continue"/>
            <w:tcBorders>
              <w:top w:val="single" w:color="auto" w:sz="4" w:space="0"/>
              <w:bottom w:val="single" w:color="auto" w:sz="4" w:space="0"/>
            </w:tcBorders>
            <w:vAlign w:val="top"/>
          </w:tcPr>
          <w:p>
            <w:pPr>
              <w:pStyle w:val="9"/>
              <w:rPr>
                <w:rFonts w:hint="default" w:ascii="Times New Roman" w:hAnsi="Times New Roman" w:cs="Times New Roman"/>
              </w:rPr>
            </w:pPr>
          </w:p>
        </w:tc>
        <w:tc>
          <w:tcPr>
            <w:tcW w:w="1700" w:type="dxa"/>
            <w:vAlign w:val="top"/>
          </w:tcPr>
          <w:p>
            <w:pPr>
              <w:spacing w:before="295" w:line="223" w:lineRule="auto"/>
              <w:ind w:left="213"/>
              <w:rPr>
                <w:rFonts w:hint="default" w:ascii="Times New Roman" w:hAnsi="Times New Roman" w:eastAsia="仿宋" w:cs="Times New Roman"/>
                <w:sz w:val="22"/>
                <w:szCs w:val="22"/>
              </w:rPr>
            </w:pPr>
            <w:r>
              <w:rPr>
                <w:rFonts w:hint="default" w:ascii="Times New Roman" w:hAnsi="Times New Roman" w:eastAsia="仿宋" w:cs="Times New Roman"/>
                <w:spacing w:val="-5"/>
                <w:sz w:val="22"/>
                <w:szCs w:val="22"/>
              </w:rPr>
              <w:t>生态效益指标</w:t>
            </w:r>
          </w:p>
        </w:tc>
        <w:tc>
          <w:tcPr>
            <w:tcW w:w="3400" w:type="dxa"/>
            <w:gridSpan w:val="2"/>
            <w:vAlign w:val="top"/>
          </w:tcPr>
          <w:p>
            <w:pPr>
              <w:spacing w:before="295" w:line="223" w:lineRule="auto"/>
              <w:ind w:left="834"/>
              <w:rPr>
                <w:rFonts w:hint="default" w:ascii="Times New Roman" w:hAnsi="Times New Roman" w:eastAsia="仿宋" w:cs="Times New Roman"/>
                <w:sz w:val="22"/>
                <w:szCs w:val="22"/>
              </w:rPr>
            </w:pPr>
            <w:r>
              <w:rPr>
                <w:rFonts w:hint="default" w:ascii="Times New Roman" w:hAnsi="Times New Roman" w:eastAsia="仿宋" w:cs="Times New Roman"/>
                <w:spacing w:val="-2"/>
                <w:sz w:val="22"/>
                <w:szCs w:val="22"/>
              </w:rPr>
              <w:t>提升城市绿化效果</w:t>
            </w:r>
          </w:p>
        </w:tc>
        <w:tc>
          <w:tcPr>
            <w:tcW w:w="1705" w:type="dxa"/>
            <w:vAlign w:val="top"/>
          </w:tcPr>
          <w:p>
            <w:pPr>
              <w:spacing w:before="295" w:line="224" w:lineRule="auto"/>
              <w:ind w:left="645"/>
              <w:rPr>
                <w:rFonts w:hint="default" w:ascii="Times New Roman" w:hAnsi="Times New Roman" w:eastAsia="仿宋" w:cs="Times New Roman"/>
                <w:sz w:val="22"/>
                <w:szCs w:val="22"/>
              </w:rPr>
            </w:pPr>
            <w:r>
              <w:rPr>
                <w:rFonts w:hint="default" w:ascii="Times New Roman" w:hAnsi="Times New Roman" w:eastAsia="仿宋" w:cs="Times New Roman"/>
                <w:spacing w:val="-8"/>
                <w:sz w:val="22"/>
                <w:szCs w:val="22"/>
              </w:rPr>
              <w:t>提升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9" w:hRule="atLeast"/>
        </w:trPr>
        <w:tc>
          <w:tcPr>
            <w:tcW w:w="1101" w:type="dxa"/>
            <w:vMerge w:val="continue"/>
            <w:tcBorders>
              <w:top w:val="single" w:color="auto" w:sz="4" w:space="0"/>
              <w:left w:val="single" w:color="auto" w:sz="4" w:space="0"/>
            </w:tcBorders>
            <w:vAlign w:val="top"/>
          </w:tcPr>
          <w:p>
            <w:pPr>
              <w:pStyle w:val="9"/>
              <w:rPr>
                <w:rFonts w:hint="default" w:ascii="Times New Roman" w:hAnsi="Times New Roman" w:cs="Times New Roman"/>
              </w:rPr>
            </w:pPr>
          </w:p>
        </w:tc>
        <w:tc>
          <w:tcPr>
            <w:tcW w:w="1449" w:type="dxa"/>
            <w:tcBorders>
              <w:top w:val="single" w:color="auto" w:sz="4" w:space="0"/>
            </w:tcBorders>
            <w:vAlign w:val="top"/>
          </w:tcPr>
          <w:p>
            <w:pPr>
              <w:spacing w:before="295" w:line="223" w:lineRule="auto"/>
              <w:ind w:left="186"/>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满意度指标</w:t>
            </w:r>
          </w:p>
        </w:tc>
        <w:tc>
          <w:tcPr>
            <w:tcW w:w="1700" w:type="dxa"/>
            <w:vAlign w:val="top"/>
          </w:tcPr>
          <w:p>
            <w:pPr>
              <w:spacing w:before="295" w:line="223" w:lineRule="auto"/>
              <w:ind w:left="311"/>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满意度指标</w:t>
            </w:r>
          </w:p>
        </w:tc>
        <w:tc>
          <w:tcPr>
            <w:tcW w:w="3400" w:type="dxa"/>
            <w:gridSpan w:val="2"/>
            <w:vAlign w:val="top"/>
          </w:tcPr>
          <w:p>
            <w:pPr>
              <w:spacing w:before="295" w:line="223" w:lineRule="auto"/>
              <w:ind w:left="1164"/>
              <w:rPr>
                <w:rFonts w:hint="default" w:ascii="Times New Roman" w:hAnsi="Times New Roman" w:eastAsia="仿宋" w:cs="Times New Roman"/>
                <w:sz w:val="22"/>
                <w:szCs w:val="22"/>
              </w:rPr>
            </w:pPr>
            <w:r>
              <w:rPr>
                <w:rFonts w:hint="default" w:ascii="Times New Roman" w:hAnsi="Times New Roman" w:eastAsia="仿宋" w:cs="Times New Roman"/>
                <w:spacing w:val="-3"/>
                <w:sz w:val="22"/>
                <w:szCs w:val="22"/>
              </w:rPr>
              <w:t>居民满意度</w:t>
            </w:r>
          </w:p>
        </w:tc>
        <w:tc>
          <w:tcPr>
            <w:tcW w:w="1705" w:type="dxa"/>
            <w:vAlign w:val="top"/>
          </w:tcPr>
          <w:p>
            <w:pPr>
              <w:pStyle w:val="9"/>
              <w:spacing w:before="286" w:line="264" w:lineRule="exact"/>
              <w:ind w:left="584"/>
              <w:rPr>
                <w:rFonts w:hint="default" w:ascii="Times New Roman" w:hAnsi="Times New Roman" w:cs="Times New Roman"/>
                <w:sz w:val="22"/>
                <w:szCs w:val="22"/>
              </w:rPr>
            </w:pPr>
            <w:r>
              <w:rPr>
                <w:rFonts w:hint="default" w:ascii="Times New Roman" w:hAnsi="Times New Roman" w:cs="Times New Roman"/>
                <w:spacing w:val="-15"/>
                <w:sz w:val="22"/>
                <w:szCs w:val="22"/>
              </w:rPr>
              <w:t>&gt;=95%</w:t>
            </w:r>
          </w:p>
        </w:tc>
      </w:tr>
    </w:tbl>
    <w:p>
      <w:pPr>
        <w:spacing w:line="110" w:lineRule="exact"/>
        <w:rPr>
          <w:rFonts w:hint="default" w:ascii="Times New Roman" w:hAnsi="Times New Roman" w:cs="Times New Roma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0"/>
        <w:rPr>
          <w:rFonts w:hint="default" w:ascii="Times New Roman" w:hAnsi="Times New Roman" w:eastAsia="黑体" w:cs="Times New Roman"/>
          <w:spacing w:val="0"/>
          <w:sz w:val="32"/>
          <w:szCs w:val="32"/>
        </w:rPr>
      </w:pPr>
      <w:r>
        <w:rPr>
          <w:rFonts w:hint="default" w:ascii="Times New Roman" w:hAnsi="Times New Roman" w:eastAsia="黑体" w:cs="Times New Roman"/>
          <w:spacing w:val="0"/>
          <w:sz w:val="32"/>
          <w:szCs w:val="32"/>
        </w:rPr>
        <w:t>二、绩效评价工作开展情况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default" w:ascii="Times New Roman" w:hAnsi="Times New Roman" w:eastAsia="楷体" w:cs="Times New Roman"/>
          <w:spacing w:val="0"/>
          <w:sz w:val="31"/>
          <w:szCs w:val="31"/>
        </w:rPr>
      </w:pPr>
      <w:bookmarkStart w:id="5" w:name="bookmark5"/>
      <w:bookmarkEnd w:id="5"/>
      <w:r>
        <w:rPr>
          <w:rFonts w:hint="default" w:ascii="Times New Roman" w:hAnsi="Times New Roman" w:eastAsia="楷体" w:cs="Times New Roman"/>
          <w:b w:val="0"/>
          <w:bCs w:val="0"/>
          <w:spacing w:val="0"/>
          <w:sz w:val="32"/>
          <w:szCs w:val="32"/>
        </w:rPr>
        <w:t>（一）绩效评价的目的、对象和范围</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仿宋" w:cs="Times New Roman"/>
          <w:b/>
          <w:bCs/>
          <w:spacing w:val="0"/>
          <w:sz w:val="31"/>
          <w:szCs w:val="31"/>
        </w:rPr>
      </w:pPr>
      <w:r>
        <w:rPr>
          <w:rFonts w:hint="default" w:ascii="Times New Roman" w:hAnsi="Times New Roman" w:eastAsia="仿宋_GB2312" w:cs="Times New Roman"/>
          <w:b/>
          <w:bCs/>
          <w:snapToGrid/>
          <w:spacing w:val="0"/>
          <w:kern w:val="2"/>
          <w:sz w:val="32"/>
          <w:szCs w:val="32"/>
          <w:lang w:val="en-US" w:eastAsia="zh-CN" w:bidi="ar-SA"/>
        </w:rPr>
        <w:t>1</w:t>
      </w:r>
      <w:r>
        <w:rPr>
          <w:rFonts w:hint="default" w:ascii="Times New Roman" w:hAnsi="Times New Roman" w:eastAsia="Times New Roman" w:cs="Times New Roman"/>
          <w:b/>
          <w:bCs/>
          <w:spacing w:val="0"/>
          <w:sz w:val="31"/>
          <w:szCs w:val="31"/>
        </w:rPr>
        <w:t>.</w:t>
      </w:r>
      <w:r>
        <w:rPr>
          <w:rFonts w:hint="default" w:ascii="Times New Roman" w:hAnsi="Times New Roman" w:eastAsia="仿宋_GB2312" w:cs="Times New Roman"/>
          <w:b/>
          <w:bCs/>
          <w:snapToGrid/>
          <w:spacing w:val="0"/>
          <w:kern w:val="2"/>
          <w:sz w:val="32"/>
          <w:szCs w:val="32"/>
          <w:lang w:val="en-US" w:eastAsia="zh-CN" w:bidi="ar-SA"/>
        </w:rPr>
        <w:t>绩效评价目的</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本次评价以相关文件为依据，对“市政、园林、环卫一体化”第三方服务采购项目财政专项资金使用绩效情况进行评价。开展此次评价工作的目的在于</w:t>
      </w:r>
      <w:r>
        <w:rPr>
          <w:rFonts w:hint="default" w:ascii="Times New Roman" w:hAnsi="Times New Roman" w:eastAsia="仿宋" w:cs="Times New Roman"/>
          <w:spacing w:val="0"/>
          <w:sz w:val="31"/>
          <w:szCs w:val="31"/>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right="0" w:rightChars="0" w:firstLine="640" w:firstLineChars="200"/>
        <w:jc w:val="both"/>
        <w:textAlignment w:val="baseline"/>
        <w:rPr>
          <w:rFonts w:hint="default" w:ascii="Times New Roman" w:hAnsi="Times New Roman" w:eastAsia="仿宋" w:cs="Times New Roman"/>
          <w:spacing w:val="0"/>
          <w:sz w:val="31"/>
          <w:szCs w:val="31"/>
          <w:lang w:val="en-US" w:eastAsia="zh-CN"/>
        </w:rPr>
      </w:pPr>
      <w:r>
        <w:rPr>
          <w:rFonts w:hint="default" w:ascii="Times New Roman" w:hAnsi="Times New Roman" w:eastAsia="仿宋_GB2312" w:cs="Times New Roman"/>
          <w:snapToGrid/>
          <w:spacing w:val="0"/>
          <w:kern w:val="2"/>
          <w:sz w:val="32"/>
          <w:szCs w:val="32"/>
          <w:lang w:val="en-US" w:eastAsia="zh-CN" w:bidi="ar-SA"/>
        </w:rPr>
        <w:t>（1）通过“市政、园林、环卫一体化”第三方服务采购项目的实施情况进行核实评价，了解掌握项目的实施情况</w:t>
      </w:r>
      <w:r>
        <w:rPr>
          <w:rFonts w:hint="default" w:ascii="Times New Roman" w:hAnsi="Times New Roman" w:eastAsia="仿宋" w:cs="Times New Roman"/>
          <w:spacing w:val="0"/>
          <w:sz w:val="31"/>
          <w:szCs w:val="31"/>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right="0" w:rightChars="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（2）根据项目实施的具体情况，评价其项目资金安排的科学性、合理性、规范性，完善项目管理办法，提高项目管理水平和资金的使用效率</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3）按照相关文件及绩效评价指标体系的要求，从决策、过程、产出、效益四个方面对“市政、园林、环卫一体化”第三方服务采购项目进行客观、公正的评价；总结项目管理与执行经验，发现项目管理和预算管理中存在的问题，提出改进意见和建议，为相关部门决策、管理提供参考依据</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4）进一步丰富和完善“市政、园林、环卫一体化”第三方服务采购项目绩效评价方法体系，推动建立以绩效评价结果为导向的财政资金分配与管理制度，提升财政资金科学化、精细化管理水平，为“市政、园林、环卫一体化”第三方服务采购项目专项资金的安排提供重要依据</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snapToGrid/>
          <w:spacing w:val="0"/>
          <w:kern w:val="2"/>
          <w:sz w:val="32"/>
          <w:szCs w:val="32"/>
          <w:lang w:val="en-US" w:eastAsia="zh-CN" w:bidi="ar-SA"/>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仿宋" w:cs="Times New Roman"/>
          <w:b/>
          <w:bCs/>
          <w:spacing w:val="0"/>
          <w:sz w:val="31"/>
          <w:szCs w:val="31"/>
        </w:rPr>
      </w:pPr>
      <w:r>
        <w:rPr>
          <w:rFonts w:hint="default" w:ascii="Times New Roman" w:hAnsi="Times New Roman" w:eastAsia="仿宋_GB2312" w:cs="Times New Roman"/>
          <w:b/>
          <w:bCs/>
          <w:snapToGrid/>
          <w:spacing w:val="0"/>
          <w:kern w:val="2"/>
          <w:sz w:val="32"/>
          <w:szCs w:val="32"/>
          <w:lang w:val="en-US" w:eastAsia="zh-CN" w:bidi="ar-SA"/>
        </w:rPr>
        <w:t>2.绩效评价对象和范围</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本次绩效评价针对“市政、园林、环卫一体化”第三方服务采购项目展开，主要评价内容及范围如下</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（1）立项依据和立项程序情况</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（2）绩效目标和指标设定情况</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（3）预算编制和资金分配情况</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（4）资金管理和使用情况</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（5）相关制度办法的健全性及执行情况</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（6）实现的产出情况</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（7）取得的效益情况</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楷体" w:cs="Times New Roman"/>
          <w:b w:val="0"/>
          <w:bCs w:val="0"/>
          <w:spacing w:val="0"/>
          <w:sz w:val="32"/>
          <w:szCs w:val="32"/>
        </w:rPr>
      </w:pPr>
      <w:r>
        <w:rPr>
          <w:rFonts w:hint="default" w:ascii="Times New Roman" w:hAnsi="Times New Roman" w:eastAsia="仿宋_GB2312" w:cs="Times New Roman"/>
          <w:snapToGrid/>
          <w:spacing w:val="0"/>
          <w:kern w:val="2"/>
          <w:sz w:val="32"/>
          <w:szCs w:val="32"/>
          <w:lang w:val="en-US" w:eastAsia="zh-CN" w:bidi="ar-SA"/>
        </w:rPr>
        <w:t>（8）其他相关内容</w:t>
      </w:r>
      <w:r>
        <w:rPr>
          <w:rFonts w:hint="default" w:ascii="Times New Roman" w:hAnsi="Times New Roman" w:eastAsia="仿宋" w:cs="Times New Roman"/>
          <w:spacing w:val="0"/>
          <w:sz w:val="31"/>
          <w:szCs w:val="31"/>
        </w:rPr>
        <w:t>。</w:t>
      </w:r>
      <w:bookmarkStart w:id="6" w:name="bookmark6"/>
      <w:bookmarkEnd w:id="6"/>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default" w:ascii="Times New Roman" w:hAnsi="Times New Roman" w:eastAsia="楷体" w:cs="Times New Roman"/>
          <w:b w:val="0"/>
          <w:bCs w:val="0"/>
          <w:spacing w:val="0"/>
          <w:sz w:val="32"/>
          <w:szCs w:val="32"/>
        </w:rPr>
      </w:pPr>
      <w:r>
        <w:rPr>
          <w:rFonts w:hint="default" w:ascii="Times New Roman" w:hAnsi="Times New Roman" w:eastAsia="楷体" w:cs="Times New Roman"/>
          <w:b w:val="0"/>
          <w:bCs w:val="0"/>
          <w:spacing w:val="0"/>
          <w:sz w:val="32"/>
          <w:szCs w:val="32"/>
        </w:rPr>
        <w:t>（二）绩效评价原则、评价指标体系、评价方法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仿宋_GB2312" w:cs="Times New Roman"/>
          <w:b/>
          <w:bCs/>
          <w:snapToGrid/>
          <w:spacing w:val="0"/>
          <w:kern w:val="2"/>
          <w:sz w:val="32"/>
          <w:szCs w:val="32"/>
          <w:lang w:val="en-US" w:eastAsia="zh-CN" w:bidi="ar-SA"/>
        </w:rPr>
      </w:pPr>
      <w:r>
        <w:rPr>
          <w:rFonts w:hint="default" w:ascii="Times New Roman" w:hAnsi="Times New Roman" w:eastAsia="仿宋_GB2312" w:cs="Times New Roman"/>
          <w:b/>
          <w:bCs/>
          <w:snapToGrid/>
          <w:spacing w:val="0"/>
          <w:kern w:val="2"/>
          <w:sz w:val="32"/>
          <w:szCs w:val="32"/>
          <w:lang w:val="en-US" w:eastAsia="zh-CN" w:bidi="ar-SA"/>
        </w:rPr>
        <w:t>1.绩效评价原则</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（1）坚持科学规范的原则。此次绩效评价运用科学合理的评价指标体系和方法，按照规范的程序，对支出绩效进行客观、公正的反映</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（2）坚持统筹兼顾的原则。此次评价委托第三方机构在单位自评的基础上开展</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（3）坚持激励约束的原则。本次绩效评价结果可以作为预算安排、政策调整、改进管理的参考，绩效评价工作将体现奖优罚劣和激励相容导向，有效要安排、低效要压减、无效要问责</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（4）坚持公开透明的原则。承诺绩效评价结果依法依规公开，自觉接受有关机构和社会监督</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（5）坚持综合绩效评价，定量分析与定性分析相结合的原则</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（6）坚持绩效相关性原则。此次绩效评价将针对具体支出及其产出绩效进行，评价结果将清晰反映支出和产出绩效之间的紧密对应关系。</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仿宋_GB2312" w:cs="Times New Roman"/>
          <w:b/>
          <w:bCs/>
          <w:snapToGrid/>
          <w:spacing w:val="0"/>
          <w:kern w:val="2"/>
          <w:sz w:val="32"/>
          <w:szCs w:val="32"/>
          <w:lang w:val="en-US" w:eastAsia="zh-CN" w:bidi="ar-SA"/>
        </w:rPr>
      </w:pPr>
      <w:r>
        <w:rPr>
          <w:rFonts w:hint="default" w:ascii="Times New Roman" w:hAnsi="Times New Roman" w:eastAsia="仿宋_GB2312" w:cs="Times New Roman"/>
          <w:b/>
          <w:bCs/>
          <w:snapToGrid/>
          <w:spacing w:val="0"/>
          <w:kern w:val="2"/>
          <w:sz w:val="32"/>
          <w:szCs w:val="32"/>
          <w:lang w:val="en-US" w:eastAsia="zh-CN" w:bidi="ar-SA"/>
        </w:rPr>
        <w:t>2.评价指标体系</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（1）指标体系设计思路</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根据绩效评价的基本原理、原则和该项目特点，结合绩效目标，由绩效评价项目组独立研制科学的指标体系。评价指标体系按照逻辑分析法设计，包括项目决策、项目过程、项目产出、项目效益四部分内容，力求全面考察项目决策、资金投入、过程管理、产出效果和社会效益，体现从项目本身、执行到效果的逻辑路径。评价指标体系是评价的依据，评价数据通过由基础表、问卷、访谈等方式获取</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textAlignment w:val="baseline"/>
        <w:rPr>
          <w:rFonts w:hint="default" w:ascii="Times New Roman" w:hAnsi="Times New Roman" w:eastAsia="仿宋" w:cs="Times New Roman"/>
          <w:spacing w:val="0"/>
          <w:sz w:val="31"/>
          <w:szCs w:val="31"/>
        </w:rPr>
      </w:pPr>
      <w:r>
        <w:rPr>
          <w:rFonts w:hint="default" w:ascii="Times New Roman" w:hAnsi="Times New Roman" w:eastAsia="仿宋" w:cs="Times New Roman"/>
          <w:spacing w:val="0"/>
          <w:sz w:val="31"/>
          <w:szCs w:val="31"/>
        </w:rPr>
        <w:t>（</w:t>
      </w:r>
      <w:r>
        <w:rPr>
          <w:rFonts w:hint="default" w:ascii="Times New Roman" w:hAnsi="Times New Roman" w:eastAsia="Times New Roman" w:cs="Times New Roman"/>
          <w:spacing w:val="0"/>
          <w:sz w:val="31"/>
          <w:szCs w:val="31"/>
        </w:rPr>
        <w:t>2</w:t>
      </w:r>
      <w:r>
        <w:rPr>
          <w:rFonts w:hint="default" w:ascii="Times New Roman" w:hAnsi="Times New Roman" w:eastAsia="仿宋" w:cs="Times New Roman"/>
          <w:spacing w:val="0"/>
          <w:sz w:val="31"/>
          <w:szCs w:val="31"/>
        </w:rPr>
        <w:t>）指标解释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1）权重</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本项目评价指标体系各指标的权重由评价组根据项目评价需求，在调研基础上依据指标的重要性进行分配</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2）评价标准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本项目评价指标体系的评价标准按照计划标准、行业标准、历史标准等制定。对于定性指标，一般通过问卷及访谈采集相关数据，在实施过程中运用等级描述法进行考核，通过设置分级标准来体现该指标认可程度的差异。对于定量指标，一般通过公式等方式予以量化，可以准确数量定义、精确衡量并能设定目标值的考核指标</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3）指标体系</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根据相关文件要求，本次专项资金的评价指标体系包括评价指标、权重、指标解释、标杆值、评分依据、评分标准、评分过程，完整的绩效评价指标体系及评分过程详见附件1</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default" w:ascii="Times New Roman" w:hAnsi="Times New Roman" w:eastAsia="楷体" w:cs="Times New Roman"/>
          <w:spacing w:val="0"/>
          <w:sz w:val="31"/>
          <w:szCs w:val="31"/>
        </w:rPr>
      </w:pPr>
      <w:bookmarkStart w:id="7" w:name="bookmark7"/>
      <w:bookmarkEnd w:id="7"/>
      <w:r>
        <w:rPr>
          <w:rFonts w:hint="default" w:ascii="Times New Roman" w:hAnsi="Times New Roman" w:eastAsia="楷体" w:cs="Times New Roman"/>
          <w:b w:val="0"/>
          <w:bCs w:val="0"/>
          <w:spacing w:val="0"/>
          <w:sz w:val="32"/>
          <w:szCs w:val="32"/>
        </w:rPr>
        <w:t>（三）绩效评价工作过程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b/>
          <w:bCs/>
          <w:snapToGrid/>
          <w:spacing w:val="0"/>
          <w:kern w:val="2"/>
          <w:sz w:val="32"/>
          <w:szCs w:val="32"/>
          <w:lang w:val="en-US" w:eastAsia="zh-CN" w:bidi="ar-SA"/>
        </w:rPr>
        <w:t>1.前期准备阶段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（1）成立绩效评价项目组</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哈密市伊州区财政局委托第三方机构对“市政、园林、环卫一体化”第三方服务采购项目进行绩效评价工作。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2026年7月1日，评价组赴区住建局参加了调研，听取了该单位对本项目的申请立项、资金落实、业务管理、财务管理、项目产出、项目效益等方面的情况介绍，并对项目后续评价工作的基本原则及所需的各类资料文件提出了要求。</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（2）指标体系设计</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根据区住建局“市政、园林、环卫一体化”第三方服务采购项目绩效目标及实际工作需要，从决策、过程、产出、效益四个维度出发，设立项目立项、绩效目标、资金投入、资金管理、组织实施、产出数量、产出质量、产出时效、产出成本、项目效益、满意度11项二级指标和21项三级指标，采取指标分值百分制，将21项指标量化为100分，详见附表1</w:t>
      </w:r>
      <w:r>
        <w:rPr>
          <w:rFonts w:hint="default" w:ascii="Times New Roman" w:hAnsi="Times New Roman" w:eastAsia="仿宋" w:cs="Times New Roman"/>
          <w:spacing w:val="0"/>
          <w:sz w:val="31"/>
          <w:szCs w:val="31"/>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right="0" w:rightChars="0" w:firstLine="643" w:firstLineChars="200"/>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b/>
          <w:bCs/>
          <w:snapToGrid/>
          <w:spacing w:val="0"/>
          <w:kern w:val="2"/>
          <w:sz w:val="32"/>
          <w:szCs w:val="32"/>
          <w:lang w:val="en-US" w:eastAsia="zh-CN" w:bidi="ar-SA"/>
        </w:rPr>
        <w:t>2.评价实施阶段</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right="0" w:rightChars="0" w:firstLine="640" w:firstLineChars="200"/>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（1）正式进驻。评价组2026年7月1日正式进驻区住房和城乡建设局实施评价工作</w:t>
      </w:r>
      <w:r>
        <w:rPr>
          <w:rFonts w:hint="default" w:ascii="Times New Roman" w:hAnsi="Times New Roman" w:eastAsia="仿宋" w:cs="Times New Roman"/>
          <w:spacing w:val="0"/>
          <w:sz w:val="31"/>
          <w:szCs w:val="31"/>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right="0" w:rightChars="0" w:firstLine="640" w:firstLineChars="200"/>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2）全面审查。评价过程中，评价组对本项目的文件依据、预算编制、制度执行、资金拨付、资金使用情况、产生效益等方面进行了全面梳理。评价组根据相关文件，对专项经费的到位情况、预算编制、项目经费拨付等相关业务文件进行了核查。</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right="0" w:rightChars="0" w:firstLine="640" w:firstLineChars="200"/>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3）实地核查。评价组对区住建局“市政、园林、环卫一体化”第三方服务采购项目完成情况进行一一核查。通过现场实际勘查，并对项目完成后的不足提出建议，根据上述核查内容形成评价清单；同时评价组成员针对项目涉及的服务对象进行问卷调查。</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right="0" w:rightChars="0" w:firstLine="640" w:firstLineChars="200"/>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（4）评价打分。按照绩效评价指标体系结合区住建局提供的项目资料及项目实际完成情况，对各绩效评价指标进行了评分。</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right="0" w:rightChars="0" w:firstLine="640" w:firstLineChars="200"/>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（5）编制报告。评价组根据实地核查、评价打分编制绩效评价报告，全面梳理本项目在决策依据、过程管理、产出</w:t>
      </w:r>
      <w:bookmarkStart w:id="8" w:name="bookmark8"/>
      <w:bookmarkEnd w:id="8"/>
      <w:r>
        <w:rPr>
          <w:rFonts w:hint="default" w:ascii="Times New Roman" w:hAnsi="Times New Roman" w:eastAsia="仿宋_GB2312" w:cs="Times New Roman"/>
          <w:snapToGrid/>
          <w:spacing w:val="0"/>
          <w:kern w:val="2"/>
          <w:sz w:val="32"/>
          <w:szCs w:val="32"/>
          <w:lang w:val="en-US" w:eastAsia="zh-CN" w:bidi="ar-SA"/>
        </w:rPr>
        <w:t>情况、取得效益等方面存在的问题及工作建议</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0"/>
        <w:rPr>
          <w:rFonts w:hint="default" w:ascii="Times New Roman" w:hAnsi="Times New Roman" w:eastAsia="黑体" w:cs="Times New Roman"/>
          <w:spacing w:val="0"/>
          <w:sz w:val="32"/>
          <w:szCs w:val="32"/>
        </w:rPr>
      </w:pPr>
      <w:bookmarkStart w:id="9" w:name="bookmark20"/>
      <w:bookmarkEnd w:id="9"/>
      <w:r>
        <w:rPr>
          <w:rFonts w:hint="default" w:ascii="Times New Roman" w:hAnsi="Times New Roman" w:eastAsia="黑体" w:cs="Times New Roman"/>
          <w:spacing w:val="0"/>
          <w:sz w:val="32"/>
          <w:szCs w:val="32"/>
        </w:rPr>
        <w:t>三、综合评价情况及评价结论</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评价指标体系及评分标准，通过项目实施单位提供的基础数据、问卷调查和访谈获取的信息资料，评价组对“市政、园林、环卫一体化”第三方服务采购项目项目进行了独立客观的评价，最终评分结果为88.94分，评价等级为“良”。其中，项目决策18.6分，项目过程14.84分，项目产出35.5分，项目效益20分。各部分得分情况详见表3-1。评分过程详见附件1</w:t>
      </w:r>
      <w:r>
        <w:rPr>
          <w:rFonts w:hint="default" w:ascii="Times New Roman" w:hAnsi="Times New Roman" w:eastAsia="仿宋" w:cs="Times New Roman"/>
          <w:spacing w:val="0"/>
          <w:sz w:val="31"/>
          <w:szCs w:val="31"/>
        </w:rPr>
        <w:t>。</w:t>
      </w:r>
    </w:p>
    <w:p>
      <w:pPr>
        <w:spacing w:line="295" w:lineRule="exact"/>
        <w:ind w:left="2529"/>
        <w:rPr>
          <w:rFonts w:hint="default" w:ascii="Times New Roman" w:hAnsi="Times New Roman" w:eastAsia="黑体" w:cs="Times New Roman"/>
          <w:sz w:val="30"/>
          <w:szCs w:val="30"/>
        </w:rPr>
      </w:pPr>
      <w:r>
        <w:rPr>
          <w:rFonts w:hint="default" w:ascii="Times New Roman" w:hAnsi="Times New Roman" w:eastAsia="黑体" w:cs="Times New Roman"/>
          <w:spacing w:val="-20"/>
          <w:w w:val="94"/>
          <w:position w:val="-1"/>
          <w:sz w:val="30"/>
          <w:szCs w:val="30"/>
        </w:rPr>
        <w:t>表3-1</w:t>
      </w:r>
      <w:r>
        <w:rPr>
          <w:rFonts w:hint="default" w:ascii="Times New Roman" w:hAnsi="Times New Roman" w:eastAsia="黑体" w:cs="Times New Roman"/>
          <w:color w:val="0A0A0A"/>
          <w:spacing w:val="-20"/>
          <w:w w:val="94"/>
          <w:position w:val="-1"/>
          <w:sz w:val="30"/>
          <w:szCs w:val="30"/>
        </w:rPr>
        <w:t>项目指标得分情况汇总表</w:t>
      </w:r>
    </w:p>
    <w:p>
      <w:pPr>
        <w:spacing w:line="157" w:lineRule="exact"/>
        <w:rPr>
          <w:rFonts w:hint="default" w:ascii="Times New Roman" w:hAnsi="Times New Roman" w:cs="Times New Roman"/>
        </w:rPr>
      </w:pPr>
    </w:p>
    <w:tbl>
      <w:tblPr>
        <w:tblStyle w:val="8"/>
        <w:tblW w:w="8508" w:type="dxa"/>
        <w:tblInd w:w="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74"/>
        <w:gridCol w:w="2123"/>
        <w:gridCol w:w="2069"/>
        <w:gridCol w:w="224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6" w:hRule="atLeast"/>
        </w:trPr>
        <w:tc>
          <w:tcPr>
            <w:tcW w:w="2074" w:type="dxa"/>
            <w:vAlign w:val="top"/>
          </w:tcPr>
          <w:p>
            <w:pPr>
              <w:spacing w:before="144" w:line="222" w:lineRule="auto"/>
              <w:ind w:left="617"/>
              <w:outlineLvl w:val="0"/>
              <w:rPr>
                <w:rFonts w:hint="default" w:ascii="Times New Roman" w:hAnsi="Times New Roman" w:eastAsia="仿宋" w:cs="Times New Roman"/>
                <w:sz w:val="24"/>
                <w:szCs w:val="24"/>
              </w:rPr>
            </w:pPr>
            <w:bookmarkStart w:id="10" w:name="bookmark21"/>
            <w:bookmarkEnd w:id="10"/>
            <w:r>
              <w:rPr>
                <w:rFonts w:hint="default" w:ascii="Times New Roman" w:hAnsi="Times New Roman" w:eastAsia="仿宋" w:cs="Times New Roman"/>
                <w:b/>
                <w:bCs/>
                <w:spacing w:val="-9"/>
                <w:sz w:val="24"/>
                <w:szCs w:val="24"/>
              </w:rPr>
              <w:t>评价指标</w:t>
            </w:r>
          </w:p>
        </w:tc>
        <w:tc>
          <w:tcPr>
            <w:tcW w:w="2123" w:type="dxa"/>
            <w:vAlign w:val="top"/>
          </w:tcPr>
          <w:p>
            <w:pPr>
              <w:pStyle w:val="9"/>
              <w:spacing w:before="134" w:line="330" w:lineRule="exact"/>
              <w:ind w:left="589"/>
              <w:rPr>
                <w:rFonts w:hint="default" w:ascii="Times New Roman" w:hAnsi="Times New Roman" w:eastAsia="仿宋" w:cs="Times New Roman"/>
                <w:sz w:val="24"/>
                <w:szCs w:val="24"/>
              </w:rPr>
            </w:pPr>
            <w:r>
              <w:rPr>
                <w:rFonts w:hint="default" w:ascii="Times New Roman" w:hAnsi="Times New Roman" w:eastAsia="仿宋" w:cs="Times New Roman"/>
                <w:b/>
                <w:bCs/>
                <w:spacing w:val="-28"/>
                <w:position w:val="1"/>
                <w:sz w:val="24"/>
                <w:szCs w:val="24"/>
              </w:rPr>
              <w:t>权重（</w:t>
            </w:r>
            <w:r>
              <w:rPr>
                <w:rFonts w:hint="default" w:ascii="Times New Roman" w:hAnsi="Times New Roman" w:cs="Times New Roman"/>
                <w:b/>
                <w:bCs/>
                <w:spacing w:val="-28"/>
                <w:position w:val="1"/>
                <w:sz w:val="24"/>
                <w:szCs w:val="24"/>
              </w:rPr>
              <w:t>%</w:t>
            </w:r>
            <w:r>
              <w:rPr>
                <w:rFonts w:hint="default" w:ascii="Times New Roman" w:hAnsi="Times New Roman" w:eastAsia="仿宋" w:cs="Times New Roman"/>
                <w:b/>
                <w:bCs/>
                <w:spacing w:val="-28"/>
                <w:position w:val="1"/>
                <w:sz w:val="24"/>
                <w:szCs w:val="24"/>
              </w:rPr>
              <w:t>）</w:t>
            </w:r>
          </w:p>
        </w:tc>
        <w:tc>
          <w:tcPr>
            <w:tcW w:w="2069" w:type="dxa"/>
            <w:vAlign w:val="top"/>
          </w:tcPr>
          <w:p>
            <w:pPr>
              <w:spacing w:before="144" w:line="222" w:lineRule="auto"/>
              <w:ind w:left="616"/>
              <w:rPr>
                <w:rFonts w:hint="default" w:ascii="Times New Roman" w:hAnsi="Times New Roman" w:eastAsia="仿宋" w:cs="Times New Roman"/>
                <w:sz w:val="24"/>
                <w:szCs w:val="24"/>
              </w:rPr>
            </w:pPr>
            <w:r>
              <w:rPr>
                <w:rFonts w:hint="default" w:ascii="Times New Roman" w:hAnsi="Times New Roman" w:eastAsia="仿宋" w:cs="Times New Roman"/>
                <w:b/>
                <w:bCs/>
                <w:spacing w:val="-9"/>
                <w:sz w:val="24"/>
                <w:szCs w:val="24"/>
              </w:rPr>
              <w:t>评价得分</w:t>
            </w:r>
          </w:p>
        </w:tc>
        <w:tc>
          <w:tcPr>
            <w:tcW w:w="2242" w:type="dxa"/>
            <w:vAlign w:val="top"/>
          </w:tcPr>
          <w:p>
            <w:pPr>
              <w:spacing w:before="144" w:line="222" w:lineRule="auto"/>
              <w:ind w:left="481"/>
              <w:rPr>
                <w:rFonts w:hint="default" w:ascii="Times New Roman" w:hAnsi="Times New Roman" w:eastAsia="仿宋" w:cs="Times New Roman"/>
                <w:sz w:val="24"/>
                <w:szCs w:val="24"/>
              </w:rPr>
            </w:pPr>
            <w:r>
              <w:rPr>
                <w:rFonts w:hint="default" w:ascii="Times New Roman" w:hAnsi="Times New Roman" w:eastAsia="仿宋" w:cs="Times New Roman"/>
                <w:b/>
                <w:bCs/>
                <w:spacing w:val="-7"/>
                <w:sz w:val="24"/>
                <w:szCs w:val="24"/>
              </w:rPr>
              <w:t>评价分值占比</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4" w:hRule="atLeast"/>
        </w:trPr>
        <w:tc>
          <w:tcPr>
            <w:tcW w:w="2074" w:type="dxa"/>
            <w:vAlign w:val="top"/>
          </w:tcPr>
          <w:p>
            <w:pPr>
              <w:pStyle w:val="9"/>
              <w:spacing w:before="131" w:line="330" w:lineRule="exact"/>
              <w:ind w:left="754"/>
              <w:rPr>
                <w:rFonts w:hint="default" w:ascii="Times New Roman" w:hAnsi="Times New Roman" w:eastAsia="仿宋" w:cs="Times New Roman"/>
                <w:sz w:val="24"/>
                <w:szCs w:val="24"/>
              </w:rPr>
            </w:pPr>
            <w:r>
              <w:rPr>
                <w:rFonts w:hint="default" w:ascii="Times New Roman" w:hAnsi="Times New Roman" w:cs="Times New Roman"/>
                <w:b/>
                <w:bCs/>
                <w:spacing w:val="-2"/>
                <w:position w:val="1"/>
                <w:sz w:val="24"/>
                <w:szCs w:val="24"/>
              </w:rPr>
              <w:t>1.</w:t>
            </w:r>
            <w:r>
              <w:rPr>
                <w:rFonts w:hint="default" w:ascii="Times New Roman" w:hAnsi="Times New Roman" w:eastAsia="仿宋" w:cs="Times New Roman"/>
                <w:b/>
                <w:bCs/>
                <w:spacing w:val="-2"/>
                <w:position w:val="1"/>
                <w:sz w:val="24"/>
                <w:szCs w:val="24"/>
              </w:rPr>
              <w:t>决策</w:t>
            </w:r>
          </w:p>
        </w:tc>
        <w:tc>
          <w:tcPr>
            <w:tcW w:w="2123" w:type="dxa"/>
            <w:vAlign w:val="top"/>
          </w:tcPr>
          <w:p>
            <w:pPr>
              <w:spacing w:before="159" w:line="189" w:lineRule="auto"/>
              <w:ind w:left="1171"/>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24</w:t>
            </w:r>
          </w:p>
        </w:tc>
        <w:tc>
          <w:tcPr>
            <w:tcW w:w="2069" w:type="dxa"/>
            <w:vAlign w:val="top"/>
          </w:tcPr>
          <w:p>
            <w:pPr>
              <w:spacing w:before="159" w:line="189" w:lineRule="auto"/>
              <w:ind w:left="1086"/>
              <w:rPr>
                <w:rFonts w:hint="default" w:ascii="Times New Roman" w:hAnsi="Times New Roman" w:eastAsia="Times New Roman" w:cs="Times New Roman"/>
                <w:sz w:val="22"/>
                <w:szCs w:val="22"/>
              </w:rPr>
            </w:pPr>
            <w:r>
              <w:rPr>
                <w:rFonts w:hint="default" w:ascii="Times New Roman" w:hAnsi="Times New Roman" w:eastAsia="Times New Roman" w:cs="Times New Roman"/>
                <w:spacing w:val="-7"/>
                <w:sz w:val="22"/>
                <w:szCs w:val="22"/>
              </w:rPr>
              <w:t>18.6</w:t>
            </w:r>
          </w:p>
        </w:tc>
        <w:tc>
          <w:tcPr>
            <w:tcW w:w="2242" w:type="dxa"/>
            <w:vAlign w:val="top"/>
          </w:tcPr>
          <w:p>
            <w:pPr>
              <w:spacing w:before="158" w:line="189" w:lineRule="auto"/>
              <w:ind w:left="1063"/>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77.5%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6" w:hRule="atLeast"/>
        </w:trPr>
        <w:tc>
          <w:tcPr>
            <w:tcW w:w="2074" w:type="dxa"/>
            <w:vAlign w:val="top"/>
          </w:tcPr>
          <w:p>
            <w:pPr>
              <w:pStyle w:val="9"/>
              <w:spacing w:before="134" w:line="331" w:lineRule="exact"/>
              <w:ind w:left="732"/>
              <w:rPr>
                <w:rFonts w:hint="default" w:ascii="Times New Roman" w:hAnsi="Times New Roman" w:eastAsia="仿宋" w:cs="Times New Roman"/>
                <w:sz w:val="24"/>
                <w:szCs w:val="24"/>
              </w:rPr>
            </w:pPr>
            <w:r>
              <w:rPr>
                <w:rFonts w:hint="default" w:ascii="Times New Roman" w:hAnsi="Times New Roman" w:cs="Times New Roman"/>
                <w:b/>
                <w:bCs/>
                <w:spacing w:val="3"/>
                <w:position w:val="1"/>
                <w:sz w:val="24"/>
                <w:szCs w:val="24"/>
              </w:rPr>
              <w:t>2.</w:t>
            </w:r>
            <w:r>
              <w:rPr>
                <w:rFonts w:hint="default" w:ascii="Times New Roman" w:hAnsi="Times New Roman" w:eastAsia="仿宋" w:cs="Times New Roman"/>
                <w:b/>
                <w:bCs/>
                <w:spacing w:val="3"/>
                <w:position w:val="1"/>
                <w:sz w:val="24"/>
                <w:szCs w:val="24"/>
              </w:rPr>
              <w:t>过程</w:t>
            </w:r>
          </w:p>
        </w:tc>
        <w:tc>
          <w:tcPr>
            <w:tcW w:w="2123" w:type="dxa"/>
            <w:vAlign w:val="top"/>
          </w:tcPr>
          <w:p>
            <w:pPr>
              <w:spacing w:before="160" w:line="189" w:lineRule="auto"/>
              <w:ind w:left="1193"/>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3"/>
                <w:sz w:val="22"/>
                <w:szCs w:val="22"/>
              </w:rPr>
              <w:t>16</w:t>
            </w:r>
          </w:p>
        </w:tc>
        <w:tc>
          <w:tcPr>
            <w:tcW w:w="2069" w:type="dxa"/>
            <w:vAlign w:val="top"/>
          </w:tcPr>
          <w:p>
            <w:pPr>
              <w:spacing w:before="160" w:line="189" w:lineRule="auto"/>
              <w:ind w:left="1030"/>
              <w:rPr>
                <w:rFonts w:hint="default" w:ascii="Times New Roman" w:hAnsi="Times New Roman" w:eastAsia="Times New Roman" w:cs="Times New Roman"/>
                <w:sz w:val="22"/>
                <w:szCs w:val="22"/>
              </w:rPr>
            </w:pPr>
            <w:r>
              <w:rPr>
                <w:rFonts w:hint="default" w:ascii="Times New Roman" w:hAnsi="Times New Roman" w:eastAsia="Times New Roman" w:cs="Times New Roman"/>
                <w:spacing w:val="-5"/>
                <w:sz w:val="22"/>
                <w:szCs w:val="22"/>
              </w:rPr>
              <w:t>14.84</w:t>
            </w:r>
          </w:p>
        </w:tc>
        <w:tc>
          <w:tcPr>
            <w:tcW w:w="2242" w:type="dxa"/>
            <w:vAlign w:val="top"/>
          </w:tcPr>
          <w:p>
            <w:pPr>
              <w:spacing w:before="159" w:line="189" w:lineRule="auto"/>
              <w:ind w:left="1008"/>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92.75%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0" w:hRule="atLeast"/>
        </w:trPr>
        <w:tc>
          <w:tcPr>
            <w:tcW w:w="2074" w:type="dxa"/>
            <w:vAlign w:val="top"/>
          </w:tcPr>
          <w:p>
            <w:pPr>
              <w:pStyle w:val="9"/>
              <w:spacing w:before="131" w:line="329" w:lineRule="exact"/>
              <w:ind w:left="741"/>
              <w:rPr>
                <w:rFonts w:hint="default" w:ascii="Times New Roman" w:hAnsi="Times New Roman" w:eastAsia="仿宋" w:cs="Times New Roman"/>
                <w:sz w:val="24"/>
                <w:szCs w:val="24"/>
              </w:rPr>
            </w:pPr>
            <w:r>
              <w:rPr>
                <w:rFonts w:hint="default" w:ascii="Times New Roman" w:hAnsi="Times New Roman" w:cs="Times New Roman"/>
                <w:b/>
                <w:bCs/>
                <w:spacing w:val="2"/>
                <w:position w:val="1"/>
                <w:sz w:val="24"/>
                <w:szCs w:val="24"/>
              </w:rPr>
              <w:t>3.</w:t>
            </w:r>
            <w:r>
              <w:rPr>
                <w:rFonts w:hint="default" w:ascii="Times New Roman" w:hAnsi="Times New Roman" w:eastAsia="仿宋" w:cs="Times New Roman"/>
                <w:b/>
                <w:bCs/>
                <w:spacing w:val="2"/>
                <w:position w:val="1"/>
                <w:sz w:val="24"/>
                <w:szCs w:val="24"/>
              </w:rPr>
              <w:t>产出</w:t>
            </w:r>
          </w:p>
        </w:tc>
        <w:tc>
          <w:tcPr>
            <w:tcW w:w="2123" w:type="dxa"/>
            <w:vAlign w:val="top"/>
          </w:tcPr>
          <w:p>
            <w:pPr>
              <w:spacing w:before="159" w:line="189" w:lineRule="auto"/>
              <w:ind w:left="1170"/>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40</w:t>
            </w:r>
          </w:p>
        </w:tc>
        <w:tc>
          <w:tcPr>
            <w:tcW w:w="2069" w:type="dxa"/>
            <w:vAlign w:val="top"/>
          </w:tcPr>
          <w:p>
            <w:pPr>
              <w:spacing w:before="159" w:line="189" w:lineRule="auto"/>
              <w:ind w:left="1069"/>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35.5</w:t>
            </w:r>
          </w:p>
        </w:tc>
        <w:tc>
          <w:tcPr>
            <w:tcW w:w="2242" w:type="dxa"/>
            <w:vAlign w:val="top"/>
          </w:tcPr>
          <w:p>
            <w:pPr>
              <w:spacing w:before="158" w:line="189" w:lineRule="auto"/>
              <w:ind w:left="1013"/>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88.75%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0" w:hRule="atLeast"/>
        </w:trPr>
        <w:tc>
          <w:tcPr>
            <w:tcW w:w="2074" w:type="dxa"/>
            <w:vAlign w:val="top"/>
          </w:tcPr>
          <w:p>
            <w:pPr>
              <w:pStyle w:val="9"/>
              <w:spacing w:before="131" w:line="329" w:lineRule="exact"/>
              <w:ind w:left="731"/>
              <w:rPr>
                <w:rFonts w:hint="default" w:ascii="Times New Roman" w:hAnsi="Times New Roman" w:eastAsia="仿宋" w:cs="Times New Roman"/>
                <w:sz w:val="24"/>
                <w:szCs w:val="24"/>
              </w:rPr>
            </w:pPr>
            <w:r>
              <w:rPr>
                <w:rFonts w:hint="default" w:ascii="Times New Roman" w:hAnsi="Times New Roman" w:cs="Times New Roman"/>
                <w:b/>
                <w:bCs/>
                <w:spacing w:val="3"/>
                <w:position w:val="1"/>
                <w:sz w:val="24"/>
                <w:szCs w:val="24"/>
              </w:rPr>
              <w:t>4.</w:t>
            </w:r>
            <w:r>
              <w:rPr>
                <w:rFonts w:hint="default" w:ascii="Times New Roman" w:hAnsi="Times New Roman" w:eastAsia="仿宋" w:cs="Times New Roman"/>
                <w:b/>
                <w:bCs/>
                <w:spacing w:val="3"/>
                <w:position w:val="1"/>
                <w:sz w:val="24"/>
                <w:szCs w:val="24"/>
              </w:rPr>
              <w:t>效果</w:t>
            </w:r>
          </w:p>
        </w:tc>
        <w:tc>
          <w:tcPr>
            <w:tcW w:w="2123" w:type="dxa"/>
            <w:vAlign w:val="top"/>
          </w:tcPr>
          <w:p>
            <w:pPr>
              <w:spacing w:before="161" w:line="189" w:lineRule="auto"/>
              <w:ind w:left="1171"/>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20</w:t>
            </w:r>
          </w:p>
        </w:tc>
        <w:tc>
          <w:tcPr>
            <w:tcW w:w="2069" w:type="dxa"/>
            <w:vAlign w:val="top"/>
          </w:tcPr>
          <w:p>
            <w:pPr>
              <w:spacing w:before="161" w:line="189" w:lineRule="auto"/>
              <w:ind w:left="1148"/>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20</w:t>
            </w:r>
          </w:p>
        </w:tc>
        <w:tc>
          <w:tcPr>
            <w:tcW w:w="2242" w:type="dxa"/>
            <w:vAlign w:val="top"/>
          </w:tcPr>
          <w:p>
            <w:pPr>
              <w:spacing w:before="161" w:line="189" w:lineRule="auto"/>
              <w:ind w:left="1109"/>
              <w:rPr>
                <w:rFonts w:hint="default" w:ascii="Times New Roman" w:hAnsi="Times New Roman" w:eastAsia="Times New Roman" w:cs="Times New Roman"/>
                <w:sz w:val="22"/>
                <w:szCs w:val="22"/>
              </w:rPr>
            </w:pPr>
            <w:r>
              <w:rPr>
                <w:rFonts w:hint="default" w:ascii="Times New Roman" w:hAnsi="Times New Roman" w:eastAsia="Times New Roman" w:cs="Times New Roman"/>
                <w:spacing w:val="-7"/>
                <w:sz w:val="22"/>
                <w:szCs w:val="22"/>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9" w:hRule="atLeast"/>
        </w:trPr>
        <w:tc>
          <w:tcPr>
            <w:tcW w:w="2074" w:type="dxa"/>
            <w:vAlign w:val="top"/>
          </w:tcPr>
          <w:p>
            <w:pPr>
              <w:spacing w:before="148" w:line="223" w:lineRule="auto"/>
              <w:ind w:left="627"/>
              <w:rPr>
                <w:rFonts w:hint="default" w:ascii="Times New Roman" w:hAnsi="Times New Roman" w:eastAsia="仿宋" w:cs="Times New Roman"/>
                <w:sz w:val="24"/>
                <w:szCs w:val="24"/>
              </w:rPr>
            </w:pPr>
            <w:bookmarkStart w:id="11" w:name="bookmark9"/>
            <w:bookmarkEnd w:id="11"/>
            <w:r>
              <w:rPr>
                <w:rFonts w:hint="default" w:ascii="Times New Roman" w:hAnsi="Times New Roman" w:eastAsia="仿宋" w:cs="Times New Roman"/>
                <w:b/>
                <w:bCs/>
                <w:spacing w:val="-10"/>
                <w:sz w:val="24"/>
                <w:szCs w:val="24"/>
              </w:rPr>
              <w:t>综合绩效</w:t>
            </w:r>
          </w:p>
        </w:tc>
        <w:tc>
          <w:tcPr>
            <w:tcW w:w="2123" w:type="dxa"/>
            <w:vAlign w:val="top"/>
          </w:tcPr>
          <w:p>
            <w:pPr>
              <w:spacing w:before="161" w:line="189" w:lineRule="auto"/>
              <w:ind w:left="1140"/>
              <w:rPr>
                <w:rFonts w:hint="default" w:ascii="Times New Roman" w:hAnsi="Times New Roman" w:eastAsia="Times New Roman" w:cs="Times New Roman"/>
                <w:sz w:val="22"/>
                <w:szCs w:val="22"/>
              </w:rPr>
            </w:pPr>
            <w:r>
              <w:rPr>
                <w:rFonts w:hint="default" w:ascii="Times New Roman" w:hAnsi="Times New Roman" w:eastAsia="Times New Roman" w:cs="Times New Roman"/>
                <w:spacing w:val="-9"/>
                <w:sz w:val="22"/>
                <w:szCs w:val="22"/>
              </w:rPr>
              <w:t>100</w:t>
            </w:r>
          </w:p>
        </w:tc>
        <w:tc>
          <w:tcPr>
            <w:tcW w:w="2069" w:type="dxa"/>
            <w:vAlign w:val="top"/>
          </w:tcPr>
          <w:p>
            <w:pPr>
              <w:spacing w:before="161" w:line="189" w:lineRule="auto"/>
              <w:ind w:left="1018"/>
              <w:rPr>
                <w:rFonts w:hint="default" w:ascii="Times New Roman" w:hAnsi="Times New Roman" w:eastAsia="Times New Roman" w:cs="Times New Roman"/>
                <w:sz w:val="22"/>
                <w:szCs w:val="22"/>
              </w:rPr>
            </w:pPr>
            <w:r>
              <w:rPr>
                <w:rFonts w:hint="default" w:ascii="Times New Roman" w:hAnsi="Times New Roman" w:eastAsia="Times New Roman" w:cs="Times New Roman"/>
                <w:spacing w:val="-3"/>
                <w:sz w:val="22"/>
                <w:szCs w:val="22"/>
              </w:rPr>
              <w:t>88.94</w:t>
            </w:r>
          </w:p>
        </w:tc>
        <w:tc>
          <w:tcPr>
            <w:tcW w:w="2242" w:type="dxa"/>
            <w:vAlign w:val="top"/>
          </w:tcPr>
          <w:p>
            <w:pPr>
              <w:spacing w:before="161" w:line="189" w:lineRule="auto"/>
              <w:ind w:left="1013"/>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88.94%</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评价结论：一是项目决策方面，该项目立项依据充分，立项程序规范，预算编制测算数据合理，测算标准客观。但项目绩效目标内容完整性、可衡量性不足。二是项目过程方面，项目资金及时足额到位，但资金存在为未支付完的情况，项目资料档案管理存在不规范的情况，因该项目之前由哈密市伊州区城市执法局实施，但2025年，该部门单位撤销，项目转由区住建局管理，但交接过程中，项目前期资料如项目可研、项目资金下达文件、项目前期批复等文件保存不当，导致项目资料存在缺失、资料不全的情况。三是项目产出方面，完成“市政、园林、环卫一体化”项目，城区及国省道路保洁面积应完成12629003.66平方米、园林绿化及公园管理面积6842546.11平方米、市政养护工作等，通过项目每月考核总结得知，项目产出方面整体完成情况良好，但项目存在垃圾清运中转站指标未完成情况，原因是项目年初核定租用4个垃圾清运中转站，但在项目实施中，发现实际只有2个垃圾清运中转站在使用，故该指标存在未完成情况。四是项目效益方面，“市政、园林、环卫一体化”项目的实施提升了城市整体形象，保障了城市整洁度及城市基础设施的养护工作，提升居民生活质量，市民满意度较高</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0"/>
        <w:rPr>
          <w:rFonts w:hint="default" w:ascii="Times New Roman" w:hAnsi="Times New Roman" w:eastAsia="黑体" w:cs="Times New Roman"/>
          <w:spacing w:val="0"/>
          <w:sz w:val="32"/>
          <w:szCs w:val="32"/>
        </w:rPr>
      </w:pPr>
      <w:r>
        <w:rPr>
          <w:rFonts w:hint="default" w:ascii="Times New Roman" w:hAnsi="Times New Roman" w:eastAsia="黑体" w:cs="Times New Roman"/>
          <w:spacing w:val="0"/>
          <w:sz w:val="32"/>
          <w:szCs w:val="32"/>
        </w:rPr>
        <w:t>四、绩效评价指标分析</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default" w:ascii="Times New Roman" w:hAnsi="Times New Roman" w:eastAsia="楷体" w:cs="Times New Roman"/>
          <w:b w:val="0"/>
          <w:bCs w:val="0"/>
          <w:spacing w:val="0"/>
          <w:sz w:val="32"/>
          <w:szCs w:val="32"/>
        </w:rPr>
      </w:pPr>
      <w:bookmarkStart w:id="12" w:name="bookmark10"/>
      <w:bookmarkEnd w:id="12"/>
      <w:r>
        <w:rPr>
          <w:rFonts w:hint="default" w:ascii="Times New Roman" w:hAnsi="Times New Roman" w:eastAsia="楷体" w:cs="Times New Roman"/>
          <w:b w:val="0"/>
          <w:bCs w:val="0"/>
          <w:spacing w:val="0"/>
          <w:sz w:val="32"/>
          <w:szCs w:val="32"/>
        </w:rPr>
        <w:t>（一）项目决策情况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决策指标主要包括项目立项、绩效目标、资金投入3项二级指标，6项三级指标，此项评价满分为24分，绩效评价得分18.6分，得分率77.5%，具体分析如下</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仿宋_GB2312" w:cs="Times New Roman"/>
          <w:b/>
          <w:bCs/>
          <w:snapToGrid/>
          <w:spacing w:val="0"/>
          <w:kern w:val="2"/>
          <w:sz w:val="32"/>
          <w:szCs w:val="32"/>
          <w:lang w:val="en-US" w:eastAsia="zh-CN" w:bidi="ar-SA"/>
        </w:rPr>
      </w:pPr>
      <w:r>
        <w:rPr>
          <w:rFonts w:hint="default" w:ascii="Times New Roman" w:hAnsi="Times New Roman" w:eastAsia="仿宋_GB2312" w:cs="Times New Roman"/>
          <w:b/>
          <w:bCs/>
          <w:snapToGrid/>
          <w:spacing w:val="0"/>
          <w:kern w:val="2"/>
          <w:sz w:val="32"/>
          <w:szCs w:val="32"/>
          <w:lang w:val="en-US" w:eastAsia="zh-CN" w:bidi="ar-SA"/>
        </w:rPr>
        <w:t>1.项目立项</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1）立项依据充分性（总分3分，得分3分）。本项目立项依据相关文件设立。2025年该项目实施目标是对市区市政、园林、环卫整体工作进行提升，保障市区绿化效果，改善城区环境卫生，加强市政设施建设，包括城乡环卫保洁工程、园林绿化及公园管理、市政设施养护等工程建设，本项目的目标与国家和地区的战略目标、发展规划、工作计划匹配，与区住建局、伊州区哈密市伊州区城市公共事业服务中心单位职责密切相关综上所述。综上所述，该指标得3分，得分率100%</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2）立项程序规范性（总分3分，得分3分）。区住建局根据相关文件要求，组织编制了各项目实施方案并经哈密市伊州区住房和城乡建设局审查批复。经本单位内部审批决议后，向区财政申请预算资金，录入项目库，立项审批资料齐全，程序规范。综上所述，该指标得3分，得分率100%</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仿宋_GB2312" w:cs="Times New Roman"/>
          <w:b/>
          <w:bCs/>
          <w:snapToGrid/>
          <w:spacing w:val="0"/>
          <w:kern w:val="2"/>
          <w:sz w:val="32"/>
          <w:szCs w:val="32"/>
          <w:lang w:val="en-US" w:eastAsia="zh-CN" w:bidi="ar-SA"/>
        </w:rPr>
      </w:pPr>
      <w:r>
        <w:rPr>
          <w:rFonts w:hint="default" w:ascii="Times New Roman" w:hAnsi="Times New Roman" w:eastAsia="仿宋_GB2312" w:cs="Times New Roman"/>
          <w:b/>
          <w:bCs/>
          <w:snapToGrid/>
          <w:spacing w:val="0"/>
          <w:kern w:val="2"/>
          <w:sz w:val="32"/>
          <w:szCs w:val="32"/>
          <w:lang w:val="en-US" w:eastAsia="zh-CN" w:bidi="ar-SA"/>
        </w:rPr>
        <w:t>2.绩效目标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1）绩效目标合理性（总分6分，得分3.6分）。经查看区住建局提供的项目目标申报表，项目设立了总体目标和年度目标，本项目年度目标为“通过借助第三方专业服务企业的技术，确保道路干净整洁，保持园林景观美观，植物生长健康，提升环境质量，提升城市的整体形象和品质，促进文明城市创建，提升居民生活质量，增加居民日常休闲娱乐场所。”，该项目包括城乡环卫保洁工程、园林绿化及公园管理、市政设施养护，但绩效目标总体内容里未体现市政设施养护方面的相关内容，且总体目标内容描述里，无项目实施具体内容量化数据。故项目总体目标内容描述不够完整、不明确性。综上所述，该指标得3.6分，得分率为60%</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2）绩效指标明确性（总分6分，得分3分）。根据区住建局提供的“市政、园林、环卫一体化”第三方服务采购项目绩效目标申报表，区住建局已将项目绩效目标细化分解为数量、质量、时效、经济成本、社会效益、生态效益、满意度等具体的绩效指标，产出指标与项目实施内容相关，与项目目标计划数对应，预期产出效益符合正常业绩水平，与预算确定的项目投资额相匹配。但该项目将年度绩效目标分解为8条绩效指标，2条指标为定性指标，指标不够细化、不可衡量。成本指标设置总成本，未根据项目实施方案细化分解，指标设置不够细化。综上所述，该指标得3分，得分率为50%</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3.资金投入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1）预算编制科学性（总分3分，得分3分）。该项目预算编制主要依据《关于批复2025年部门预算“二下”指标的通知》（伊区财〔2025〕3号）“市政、园林、环卫一体化”第三方服务采购项目经营合作协议书等文件确定的项目实施内容，结合本年度实际建设城乡环卫保洁工程量、园林绿化及公园管理面积、市政设施养护工程量进行测算，项目预算编制依据充分、合理。该项目整体预算金额为26980.13万元，项目预算编制细化度良好。综上所述，该指标得3分，得分率100%</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2）资金分配合理性（总分3分，得分3分）。该项目预算资金分配主要依据区财政局预算批复，按照“市政、园林、环卫一体化”第三方服务采购项目进行分配，资金分配与单位项目实施细则实际所需相符。本项目资金分配依据充分，额度分配合理。综上所述，该指标得3分，得分率100%</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default" w:ascii="Times New Roman" w:hAnsi="Times New Roman" w:eastAsia="楷体" w:cs="Times New Roman"/>
          <w:b w:val="0"/>
          <w:bCs w:val="0"/>
          <w:spacing w:val="0"/>
          <w:sz w:val="32"/>
          <w:szCs w:val="32"/>
        </w:rPr>
      </w:pPr>
      <w:bookmarkStart w:id="13" w:name="bookmark11"/>
      <w:bookmarkEnd w:id="13"/>
      <w:r>
        <w:rPr>
          <w:rFonts w:hint="default" w:ascii="Times New Roman" w:hAnsi="Times New Roman" w:eastAsia="楷体" w:cs="Times New Roman"/>
          <w:b w:val="0"/>
          <w:bCs w:val="0"/>
          <w:spacing w:val="0"/>
          <w:sz w:val="32"/>
          <w:szCs w:val="32"/>
        </w:rPr>
        <w:t>（二）项目过程情况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过程指标主要包括资金管理、组织实施2项二级指标，5项三级指标，此项评价满分为16分，绩效评价得分14.84分，得分率92.75%，具体分析如下</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仿宋_GB2312" w:cs="Times New Roman"/>
          <w:b/>
          <w:bCs/>
          <w:snapToGrid/>
          <w:spacing w:val="0"/>
          <w:kern w:val="2"/>
          <w:sz w:val="32"/>
          <w:szCs w:val="32"/>
          <w:lang w:val="en-US" w:eastAsia="zh-CN" w:bidi="ar-SA"/>
        </w:rPr>
      </w:pPr>
      <w:r>
        <w:rPr>
          <w:rFonts w:hint="default" w:ascii="Times New Roman" w:hAnsi="Times New Roman" w:eastAsia="仿宋_GB2312" w:cs="Times New Roman"/>
          <w:b/>
          <w:bCs/>
          <w:snapToGrid/>
          <w:spacing w:val="0"/>
          <w:kern w:val="2"/>
          <w:sz w:val="32"/>
          <w:szCs w:val="32"/>
          <w:lang w:val="en-US" w:eastAsia="zh-CN" w:bidi="ar-SA"/>
        </w:rPr>
        <w:t>1.资金管理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1）资金到位率（总分4分，得分4分）。该项目全年预算批复金额为26980.13万元，依据区住建局一体化支付系统数据及单位财务数据分析，本项目资金实际到位26980.13万元，资金到位率为100%。综上所述，该指标得4分，得分率100%</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2）预算执行率（总分4分，得分3.84分）。该项目全年预算26980.13万元，实际到位26980.13万元，依据单位结算申请审批单、银行回单及国库集中支付凭证，截至2025年底本项目实际执行金额共计25930.18万元，项目预算资金执行率为96.11%。综上所述，该指标得3.84分，得分率96%。</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3）资金使用合规性（总分4分，得分4分）。该项目资金支付依据财政预算批复，项目资金支出方向包含建设城乡环卫保洁工程量、园林绿化及公园管理面积、市政设施养护工程量内容，经评价组核实各项资金国库集中支付凭证可知，项目各分项支出用途与预算批复内容相符；资金支付前，经单位主管领导审批后进行支付，资金支付流程符合区住建局财务制度，项目资金使用合规。综上所述，该指标分值4分，得分率100%</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仿宋_GB2312" w:cs="Times New Roman"/>
          <w:b/>
          <w:bCs/>
          <w:snapToGrid/>
          <w:spacing w:val="0"/>
          <w:kern w:val="2"/>
          <w:sz w:val="32"/>
          <w:szCs w:val="32"/>
          <w:lang w:val="en-US" w:eastAsia="zh-CN" w:bidi="ar-SA"/>
        </w:rPr>
      </w:pPr>
      <w:r>
        <w:rPr>
          <w:rFonts w:hint="default" w:ascii="Times New Roman" w:hAnsi="Times New Roman" w:eastAsia="仿宋_GB2312" w:cs="Times New Roman"/>
          <w:b/>
          <w:bCs/>
          <w:snapToGrid/>
          <w:spacing w:val="0"/>
          <w:kern w:val="2"/>
          <w:sz w:val="32"/>
          <w:szCs w:val="32"/>
          <w:lang w:val="en-US" w:eastAsia="zh-CN" w:bidi="ar-SA"/>
        </w:rPr>
        <w:t>2.组织实施</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1）管理制度健全性（总分2分，得2分）。哈密市伊州区住建局作为本项目实施单位，已制定单位财务管理制度，明确了单位预算管理、收支管理、采购管理、资产、建设项目工作等方面相关要求，业务层面，项目依据相关文件、项目管理考核办法、业务管理制度合法、合规且完整健全。综上所述，该指标得2分，得分率100%</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 w:cs="Times New Roman"/>
          <w:spacing w:val="0"/>
          <w:sz w:val="31"/>
          <w:szCs w:val="31"/>
        </w:rPr>
        <w:t>（</w:t>
      </w:r>
      <w:r>
        <w:rPr>
          <w:rFonts w:hint="default" w:ascii="Times New Roman" w:hAnsi="Times New Roman" w:eastAsia="仿宋_GB2312" w:cs="Times New Roman"/>
          <w:snapToGrid/>
          <w:spacing w:val="0"/>
          <w:kern w:val="2"/>
          <w:sz w:val="32"/>
          <w:szCs w:val="32"/>
          <w:lang w:val="en-US" w:eastAsia="zh-CN" w:bidi="ar-SA"/>
        </w:rPr>
        <w:t>2）制度执行有效性（总分2分，得分1分）。该项目经费支出按照区住建局项目管理制度、一体化项目考核制度进行审批，审批文件齐全，项目涉及预算调整手续齐全完备，严格按照财政要求进行支出调整。项目最初是由哈密市伊州区城市管理执法局牵头与哈密市城市建设发展有限公司签订合同，因2025年该部门单位机构改革并撤销，项目由区住建局重新签订变更合同，并将项目分配给伊州区城市公共事业服务中心监督考核管理。但项目前期资料如项目可研、项目资金下达文件、项目前期批复等文件保存不当，导致项目资料存在缺失、资料不全的情况，故项目档案归档不及时、档案管理不规范。综上所述，该指标得1分，得分率50%</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default" w:ascii="Times New Roman" w:hAnsi="Times New Roman" w:eastAsia="楷体" w:cs="Times New Roman"/>
          <w:b w:val="0"/>
          <w:bCs w:val="0"/>
          <w:spacing w:val="0"/>
          <w:sz w:val="32"/>
          <w:szCs w:val="32"/>
        </w:rPr>
      </w:pPr>
      <w:bookmarkStart w:id="14" w:name="bookmark12"/>
      <w:bookmarkEnd w:id="14"/>
      <w:r>
        <w:rPr>
          <w:rFonts w:hint="default" w:ascii="Times New Roman" w:hAnsi="Times New Roman" w:eastAsia="楷体" w:cs="Times New Roman"/>
          <w:b w:val="0"/>
          <w:bCs w:val="0"/>
          <w:spacing w:val="0"/>
          <w:sz w:val="32"/>
          <w:szCs w:val="32"/>
        </w:rPr>
        <w:t>（三）项目产出情况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产出指标主要包括产出数量、产出质量、产出时效、产出成本4项二级指标，7项三级指标，此项评价满分为40分，绩效评价得分35.5分，得分率88.75%，具体分析如下：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1.产出数量</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left"/>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1）城区及国省道路保洁面积（总分6分，得分6分）。经评价组核实，“市政、园林、环卫一体化”第三方服务采购项目，城区及国省道路保洁面积应完成12629003.66平方米，具体涉及区域如下：一级道路保洁面积1997482.06㎡、二级道路保洁面积4745487.26㎡、三级道路保洁面积3282126.396㎡、四级道路保洁面积2585307.94㎡、四级国道保洁面积18600㎡。目前，根据区住建局提供的项目实施方案及每月考核数据，上述城区级国省道路保洁面积已实际完成，与“市政、园林、环卫一体化”第三方服务采购项目合同协议书要求一致。综上所述，该指标得6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2）垃圾清运中转站（总分7分，得分3.5分）。经评价组现场调研核实，“市政、园林、环卫一体化”第三方服务采购项目合同中涉及4个垃圾清运中转站，包含：育英路转运站、西戈壁转运站、波尔多转运站和创业路转运站。但是根据区住建局提供的项目实施方案、每月考核数据及评价组现场调研情况可知，上述4座垃圾清运中转站，育英路转运站和西戈壁转运站投入使用，波尔多转运站和创业路转运站并未投入使用，导致实际使用的垃圾清运中转站数量与实施方案中存在不符的情况。综上所述，该指标得3.5分，得分率50%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3）园林绿化及公园管理面积（总分5分，得分5分）。经评价组核实，“市政、园林、环卫一体化”第三方服务采购项目，园林绿化及公园管理面积应完成6842546.11平方米，具体包含2个广场和11个园林组成，园林管护面积由合同签订确定为6842546.11平方米，但随着基础设施及园林面积产生变化，区住建局和哈密市北控北控城市服务有限公司重新签订了补充协议，将园林绿化及公园管理细则补充完善。目前通过项目实施方案、每月考核数据可知，园林绿化及公园管理面积与合同协议书上要求一致。综上所述，该指标得5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4）路灯照明设施管养数量（总分4分，得分4分）。经评价组核实，“市政、园林、环卫一体化”第三方服务采购项目，路灯照明设施管养数量应完成灯头19518盏，具体涉及城区163条道路及周边。目前通过项目实施方案、每月考核数据可知，路灯维护工作完成路灯9759根（灯头19518盏），同时包含路灯箱边、路灯电缆、路灯检查井、路灯配电柜等维护工作。路灯照明设施管养完成工作与合同协议书上要求一致。综上所述，该指标得4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仿宋_GB2312" w:cs="Times New Roman"/>
          <w:b/>
          <w:bCs/>
          <w:snapToGrid/>
          <w:spacing w:val="0"/>
          <w:kern w:val="2"/>
          <w:sz w:val="32"/>
          <w:szCs w:val="32"/>
          <w:lang w:val="en-US" w:eastAsia="zh-CN" w:bidi="ar-SA"/>
        </w:rPr>
      </w:pPr>
      <w:r>
        <w:rPr>
          <w:rFonts w:hint="default" w:ascii="Times New Roman" w:hAnsi="Times New Roman" w:eastAsia="仿宋_GB2312" w:cs="Times New Roman"/>
          <w:b/>
          <w:bCs/>
          <w:snapToGrid/>
          <w:spacing w:val="0"/>
          <w:kern w:val="2"/>
          <w:sz w:val="32"/>
          <w:szCs w:val="32"/>
          <w:lang w:val="en-US" w:eastAsia="zh-CN" w:bidi="ar-SA"/>
        </w:rPr>
        <w:t>2.产出质量</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项目验收合格率（总分7分，得分7分）。据评价组核实，“市政、园林、环卫一体化”项目，根据区住建局和哈密北控城市服务有限公司签订的补充协议中，关于运营期绩效考核标准细则，伊州区城市公共事业服务中心每周会不定期或随机对伊州区城乡环卫保洁工作、园林绿化养护工作、市政设施养护工作进行抽查检查，同时每月开展绩效考核，通过伊州区城市公共事业服务中心提供的全年的绩效考核总结报告可知，“市政、园林、环卫一体化”第三方服务采购项目，每月验收工作均达到考核合格标准。综上所述，该指标得7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仿宋_GB2312" w:cs="Times New Roman"/>
          <w:b/>
          <w:bCs/>
          <w:snapToGrid/>
          <w:spacing w:val="0"/>
          <w:kern w:val="2"/>
          <w:sz w:val="32"/>
          <w:szCs w:val="32"/>
          <w:lang w:val="en-US" w:eastAsia="zh-CN" w:bidi="ar-SA"/>
        </w:rPr>
      </w:pPr>
      <w:r>
        <w:rPr>
          <w:rFonts w:hint="default" w:ascii="Times New Roman" w:hAnsi="Times New Roman" w:eastAsia="仿宋_GB2312" w:cs="Times New Roman"/>
          <w:b/>
          <w:bCs/>
          <w:snapToGrid/>
          <w:spacing w:val="0"/>
          <w:kern w:val="2"/>
          <w:sz w:val="32"/>
          <w:szCs w:val="32"/>
          <w:lang w:val="en-US" w:eastAsia="zh-CN" w:bidi="ar-SA"/>
        </w:rPr>
        <w:t>3.产出时效</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项目资金支付及时率（总分6分，得分5分）。经评价组核实，“市政、园林、环卫一体化”项目，每月伊州区城市公共事业服务中心会将考核报告上报给区住建局，区住建局会将预算金额按照合约支付给哈密市北控北控城市服务有限公司，费用包含两个主要部分，一部分是公司聘用人员工资，另一部分费用是公司运营服务费，项目截止到2025年12月，12月当月费用支付了人员工资部分，剩余公司运营部分未支付。目前项目正在审计中，同时核算项目运营期间增加工作内容和减少工作内容的支出明细，例如垃圾清运站，年初合同约定为4座，截止年底，实际运营2座，根据合同，该部分资金需要扣减。项目截至目前，“市政、园林、环卫一体化”项目未支出12月公司运营部分资金，待项目审计结束，支付剩余资金，目前项目存在资金支付不及时的情况。综上所述，该指标得5分，得分率83.33%。</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仿宋_GB2312" w:cs="Times New Roman"/>
          <w:b/>
          <w:bCs/>
          <w:snapToGrid/>
          <w:spacing w:val="0"/>
          <w:kern w:val="2"/>
          <w:sz w:val="32"/>
          <w:szCs w:val="32"/>
          <w:lang w:val="en-US" w:eastAsia="zh-CN" w:bidi="ar-SA"/>
        </w:rPr>
      </w:pPr>
      <w:r>
        <w:rPr>
          <w:rFonts w:hint="default" w:ascii="Times New Roman" w:hAnsi="Times New Roman" w:eastAsia="仿宋_GB2312" w:cs="Times New Roman"/>
          <w:b/>
          <w:bCs/>
          <w:snapToGrid/>
          <w:spacing w:val="0"/>
          <w:kern w:val="2"/>
          <w:sz w:val="32"/>
          <w:szCs w:val="32"/>
          <w:lang w:val="en-US" w:eastAsia="zh-CN" w:bidi="ar-SA"/>
        </w:rPr>
        <w:t>4.产出成本</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项目实施费用（总分5分，得分5分）。根据项目单位提供的财务决算报表、国库集中支付凭证等资料，该项目总预算资金26980.13万元，项目截止到2025年12月底，实际支付金额为25930.18万元，支付率为96.11%，项目总成本未超出预算总额。综上所述，该指标得5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仿宋_GB2312" w:cs="Times New Roman"/>
          <w:b/>
          <w:bCs/>
          <w:snapToGrid/>
          <w:spacing w:val="0"/>
          <w:kern w:val="2"/>
          <w:sz w:val="32"/>
          <w:szCs w:val="32"/>
          <w:lang w:val="en-US" w:eastAsia="zh-CN" w:bidi="ar-SA"/>
        </w:rPr>
      </w:pPr>
      <w:bookmarkStart w:id="15" w:name="bookmark13"/>
      <w:bookmarkEnd w:id="15"/>
      <w:r>
        <w:rPr>
          <w:rFonts w:hint="default" w:ascii="Times New Roman" w:hAnsi="Times New Roman" w:eastAsia="仿宋_GB2312" w:cs="Times New Roman"/>
          <w:b/>
          <w:bCs/>
          <w:snapToGrid/>
          <w:spacing w:val="0"/>
          <w:kern w:val="2"/>
          <w:sz w:val="32"/>
          <w:szCs w:val="32"/>
          <w:lang w:val="en-US" w:eastAsia="zh-CN" w:bidi="ar-SA"/>
        </w:rPr>
        <w:t>（四）项目效益情况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效益指标主要包括项目效益、满意度2项二级指标，3项三级指标，此项评价满分为20分，绩效评价得分20分，得分率100%，具体分析如下：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仿宋_GB2312" w:cs="Times New Roman"/>
          <w:b/>
          <w:bCs/>
          <w:snapToGrid/>
          <w:spacing w:val="0"/>
          <w:kern w:val="2"/>
          <w:sz w:val="32"/>
          <w:szCs w:val="32"/>
          <w:lang w:val="en-US" w:eastAsia="zh-CN" w:bidi="ar-SA"/>
        </w:rPr>
      </w:pPr>
      <w:r>
        <w:rPr>
          <w:rFonts w:hint="default" w:ascii="Times New Roman" w:hAnsi="Times New Roman" w:eastAsia="仿宋_GB2312" w:cs="Times New Roman"/>
          <w:b/>
          <w:bCs/>
          <w:snapToGrid/>
          <w:spacing w:val="0"/>
          <w:kern w:val="2"/>
          <w:sz w:val="32"/>
          <w:szCs w:val="32"/>
          <w:lang w:val="en-US" w:eastAsia="zh-CN" w:bidi="ar-SA"/>
        </w:rPr>
        <w:t>1.社会效益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1）增加就业岗位（总分8分，得分8分）。经评价组核实，区住建局开展“市政、园林、环卫一体化”项目时，与哈密市北控北控城市服务有限公司签订合同，哈密市北控北控城市服务有限公司面向社会招聘了585人，根据部门单位提供的9月工资发放表，其中：园林社招人员296人，环卫人工社招人员180人，环卫机械社招人员109人。通过每月工资发放表可知，每月人员会有所增加或减少，该项目的实施，为社会群众增加了就业岗位，为社招人员提供了一份就业保障。综上所述，该指标得8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2）提升居民生活质量和幸福指数（总分6分，得分6分）。经评价组核实，区住建局通过开展“市政、园林、环卫一体化”项目，主要内容为三部分：城乡环卫保洁运营工作内容包含：道路清扫保洁服务面积12629003.66平方米、城区垃圾收运每年124319.57吨/年，城区114所公厕保洁工作、垃圾填埋场1座、城区冬季除雪面积9022901.12平方米。园林绿化及公园管理面积达6842546.11平方米，主要包含园林绿化养护、道路清洁、园林公园标识标牌、座凳和垃圾桶等各类景观设施设备的修护养护工作。市政养护工作包含：市政道路桥梁养护工作，如主车道、慢车道、人行道（护栏、路沿石、路平石、镶边石等）、排水管网、桥梁等设施修护养护工作。全区路灯9759根（灯头19518盏）养护工作，包含路灯箱变、路灯电缆、路灯检查井、路灯配电柜等维修养</w:t>
      </w:r>
      <w:bookmarkStart w:id="16" w:name="bookmark22"/>
      <w:bookmarkEnd w:id="16"/>
      <w:r>
        <w:rPr>
          <w:rFonts w:hint="default" w:ascii="Times New Roman" w:hAnsi="Times New Roman" w:eastAsia="仿宋_GB2312" w:cs="Times New Roman"/>
          <w:snapToGrid/>
          <w:spacing w:val="0"/>
          <w:kern w:val="2"/>
          <w:sz w:val="32"/>
          <w:szCs w:val="32"/>
          <w:lang w:val="en-US" w:eastAsia="zh-CN" w:bidi="ar-SA"/>
        </w:rPr>
        <w:t>护工作。而且通过智慧环卫系统，全天24小时监控工作区域，如出现问题，立即报修整改。通过项目三个方面落实了“市政、园林、环卫一体化”项目的养护工作，保障市民不同需求，大大提升居民的生活质量和生活便捷度。综上所述，该指标得6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仿宋_GB2312" w:cs="Times New Roman"/>
          <w:b/>
          <w:bCs/>
          <w:snapToGrid/>
          <w:spacing w:val="0"/>
          <w:kern w:val="2"/>
          <w:sz w:val="32"/>
          <w:szCs w:val="32"/>
          <w:lang w:val="en-US" w:eastAsia="zh-CN" w:bidi="ar-SA"/>
        </w:rPr>
      </w:pPr>
      <w:r>
        <w:rPr>
          <w:rFonts w:hint="default" w:ascii="Times New Roman" w:hAnsi="Times New Roman" w:eastAsia="仿宋_GB2312" w:cs="Times New Roman"/>
          <w:b/>
          <w:bCs/>
          <w:snapToGrid/>
          <w:spacing w:val="0"/>
          <w:kern w:val="2"/>
          <w:sz w:val="32"/>
          <w:szCs w:val="32"/>
          <w:lang w:val="en-US" w:eastAsia="zh-CN" w:bidi="ar-SA"/>
        </w:rPr>
        <w:t>2.满意度</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城市居民满意度（总分6分，得分6分）。根据该项目主要实施内容，项目主要考察城市居民对本项目开展的满意度程度，评价组随机发放50份问卷，实际收回50份问卷，对城市道路环卫清洁工作满意度、对城市公园、广场绿化和保洁工作满意度、对每日居住区域的垃圾回收工作满意度、对每日市政清扫、清运车辆的出行是否造成您出行影响方面、对城区内市政养护的设施设备满意度，5个方面做出满意度调查，受益对象整体满意度达99%。综上所述，该指标得6分，得分率100%</w:t>
      </w:r>
      <w:r>
        <w:rPr>
          <w:rFonts w:hint="default" w:ascii="Times New Roman" w:hAnsi="Times New Roman" w:eastAsia="仿宋" w:cs="Times New Roman"/>
          <w:spacing w:val="0"/>
          <w:sz w:val="31"/>
          <w:szCs w:val="31"/>
        </w:rPr>
        <w:t>。</w:t>
      </w:r>
      <w:bookmarkStart w:id="17" w:name="bookmark23"/>
      <w:bookmarkEnd w:id="17"/>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cs="Times New Roman"/>
          <w:spacing w:val="0"/>
          <w:sz w:val="32"/>
          <w:szCs w:val="32"/>
        </w:rPr>
      </w:pPr>
      <w:r>
        <w:rPr>
          <w:rFonts w:hint="default" w:ascii="Times New Roman" w:hAnsi="Times New Roman" w:eastAsia="黑体" w:cs="Times New Roman"/>
          <w:spacing w:val="0"/>
          <w:sz w:val="32"/>
          <w:szCs w:val="32"/>
        </w:rPr>
        <w:t>五、主要经验及做法、存在的问题及分析</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default" w:ascii="Times New Roman" w:hAnsi="Times New Roman" w:eastAsia="楷体" w:cs="Times New Roman"/>
          <w:b w:val="0"/>
          <w:bCs w:val="0"/>
          <w:spacing w:val="0"/>
          <w:sz w:val="32"/>
          <w:szCs w:val="32"/>
        </w:rPr>
      </w:pPr>
      <w:bookmarkStart w:id="18" w:name="bookmark14"/>
      <w:bookmarkEnd w:id="18"/>
      <w:bookmarkStart w:id="19" w:name="bookmark15"/>
      <w:bookmarkEnd w:id="19"/>
      <w:r>
        <w:rPr>
          <w:rFonts w:hint="default" w:ascii="Times New Roman" w:hAnsi="Times New Roman" w:eastAsia="楷体" w:cs="Times New Roman"/>
          <w:b w:val="0"/>
          <w:bCs w:val="0"/>
          <w:spacing w:val="0"/>
          <w:sz w:val="32"/>
          <w:szCs w:val="32"/>
        </w:rPr>
        <w:t>（一）主要经验及做法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1.项目立项依据充分，程序规范。项目立项依据充分，程序规范。本项目立项依据相关文件设立。2025年度，用制度和流程规范项目管理和财务管理的各个环节，将项目管理过程中的相关法律法规作为制度和流程的骨架和根本。项目工作形成的具备基础功能的项目与财务管理制度和流程，项目实施过程中的各项环节能够在制度的框架内基本有序运行，因此，2025年“市政、园林、环卫一体化”第三方服务采购项目总体上得以有序开展，申报预算前，区住建局对建设“市政、园林、环卫一体化”项目地理位置和涉及项目实施面积进行测算，经本单位内部审批决议后，向区财政申请预算资金，录入项目库，立项审批资料齐全，程序规范</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default" w:ascii="Times New Roman" w:hAnsi="Times New Roman" w:eastAsia="楷体" w:cs="Times New Roman"/>
          <w:b w:val="0"/>
          <w:bCs w:val="0"/>
          <w:spacing w:val="0"/>
          <w:sz w:val="32"/>
          <w:szCs w:val="32"/>
        </w:rPr>
      </w:pPr>
      <w:bookmarkStart w:id="20" w:name="bookmark17"/>
      <w:bookmarkEnd w:id="20"/>
      <w:bookmarkStart w:id="21" w:name="bookmark16"/>
      <w:bookmarkEnd w:id="21"/>
      <w:r>
        <w:rPr>
          <w:rFonts w:hint="default" w:ascii="Times New Roman" w:hAnsi="Times New Roman" w:eastAsia="楷体" w:cs="Times New Roman"/>
          <w:b w:val="0"/>
          <w:bCs w:val="0"/>
          <w:spacing w:val="0"/>
          <w:sz w:val="32"/>
          <w:szCs w:val="32"/>
        </w:rPr>
        <w:t>（二）存在问题及分析</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b/>
          <w:bCs/>
          <w:snapToGrid/>
          <w:spacing w:val="0"/>
          <w:kern w:val="2"/>
          <w:sz w:val="32"/>
          <w:szCs w:val="32"/>
          <w:lang w:val="en-US" w:eastAsia="zh-CN" w:bidi="ar-SA"/>
        </w:rPr>
        <w:t>1.项目绩效管理水平有待提升</w:t>
      </w:r>
      <w:r>
        <w:rPr>
          <w:rFonts w:hint="default" w:ascii="Times New Roman" w:hAnsi="Times New Roman" w:eastAsia="仿宋" w:cs="Times New Roman"/>
          <w:b/>
          <w:bCs/>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snapToGrid/>
          <w:spacing w:val="0"/>
          <w:kern w:val="2"/>
          <w:sz w:val="32"/>
          <w:szCs w:val="32"/>
          <w:lang w:val="en-US" w:eastAsia="zh-CN" w:bidi="ar-SA"/>
        </w:rPr>
        <w:t>部门单位设置年度绩效目标时，未根据项目实际情况设置目标，经实地核查，该项主要涉及的购买服务内容为三部分，分别是：城乡环卫保洁管理、园林绿化及公园管理、市政设施养护，但绩效目标表中，数量指标只设置了城乡环卫保洁管理方面的内容，未体现园林绿化及公园管理、市政设施养护方面的核心指标。成本指标设置的是项目总成本，未根据项目测算依据分为城乡环卫保洁管理、园林绿化及公园管理、市政设施养护内容分别设置，故绩效目标设定不够完整，指标内容细化程度不足</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b/>
          <w:bCs/>
          <w:snapToGrid/>
          <w:spacing w:val="0"/>
          <w:kern w:val="2"/>
          <w:sz w:val="32"/>
          <w:szCs w:val="32"/>
          <w:lang w:val="en-US" w:eastAsia="zh-CN" w:bidi="ar-SA"/>
        </w:rPr>
        <w:t>2.项目档案管理不规范。</w:t>
      </w:r>
      <w:r>
        <w:rPr>
          <w:rFonts w:hint="default" w:ascii="Times New Roman" w:hAnsi="Times New Roman" w:eastAsia="仿宋_GB2312" w:cs="Times New Roman"/>
          <w:snapToGrid/>
          <w:spacing w:val="0"/>
          <w:kern w:val="2"/>
          <w:sz w:val="32"/>
          <w:szCs w:val="32"/>
          <w:lang w:val="en-US" w:eastAsia="zh-CN" w:bidi="ar-SA"/>
        </w:rPr>
        <w:t>区住建局作为项目主管单位，哈密市伊州区城市公共事业服务中心作为项目实施单位，项目前期可行性研究报告、项目立项文件、项目前期批复文件、资金下达文件等相关项目资料，在与哈密市伊州区城市执法局项目交接时，未做到妥善交接和处理，导致项目档案资料保管不全，项目资料档案管理存在不规范的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b/>
          <w:bCs/>
          <w:snapToGrid/>
          <w:spacing w:val="0"/>
          <w:kern w:val="2"/>
          <w:sz w:val="32"/>
          <w:szCs w:val="32"/>
          <w:lang w:val="en-US" w:eastAsia="zh-CN" w:bidi="ar-SA"/>
        </w:rPr>
        <w:t>3.项目资金执行率不足。</w:t>
      </w:r>
      <w:r>
        <w:rPr>
          <w:rFonts w:hint="default" w:ascii="Times New Roman" w:hAnsi="Times New Roman" w:eastAsia="仿宋_GB2312" w:cs="Times New Roman"/>
          <w:snapToGrid/>
          <w:spacing w:val="0"/>
          <w:kern w:val="2"/>
          <w:sz w:val="32"/>
          <w:szCs w:val="32"/>
          <w:lang w:val="en-US" w:eastAsia="zh-CN" w:bidi="ar-SA"/>
        </w:rPr>
        <w:t>2025年“市政、园林、环卫一体化”第三方服务采购项目实际到位资金为26980.13万元。根据国库集中支付凭证、发票等资料，截至2025年12月31日，本项目实际支出25930.18万元，项目预算执行率为96.11%，本项目存在资金执行不到位的情况</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0"/>
        <w:rPr>
          <w:rFonts w:hint="default" w:ascii="Times New Roman" w:hAnsi="Times New Roman" w:eastAsia="黑体" w:cs="Times New Roman"/>
          <w:spacing w:val="0"/>
          <w:sz w:val="32"/>
          <w:szCs w:val="32"/>
        </w:rPr>
      </w:pPr>
      <w:r>
        <w:rPr>
          <w:rFonts w:hint="default" w:ascii="Times New Roman" w:hAnsi="Times New Roman" w:eastAsia="黑体" w:cs="Times New Roman"/>
          <w:spacing w:val="0"/>
          <w:sz w:val="32"/>
          <w:szCs w:val="32"/>
        </w:rPr>
        <w:t>六、相关建议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仿宋_GB2312" w:cs="Times New Roman"/>
          <w:b/>
          <w:bCs/>
          <w:snapToGrid/>
          <w:spacing w:val="0"/>
          <w:kern w:val="2"/>
          <w:sz w:val="32"/>
          <w:szCs w:val="32"/>
          <w:lang w:val="en-US" w:eastAsia="zh-CN" w:bidi="ar-SA"/>
        </w:rPr>
      </w:pPr>
      <w:bookmarkStart w:id="22" w:name="bookmark18"/>
      <w:bookmarkEnd w:id="22"/>
      <w:r>
        <w:rPr>
          <w:rFonts w:hint="default" w:ascii="Times New Roman" w:hAnsi="Times New Roman" w:eastAsia="仿宋_GB2312" w:cs="Times New Roman"/>
          <w:b/>
          <w:bCs/>
          <w:snapToGrid/>
          <w:spacing w:val="0"/>
          <w:kern w:val="2"/>
          <w:sz w:val="32"/>
          <w:szCs w:val="32"/>
          <w:lang w:val="en-US" w:eastAsia="zh-CN" w:bidi="ar-SA"/>
        </w:rPr>
        <w:t>1.深化绩效意识，发挥绩效管理对项目指导作用。</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提升项目绩效目标编制质量。重视绩效目标的导向作用，在绩效目标编制阶段准确合理设置绩效目标，遵循“谁申请资金，谁设定目标”的原则，与项目历史业绩水平、实际情况、民政发展规划和上级政策文件充分衔接，设置符合项目特点的绩效目标，并分解为细化、可衡量、可评价的绩效指标。二是加强预算绩效管理学习培训力度。组织开展各业务部门预算绩效培训工作，树立正确的绩效管理观念，提高绩效管理水平。</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b/>
          <w:bCs/>
          <w:snapToGrid/>
          <w:spacing w:val="0"/>
          <w:kern w:val="2"/>
          <w:sz w:val="32"/>
          <w:szCs w:val="32"/>
          <w:lang w:val="en-US" w:eastAsia="zh-CN" w:bidi="ar-SA"/>
        </w:rPr>
        <w:t>2.完善项目资料管理制度，保障项目高效推进。</w:t>
      </w:r>
      <w:r>
        <w:rPr>
          <w:rFonts w:hint="default" w:ascii="Times New Roman" w:hAnsi="Times New Roman" w:eastAsia="仿宋_GB2312" w:cs="Times New Roman"/>
          <w:snapToGrid/>
          <w:spacing w:val="0"/>
          <w:kern w:val="2"/>
          <w:sz w:val="32"/>
          <w:szCs w:val="32"/>
          <w:lang w:val="en-US" w:eastAsia="zh-CN" w:bidi="ar-SA"/>
        </w:rPr>
        <w:t>建议完善项目资料管理制度，建立项目立项、实施、资金拨付、验收、档案归档全流程资料管理归集、保管、查阅等制度工作，实现项目资料标准化、档案资料完整性、项目可追溯的管理要求，确保相应工作有章可循、有据可依，进一步保障项目的高效推进。</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default" w:ascii="Times New Roman" w:hAnsi="Times New Roman" w:eastAsia="仿宋" w:cs="Times New Roman"/>
          <w:spacing w:val="0"/>
          <w:sz w:val="31"/>
          <w:szCs w:val="31"/>
        </w:rPr>
      </w:pPr>
      <w:r>
        <w:rPr>
          <w:rFonts w:hint="default" w:ascii="Times New Roman" w:hAnsi="Times New Roman" w:eastAsia="仿宋_GB2312" w:cs="Times New Roman"/>
          <w:b/>
          <w:bCs/>
          <w:snapToGrid/>
          <w:spacing w:val="0"/>
          <w:kern w:val="2"/>
          <w:sz w:val="32"/>
          <w:szCs w:val="32"/>
          <w:lang w:val="en-US" w:eastAsia="zh-CN" w:bidi="ar-SA"/>
        </w:rPr>
        <w:t>3.加强资金执行动态监管，提高预算执行率。</w:t>
      </w:r>
      <w:r>
        <w:rPr>
          <w:rFonts w:hint="default" w:ascii="Times New Roman" w:hAnsi="Times New Roman" w:eastAsia="仿宋_GB2312" w:cs="Times New Roman"/>
          <w:snapToGrid/>
          <w:spacing w:val="0"/>
          <w:kern w:val="2"/>
          <w:sz w:val="32"/>
          <w:szCs w:val="32"/>
          <w:lang w:val="en-US" w:eastAsia="zh-CN" w:bidi="ar-SA"/>
        </w:rPr>
        <w:t>建议单位定期对项目资金到位、支出情况进行分析，对比预算执行进度与项目施工进度的匹配度，及时发现资金执行中的偏差。对于执行进度滞后的情况，深入排查原因，确保资金执行与项目推进同步，切实提高预算执行率</w:t>
      </w:r>
      <w:r>
        <w:rPr>
          <w:rFonts w:hint="default" w:ascii="Times New Roman" w:hAnsi="Times New Roman" w:eastAsia="仿宋" w:cs="Times New Roman"/>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0"/>
        <w:rPr>
          <w:rFonts w:hint="default" w:ascii="Times New Roman" w:hAnsi="Times New Roman" w:eastAsia="黑体" w:cs="Times New Roman"/>
          <w:spacing w:val="0"/>
          <w:sz w:val="32"/>
          <w:szCs w:val="32"/>
        </w:rPr>
      </w:pPr>
      <w:r>
        <w:rPr>
          <w:rFonts w:hint="default" w:ascii="Times New Roman" w:hAnsi="Times New Roman" w:eastAsia="黑体" w:cs="Times New Roman"/>
          <w:spacing w:val="0"/>
          <w:sz w:val="32"/>
          <w:szCs w:val="32"/>
        </w:rPr>
        <w:t>七、其他需要说明的问题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napToGrid/>
          <w:spacing w:val="0"/>
          <w:kern w:val="2"/>
          <w:sz w:val="32"/>
          <w:szCs w:val="32"/>
          <w:lang w:val="en-US" w:eastAsia="zh-CN" w:bidi="ar-SA"/>
        </w:rPr>
      </w:pPr>
      <w:r>
        <w:rPr>
          <w:rFonts w:hint="default" w:ascii="Times New Roman" w:hAnsi="Times New Roman" w:eastAsia="仿宋_GB2312" w:cs="Times New Roman"/>
          <w:snapToGrid/>
          <w:spacing w:val="0"/>
          <w:kern w:val="2"/>
          <w:sz w:val="32"/>
          <w:szCs w:val="32"/>
          <w:lang w:val="en-US" w:eastAsia="zh-CN" w:bidi="ar-SA"/>
        </w:rPr>
        <w:t>根据本次绩效评价报告中所反馈的问题和建议，由项目实施单位及时研究制定整改措施，积极落实整改要求，切实改进资金管理和项目管理，并在规定的时间内，将整改情况报哈密市伊州区财政局。</w:t>
      </w:r>
    </w:p>
    <w:p>
      <w:pPr>
        <w:spacing w:line="269" w:lineRule="auto"/>
        <w:rPr>
          <w:rFonts w:hint="default" w:ascii="Times New Roman" w:hAnsi="Times New Roman" w:cs="Times New Roman"/>
          <w:sz w:val="21"/>
        </w:rPr>
      </w:pPr>
    </w:p>
    <w:p>
      <w:pPr>
        <w:spacing w:before="91" w:line="223" w:lineRule="auto"/>
        <w:ind w:firstLine="3420" w:firstLineChars="1300"/>
        <w:rPr>
          <w:rFonts w:hint="default" w:ascii="Times New Roman" w:hAnsi="Times New Roman" w:eastAsia="仿宋" w:cs="Times New Roman"/>
          <w:sz w:val="28"/>
          <w:szCs w:val="28"/>
        </w:rPr>
      </w:pPr>
      <w:r>
        <w:rPr>
          <w:rFonts w:hint="default" w:ascii="Times New Roman" w:hAnsi="Times New Roman" w:eastAsia="仿宋" w:cs="Times New Roman"/>
          <w:b/>
          <w:bCs/>
          <w:spacing w:val="-9"/>
          <w:sz w:val="28"/>
          <w:szCs w:val="28"/>
        </w:rPr>
        <w:t>附评价组组员表</w:t>
      </w:r>
    </w:p>
    <w:p>
      <w:pPr>
        <w:spacing w:line="22" w:lineRule="exact"/>
        <w:rPr>
          <w:rFonts w:hint="default" w:ascii="Times New Roman" w:hAnsi="Times New Roman" w:cs="Times New Roman"/>
        </w:rPr>
      </w:pPr>
    </w:p>
    <w:tbl>
      <w:tblPr>
        <w:tblStyle w:val="8"/>
        <w:tblW w:w="95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49"/>
        <w:gridCol w:w="1599"/>
        <w:gridCol w:w="595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8" w:hRule="atLeast"/>
        </w:trPr>
        <w:tc>
          <w:tcPr>
            <w:tcW w:w="1949" w:type="dxa"/>
            <w:vAlign w:val="top"/>
          </w:tcPr>
          <w:p>
            <w:pPr>
              <w:spacing w:before="280" w:line="224" w:lineRule="auto"/>
              <w:ind w:left="747"/>
              <w:rPr>
                <w:rFonts w:hint="default" w:ascii="Times New Roman" w:hAnsi="Times New Roman" w:eastAsia="仿宋" w:cs="Times New Roman"/>
                <w:sz w:val="24"/>
                <w:szCs w:val="24"/>
              </w:rPr>
            </w:pPr>
            <w:r>
              <w:rPr>
                <w:rFonts w:hint="default" w:ascii="Times New Roman" w:hAnsi="Times New Roman" w:eastAsia="仿宋" w:cs="Times New Roman"/>
                <w:b/>
                <w:bCs/>
                <w:spacing w:val="-11"/>
                <w:sz w:val="24"/>
                <w:szCs w:val="24"/>
              </w:rPr>
              <w:t>姓名</w:t>
            </w:r>
          </w:p>
        </w:tc>
        <w:tc>
          <w:tcPr>
            <w:tcW w:w="1599" w:type="dxa"/>
            <w:vAlign w:val="top"/>
          </w:tcPr>
          <w:p>
            <w:pPr>
              <w:spacing w:before="279" w:line="222" w:lineRule="auto"/>
              <w:ind w:left="210"/>
              <w:rPr>
                <w:rFonts w:hint="default" w:ascii="Times New Roman" w:hAnsi="Times New Roman" w:eastAsia="仿宋" w:cs="Times New Roman"/>
                <w:sz w:val="24"/>
                <w:szCs w:val="24"/>
              </w:rPr>
            </w:pPr>
            <w:r>
              <w:rPr>
                <w:rFonts w:hint="default" w:ascii="Times New Roman" w:hAnsi="Times New Roman" w:eastAsia="仿宋" w:cs="Times New Roman"/>
                <w:b/>
                <w:bCs/>
                <w:spacing w:val="-5"/>
                <w:sz w:val="24"/>
                <w:szCs w:val="24"/>
              </w:rPr>
              <w:t>评价中角色</w:t>
            </w:r>
          </w:p>
        </w:tc>
        <w:tc>
          <w:tcPr>
            <w:tcW w:w="5954" w:type="dxa"/>
            <w:vAlign w:val="top"/>
          </w:tcPr>
          <w:p>
            <w:pPr>
              <w:spacing w:before="279" w:line="220" w:lineRule="auto"/>
              <w:ind w:left="2511"/>
              <w:rPr>
                <w:rFonts w:hint="default" w:ascii="Times New Roman" w:hAnsi="Times New Roman" w:eastAsia="仿宋" w:cs="Times New Roman"/>
                <w:sz w:val="24"/>
                <w:szCs w:val="24"/>
              </w:rPr>
            </w:pPr>
            <w:r>
              <w:rPr>
                <w:rFonts w:hint="default" w:ascii="Times New Roman" w:hAnsi="Times New Roman" w:eastAsia="仿宋" w:cs="Times New Roman"/>
                <w:b/>
                <w:bCs/>
                <w:spacing w:val="-8"/>
                <w:sz w:val="24"/>
                <w:szCs w:val="24"/>
              </w:rPr>
              <w:t>工作职责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04" w:hRule="atLeast"/>
        </w:trPr>
        <w:tc>
          <w:tcPr>
            <w:tcW w:w="1949" w:type="dxa"/>
            <w:vAlign w:val="top"/>
          </w:tcPr>
          <w:p>
            <w:pPr>
              <w:pStyle w:val="9"/>
              <w:spacing w:line="264" w:lineRule="auto"/>
              <w:rPr>
                <w:rFonts w:hint="default" w:ascii="Times New Roman" w:hAnsi="Times New Roman" w:cs="Times New Roman"/>
              </w:rPr>
            </w:pPr>
          </w:p>
          <w:p>
            <w:pPr>
              <w:pStyle w:val="9"/>
              <w:spacing w:line="264" w:lineRule="auto"/>
              <w:rPr>
                <w:rFonts w:hint="default" w:ascii="Times New Roman" w:hAnsi="Times New Roman" w:cs="Times New Roman"/>
              </w:rPr>
            </w:pPr>
          </w:p>
          <w:p>
            <w:pPr>
              <w:pStyle w:val="9"/>
              <w:spacing w:line="265" w:lineRule="auto"/>
              <w:rPr>
                <w:rFonts w:hint="default" w:ascii="Times New Roman" w:hAnsi="Times New Roman" w:cs="Times New Roman"/>
              </w:rPr>
            </w:pPr>
          </w:p>
          <w:p>
            <w:pPr>
              <w:spacing w:before="78" w:line="224" w:lineRule="auto"/>
              <w:ind w:left="627"/>
              <w:rPr>
                <w:rFonts w:hint="default" w:ascii="Times New Roman" w:hAnsi="Times New Roman" w:eastAsia="仿宋" w:cs="Times New Roman"/>
                <w:sz w:val="24"/>
                <w:szCs w:val="24"/>
              </w:rPr>
            </w:pPr>
            <w:r>
              <w:rPr>
                <w:rFonts w:hint="default" w:ascii="Times New Roman" w:hAnsi="Times New Roman" w:eastAsia="仿宋" w:cs="Times New Roman"/>
                <w:spacing w:val="-6"/>
                <w:sz w:val="24"/>
                <w:szCs w:val="24"/>
              </w:rPr>
              <w:t>石云海</w:t>
            </w:r>
          </w:p>
        </w:tc>
        <w:tc>
          <w:tcPr>
            <w:tcW w:w="1599" w:type="dxa"/>
            <w:vAlign w:val="top"/>
          </w:tcPr>
          <w:p>
            <w:pPr>
              <w:pStyle w:val="9"/>
              <w:spacing w:line="264" w:lineRule="auto"/>
              <w:rPr>
                <w:rFonts w:hint="default" w:ascii="Times New Roman" w:hAnsi="Times New Roman" w:cs="Times New Roman"/>
              </w:rPr>
            </w:pPr>
          </w:p>
          <w:p>
            <w:pPr>
              <w:pStyle w:val="9"/>
              <w:spacing w:line="264" w:lineRule="auto"/>
              <w:rPr>
                <w:rFonts w:hint="default" w:ascii="Times New Roman" w:hAnsi="Times New Roman" w:cs="Times New Roman"/>
              </w:rPr>
            </w:pPr>
          </w:p>
          <w:p>
            <w:pPr>
              <w:pStyle w:val="9"/>
              <w:spacing w:line="265" w:lineRule="auto"/>
              <w:rPr>
                <w:rFonts w:hint="default" w:ascii="Times New Roman" w:hAnsi="Times New Roman" w:cs="Times New Roman"/>
              </w:rPr>
            </w:pPr>
          </w:p>
          <w:p>
            <w:pPr>
              <w:spacing w:before="78" w:line="222" w:lineRule="auto"/>
              <w:ind w:left="212"/>
              <w:rPr>
                <w:rFonts w:hint="default" w:ascii="Times New Roman" w:hAnsi="Times New Roman" w:eastAsia="仿宋" w:cs="Times New Roman"/>
                <w:sz w:val="24"/>
                <w:szCs w:val="24"/>
              </w:rPr>
            </w:pPr>
            <w:r>
              <w:rPr>
                <w:rFonts w:hint="default" w:ascii="Times New Roman" w:hAnsi="Times New Roman" w:eastAsia="仿宋" w:cs="Times New Roman"/>
                <w:spacing w:val="-4"/>
                <w:sz w:val="24"/>
                <w:szCs w:val="24"/>
              </w:rPr>
              <w:t>评价主评人</w:t>
            </w:r>
          </w:p>
        </w:tc>
        <w:tc>
          <w:tcPr>
            <w:tcW w:w="5954" w:type="dxa"/>
            <w:vAlign w:val="top"/>
          </w:tcPr>
          <w:p>
            <w:pPr>
              <w:spacing w:before="276" w:line="220" w:lineRule="auto"/>
              <w:ind w:left="234"/>
              <w:rPr>
                <w:rFonts w:hint="default" w:ascii="Times New Roman" w:hAnsi="Times New Roman" w:eastAsia="仿宋" w:cs="Times New Roman"/>
                <w:sz w:val="24"/>
                <w:szCs w:val="24"/>
              </w:rPr>
            </w:pPr>
            <w:r>
              <w:rPr>
                <w:rFonts w:hint="default" w:ascii="Times New Roman" w:hAnsi="Times New Roman" w:eastAsia="仿宋" w:cs="Times New Roman"/>
                <w:spacing w:val="-1"/>
                <w:sz w:val="24"/>
                <w:szCs w:val="24"/>
              </w:rPr>
              <w:t>负责本次评价中对部门项目评价的实施统筹、资料收</w:t>
            </w:r>
          </w:p>
          <w:p>
            <w:pPr>
              <w:spacing w:before="313" w:line="220" w:lineRule="auto"/>
              <w:ind w:left="228"/>
              <w:rPr>
                <w:rFonts w:hint="default" w:ascii="Times New Roman" w:hAnsi="Times New Roman" w:eastAsia="仿宋" w:cs="Times New Roman"/>
                <w:sz w:val="24"/>
                <w:szCs w:val="24"/>
              </w:rPr>
            </w:pPr>
            <w:r>
              <w:rPr>
                <w:rFonts w:hint="default" w:ascii="Times New Roman" w:hAnsi="Times New Roman" w:eastAsia="仿宋" w:cs="Times New Roman"/>
                <w:spacing w:val="-1"/>
                <w:sz w:val="24"/>
                <w:szCs w:val="24"/>
              </w:rPr>
              <w:t>集，整理及数据分析、撰写工作方案及评价报告并对</w:t>
            </w:r>
          </w:p>
          <w:p>
            <w:pPr>
              <w:spacing w:before="313" w:line="221" w:lineRule="auto"/>
              <w:ind w:left="1788"/>
              <w:rPr>
                <w:rFonts w:hint="default" w:ascii="Times New Roman" w:hAnsi="Times New Roman" w:eastAsia="仿宋" w:cs="Times New Roman"/>
                <w:sz w:val="24"/>
                <w:szCs w:val="24"/>
              </w:rPr>
            </w:pPr>
            <w:r>
              <w:rPr>
                <w:rFonts w:hint="default" w:ascii="Times New Roman" w:hAnsi="Times New Roman" w:eastAsia="仿宋" w:cs="Times New Roman"/>
                <w:spacing w:val="-2"/>
                <w:sz w:val="24"/>
                <w:szCs w:val="24"/>
              </w:rPr>
              <w:t>评价报告质量进行把控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7" w:hRule="atLeast"/>
        </w:trPr>
        <w:tc>
          <w:tcPr>
            <w:tcW w:w="1949" w:type="dxa"/>
            <w:vAlign w:val="top"/>
          </w:tcPr>
          <w:p>
            <w:pPr>
              <w:spacing w:before="279" w:line="223" w:lineRule="auto"/>
              <w:ind w:left="629"/>
              <w:rPr>
                <w:rFonts w:hint="default" w:ascii="Times New Roman" w:hAnsi="Times New Roman" w:eastAsia="仿宋" w:cs="Times New Roman"/>
                <w:sz w:val="24"/>
                <w:szCs w:val="24"/>
              </w:rPr>
            </w:pPr>
            <w:r>
              <w:rPr>
                <w:rFonts w:hint="default" w:ascii="Times New Roman" w:hAnsi="Times New Roman" w:eastAsia="仿宋" w:cs="Times New Roman"/>
                <w:spacing w:val="-7"/>
                <w:sz w:val="24"/>
                <w:szCs w:val="24"/>
              </w:rPr>
              <w:t>热西旦</w:t>
            </w:r>
          </w:p>
        </w:tc>
        <w:tc>
          <w:tcPr>
            <w:tcW w:w="1599" w:type="dxa"/>
            <w:vMerge w:val="restart"/>
            <w:tcBorders>
              <w:bottom w:val="nil"/>
            </w:tcBorders>
            <w:vAlign w:val="top"/>
          </w:tcPr>
          <w:p>
            <w:pPr>
              <w:pStyle w:val="9"/>
              <w:spacing w:line="251"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spacing w:before="78" w:line="221" w:lineRule="auto"/>
              <w:ind w:left="330"/>
              <w:rPr>
                <w:rFonts w:hint="default" w:ascii="Times New Roman" w:hAnsi="Times New Roman" w:eastAsia="仿宋" w:cs="Times New Roman"/>
                <w:sz w:val="24"/>
                <w:szCs w:val="24"/>
              </w:rPr>
            </w:pPr>
            <w:r>
              <w:rPr>
                <w:rFonts w:hint="default" w:ascii="Times New Roman" w:hAnsi="Times New Roman" w:eastAsia="仿宋" w:cs="Times New Roman"/>
                <w:spacing w:val="-4"/>
                <w:sz w:val="24"/>
                <w:szCs w:val="24"/>
              </w:rPr>
              <w:t>执行组员</w:t>
            </w:r>
          </w:p>
        </w:tc>
        <w:tc>
          <w:tcPr>
            <w:tcW w:w="5954" w:type="dxa"/>
            <w:vMerge w:val="restart"/>
            <w:tcBorders>
              <w:bottom w:val="nil"/>
            </w:tcBorders>
            <w:vAlign w:val="top"/>
          </w:tcPr>
          <w:p>
            <w:pPr>
              <w:spacing w:before="283" w:line="356" w:lineRule="auto"/>
              <w:ind w:left="348" w:right="217" w:hanging="114"/>
              <w:rPr>
                <w:rFonts w:hint="default" w:ascii="Times New Roman" w:hAnsi="Times New Roman" w:eastAsia="仿宋" w:cs="Times New Roman"/>
                <w:sz w:val="24"/>
                <w:szCs w:val="24"/>
              </w:rPr>
            </w:pPr>
            <w:r>
              <w:rPr>
                <w:rFonts w:hint="default" w:ascii="Times New Roman" w:hAnsi="Times New Roman" w:eastAsia="仿宋" w:cs="Times New Roman"/>
                <w:spacing w:val="-1"/>
                <w:sz w:val="24"/>
                <w:szCs w:val="24"/>
              </w:rPr>
              <w:t>负责协助与部门单位进行沟通、资料搜集、整理及数据分析等，并协助撰写工作方案及评价报告等工作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7" w:hRule="atLeast"/>
        </w:trPr>
        <w:tc>
          <w:tcPr>
            <w:tcW w:w="1949" w:type="dxa"/>
            <w:vAlign w:val="top"/>
          </w:tcPr>
          <w:p>
            <w:pPr>
              <w:spacing w:before="276" w:line="222" w:lineRule="auto"/>
              <w:ind w:left="627"/>
              <w:rPr>
                <w:rFonts w:hint="default" w:ascii="Times New Roman" w:hAnsi="Times New Roman" w:eastAsia="仿宋" w:cs="Times New Roman"/>
                <w:sz w:val="24"/>
                <w:szCs w:val="24"/>
              </w:rPr>
            </w:pPr>
            <w:r>
              <w:rPr>
                <w:rFonts w:hint="default" w:ascii="Times New Roman" w:hAnsi="Times New Roman" w:eastAsia="仿宋" w:cs="Times New Roman"/>
                <w:spacing w:val="-6"/>
                <w:sz w:val="24"/>
                <w:szCs w:val="24"/>
              </w:rPr>
              <w:t>婫都孜</w:t>
            </w:r>
          </w:p>
        </w:tc>
        <w:tc>
          <w:tcPr>
            <w:tcW w:w="1599" w:type="dxa"/>
            <w:vMerge w:val="continue"/>
            <w:tcBorders>
              <w:top w:val="nil"/>
            </w:tcBorders>
            <w:vAlign w:val="top"/>
          </w:tcPr>
          <w:p>
            <w:pPr>
              <w:pStyle w:val="9"/>
              <w:rPr>
                <w:rFonts w:hint="default" w:ascii="Times New Roman" w:hAnsi="Times New Roman" w:cs="Times New Roman"/>
              </w:rPr>
            </w:pPr>
          </w:p>
        </w:tc>
        <w:tc>
          <w:tcPr>
            <w:tcW w:w="5954" w:type="dxa"/>
            <w:vMerge w:val="continue"/>
            <w:tcBorders>
              <w:top w:val="nil"/>
            </w:tcBorders>
            <w:vAlign w:val="top"/>
          </w:tcPr>
          <w:p>
            <w:pPr>
              <w:pStyle w:val="9"/>
              <w:rPr>
                <w:rFonts w:hint="default" w:ascii="Times New Roman" w:hAnsi="Times New Roman" w:cs="Times New Roman"/>
              </w:rPr>
            </w:pPr>
          </w:p>
        </w:tc>
      </w:tr>
    </w:tbl>
    <w:p>
      <w:pPr>
        <w:rPr>
          <w:rFonts w:hint="default" w:ascii="Times New Roman" w:hAnsi="Times New Roman" w:eastAsia="Arial" w:cs="Times New Roman"/>
          <w:sz w:val="21"/>
          <w:szCs w:val="21"/>
        </w:rPr>
        <w:sectPr>
          <w:footerReference r:id="rId4" w:type="default"/>
          <w:pgSz w:w="11906" w:h="16839"/>
          <w:pgMar w:top="2098" w:right="1587" w:bottom="1984" w:left="1587" w:header="0" w:footer="1003" w:gutter="0"/>
          <w:cols w:space="0" w:num="1"/>
          <w:rtlGutter w:val="0"/>
          <w:docGrid w:linePitch="0" w:charSpace="0"/>
        </w:sectPr>
      </w:pPr>
    </w:p>
    <w:p>
      <w:pPr>
        <w:spacing w:before="222" w:line="357" w:lineRule="auto"/>
        <w:ind w:right="765" w:firstLine="640" w:firstLineChars="200"/>
        <w:jc w:val="both"/>
        <w:rPr>
          <w:rFonts w:hint="default" w:ascii="Times New Roman" w:hAnsi="Times New Roman" w:eastAsia="仿宋_GB2312" w:cs="Times New Roman"/>
          <w:snapToGrid/>
          <w:kern w:val="2"/>
          <w:sz w:val="32"/>
          <w:szCs w:val="32"/>
          <w:lang w:val="en-US" w:eastAsia="zh-CN" w:bidi="ar-SA"/>
        </w:rPr>
      </w:pPr>
      <w:r>
        <w:rPr>
          <w:rFonts w:hint="default" w:ascii="Times New Roman" w:hAnsi="Times New Roman" w:eastAsia="仿宋_GB2312" w:cs="Times New Roman"/>
          <w:snapToGrid/>
          <w:kern w:val="2"/>
          <w:sz w:val="32"/>
          <w:szCs w:val="32"/>
          <w:lang w:val="en-US" w:eastAsia="zh-CN" w:bidi="ar-SA"/>
        </w:rPr>
        <w:t>附件1.“市政、园林、环卫一体化”第三方服务采购项目绩效评价指标体系评分表</w:t>
      </w:r>
    </w:p>
    <w:p>
      <w:pPr>
        <w:spacing w:before="222" w:line="357" w:lineRule="auto"/>
        <w:ind w:right="765" w:firstLine="640" w:firstLineChars="200"/>
        <w:jc w:val="both"/>
        <w:rPr>
          <w:rFonts w:hint="default" w:ascii="Times New Roman" w:hAnsi="Times New Roman" w:eastAsia="仿宋_GB2312" w:cs="Times New Roman"/>
          <w:snapToGrid/>
          <w:kern w:val="2"/>
          <w:sz w:val="32"/>
          <w:szCs w:val="32"/>
          <w:lang w:val="en-US" w:eastAsia="zh-CN" w:bidi="ar-SA"/>
        </w:rPr>
      </w:pPr>
      <w:r>
        <w:rPr>
          <w:rFonts w:hint="default" w:ascii="Times New Roman" w:hAnsi="Times New Roman" w:eastAsia="仿宋_GB2312" w:cs="Times New Roman"/>
          <w:snapToGrid/>
          <w:kern w:val="2"/>
          <w:sz w:val="32"/>
          <w:szCs w:val="32"/>
          <w:lang w:val="en-US" w:eastAsia="zh-CN" w:bidi="ar-SA"/>
        </w:rPr>
        <w:t>附件2.满意度调查问卷分析报告</w:t>
      </w:r>
    </w:p>
    <w:p>
      <w:pPr>
        <w:spacing w:before="222" w:line="357" w:lineRule="auto"/>
        <w:ind w:right="765" w:firstLine="640" w:firstLineChars="200"/>
        <w:jc w:val="both"/>
        <w:rPr>
          <w:rFonts w:hint="default" w:ascii="Times New Roman" w:hAnsi="Times New Roman" w:eastAsia="仿宋_GB2312" w:cs="Times New Roman"/>
          <w:snapToGrid/>
          <w:kern w:val="2"/>
          <w:sz w:val="32"/>
          <w:szCs w:val="32"/>
          <w:lang w:val="en-US" w:eastAsia="zh-CN" w:bidi="ar-SA"/>
        </w:rPr>
      </w:pPr>
      <w:r>
        <w:rPr>
          <w:rFonts w:hint="default" w:ascii="Times New Roman" w:hAnsi="Times New Roman" w:eastAsia="仿宋_GB2312" w:cs="Times New Roman"/>
          <w:snapToGrid/>
          <w:kern w:val="2"/>
          <w:sz w:val="32"/>
          <w:szCs w:val="32"/>
          <w:lang w:val="en-US" w:eastAsia="zh-CN" w:bidi="ar-SA"/>
        </w:rPr>
        <w:t>附件3.基础数据表1</w:t>
      </w:r>
    </w:p>
    <w:p>
      <w:pPr>
        <w:spacing w:before="222" w:line="357" w:lineRule="auto"/>
        <w:ind w:right="765" w:firstLine="640" w:firstLineChars="200"/>
        <w:jc w:val="both"/>
        <w:rPr>
          <w:rFonts w:hint="default" w:ascii="Times New Roman" w:hAnsi="Times New Roman" w:eastAsia="仿宋_GB2312" w:cs="Times New Roman"/>
          <w:snapToGrid/>
          <w:kern w:val="2"/>
          <w:sz w:val="32"/>
          <w:szCs w:val="32"/>
          <w:lang w:val="en-US" w:eastAsia="zh-CN" w:bidi="ar-SA"/>
        </w:rPr>
      </w:pPr>
      <w:r>
        <w:rPr>
          <w:rFonts w:hint="default" w:ascii="Times New Roman" w:hAnsi="Times New Roman" w:eastAsia="仿宋_GB2312" w:cs="Times New Roman"/>
          <w:snapToGrid/>
          <w:kern w:val="2"/>
          <w:sz w:val="32"/>
          <w:szCs w:val="32"/>
          <w:lang w:val="en-US" w:eastAsia="zh-CN" w:bidi="ar-SA"/>
        </w:rPr>
        <w:t>附件4.基础数据表2</w:t>
      </w:r>
    </w:p>
    <w:p>
      <w:pPr>
        <w:spacing w:line="228" w:lineRule="auto"/>
        <w:rPr>
          <w:rFonts w:hint="default" w:ascii="Times New Roman" w:hAnsi="Times New Roman" w:eastAsia="Times New Roman" w:cs="Times New Roman"/>
          <w:sz w:val="31"/>
          <w:szCs w:val="31"/>
        </w:rPr>
        <w:sectPr>
          <w:footerReference r:id="rId5" w:type="default"/>
          <w:pgSz w:w="11906" w:h="16839"/>
          <w:pgMar w:top="2098" w:right="1587" w:bottom="1984" w:left="1587" w:header="0" w:footer="1003" w:gutter="0"/>
          <w:cols w:space="0" w:num="1"/>
          <w:rtlGutter w:val="0"/>
          <w:docGrid w:linePitch="0" w:charSpace="0"/>
        </w:sectPr>
      </w:pPr>
    </w:p>
    <w:p>
      <w:pPr>
        <w:spacing w:line="304" w:lineRule="auto"/>
        <w:rPr>
          <w:rFonts w:hint="default" w:ascii="Times New Roman" w:hAnsi="Times New Roman" w:cs="Times New Roman"/>
          <w:sz w:val="21"/>
        </w:rPr>
      </w:pPr>
    </w:p>
    <w:p>
      <w:pPr>
        <w:spacing w:before="78" w:line="222" w:lineRule="auto"/>
        <w:ind w:left="137" w:firstLine="466" w:firstLineChars="200"/>
        <w:rPr>
          <w:rFonts w:hint="default" w:ascii="Times New Roman" w:hAnsi="Times New Roman" w:eastAsia="仿宋" w:cs="Times New Roman"/>
          <w:sz w:val="24"/>
          <w:szCs w:val="24"/>
        </w:rPr>
      </w:pPr>
      <w:r>
        <w:rPr>
          <w:rFonts w:hint="default" w:ascii="Times New Roman" w:hAnsi="Times New Roman" w:eastAsia="仿宋" w:cs="Times New Roman"/>
          <w:b/>
          <w:bCs/>
          <w:spacing w:val="-4"/>
          <w:sz w:val="24"/>
          <w:szCs w:val="24"/>
        </w:rPr>
        <w:t>附件1：“市政、园林、环卫一体化”第三方服务采购项目绩效评价指标体系评</w:t>
      </w:r>
      <w:r>
        <w:rPr>
          <w:rFonts w:hint="default" w:ascii="Times New Roman" w:hAnsi="Times New Roman" w:eastAsia="仿宋" w:cs="Times New Roman"/>
          <w:b/>
          <w:bCs/>
          <w:spacing w:val="-5"/>
          <w:sz w:val="24"/>
          <w:szCs w:val="24"/>
        </w:rPr>
        <w:t>分表</w:t>
      </w:r>
    </w:p>
    <w:p>
      <w:pPr>
        <w:spacing w:line="160" w:lineRule="exact"/>
        <w:rPr>
          <w:rFonts w:hint="default" w:ascii="Times New Roman" w:hAnsi="Times New Roman" w:cs="Times New Roman"/>
        </w:rPr>
      </w:pPr>
    </w:p>
    <w:tbl>
      <w:tblPr>
        <w:tblStyle w:val="8"/>
        <w:tblW w:w="154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331"/>
        <w:gridCol w:w="1308"/>
        <w:gridCol w:w="756"/>
        <w:gridCol w:w="2008"/>
        <w:gridCol w:w="760"/>
        <w:gridCol w:w="1011"/>
        <w:gridCol w:w="1811"/>
        <w:gridCol w:w="3959"/>
        <w:gridCol w:w="708"/>
        <w:gridCol w:w="86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9" w:hRule="atLeast"/>
        </w:trPr>
        <w:tc>
          <w:tcPr>
            <w:tcW w:w="952" w:type="dxa"/>
            <w:vAlign w:val="top"/>
          </w:tcPr>
          <w:p>
            <w:pPr>
              <w:spacing w:before="96" w:line="222" w:lineRule="auto"/>
              <w:ind w:left="12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一级指标</w:t>
            </w:r>
          </w:p>
        </w:tc>
        <w:tc>
          <w:tcPr>
            <w:tcW w:w="1331" w:type="dxa"/>
            <w:vAlign w:val="top"/>
          </w:tcPr>
          <w:p>
            <w:pPr>
              <w:spacing w:before="96"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二级指标</w:t>
            </w:r>
          </w:p>
        </w:tc>
        <w:tc>
          <w:tcPr>
            <w:tcW w:w="1308" w:type="dxa"/>
            <w:vAlign w:val="top"/>
          </w:tcPr>
          <w:p>
            <w:pPr>
              <w:spacing w:before="96"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三级指标</w:t>
            </w:r>
          </w:p>
        </w:tc>
        <w:tc>
          <w:tcPr>
            <w:tcW w:w="756" w:type="dxa"/>
            <w:vAlign w:val="top"/>
          </w:tcPr>
          <w:p>
            <w:pPr>
              <w:spacing w:before="96" w:line="222" w:lineRule="auto"/>
              <w:ind w:left="203"/>
              <w:rPr>
                <w:rFonts w:hint="default" w:ascii="Times New Roman" w:hAnsi="Times New Roman" w:eastAsia="仿宋" w:cs="Times New Roman"/>
                <w:sz w:val="18"/>
                <w:szCs w:val="18"/>
              </w:rPr>
            </w:pPr>
            <w:r>
              <w:rPr>
                <w:rFonts w:hint="default" w:ascii="Times New Roman" w:hAnsi="Times New Roman" w:eastAsia="仿宋" w:cs="Times New Roman"/>
                <w:b/>
                <w:bCs/>
                <w:spacing w:val="-8"/>
                <w:sz w:val="18"/>
                <w:szCs w:val="18"/>
              </w:rPr>
              <w:t>权重</w:t>
            </w:r>
          </w:p>
        </w:tc>
        <w:tc>
          <w:tcPr>
            <w:tcW w:w="2008" w:type="dxa"/>
            <w:vAlign w:val="top"/>
          </w:tcPr>
          <w:p>
            <w:pPr>
              <w:spacing w:before="96" w:line="222" w:lineRule="auto"/>
              <w:ind w:left="478"/>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指标解释</w:t>
            </w:r>
          </w:p>
        </w:tc>
        <w:tc>
          <w:tcPr>
            <w:tcW w:w="760" w:type="dxa"/>
            <w:vAlign w:val="top"/>
          </w:tcPr>
          <w:p>
            <w:pPr>
              <w:spacing w:before="96" w:line="222" w:lineRule="auto"/>
              <w:ind w:left="115"/>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标杆值</w:t>
            </w:r>
          </w:p>
        </w:tc>
        <w:tc>
          <w:tcPr>
            <w:tcW w:w="1011" w:type="dxa"/>
            <w:vAlign w:val="top"/>
          </w:tcPr>
          <w:p>
            <w:pPr>
              <w:spacing w:before="96" w:line="222"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评分依据</w:t>
            </w:r>
          </w:p>
        </w:tc>
        <w:tc>
          <w:tcPr>
            <w:tcW w:w="1811" w:type="dxa"/>
            <w:vAlign w:val="top"/>
          </w:tcPr>
          <w:p>
            <w:pPr>
              <w:spacing w:before="96" w:line="222" w:lineRule="auto"/>
              <w:ind w:left="479"/>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评价标准</w:t>
            </w:r>
          </w:p>
        </w:tc>
        <w:tc>
          <w:tcPr>
            <w:tcW w:w="3959" w:type="dxa"/>
            <w:vAlign w:val="top"/>
          </w:tcPr>
          <w:p>
            <w:pPr>
              <w:spacing w:before="96" w:line="222" w:lineRule="auto"/>
              <w:ind w:left="1383"/>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评分过程</w:t>
            </w:r>
          </w:p>
        </w:tc>
        <w:tc>
          <w:tcPr>
            <w:tcW w:w="708" w:type="dxa"/>
            <w:vAlign w:val="top"/>
          </w:tcPr>
          <w:p>
            <w:pPr>
              <w:spacing w:before="96"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得分</w:t>
            </w:r>
          </w:p>
        </w:tc>
        <w:tc>
          <w:tcPr>
            <w:tcW w:w="868" w:type="dxa"/>
            <w:vAlign w:val="top"/>
          </w:tcPr>
          <w:p>
            <w:pPr>
              <w:spacing w:before="96"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58" w:hRule="atLeast"/>
        </w:trPr>
        <w:tc>
          <w:tcPr>
            <w:tcW w:w="952" w:type="dxa"/>
            <w:vMerge w:val="restart"/>
            <w:tcBorders>
              <w:bottom w:val="nil"/>
            </w:tcBorders>
            <w:vAlign w:val="top"/>
          </w:tcPr>
          <w:p>
            <w:pPr>
              <w:pStyle w:val="9"/>
              <w:spacing w:line="252" w:lineRule="auto"/>
              <w:rPr>
                <w:rFonts w:hint="default" w:ascii="Times New Roman" w:hAnsi="Times New Roman" w:cs="Times New Roman"/>
              </w:rPr>
            </w:pPr>
          </w:p>
          <w:p>
            <w:pPr>
              <w:pStyle w:val="9"/>
              <w:spacing w:line="252" w:lineRule="auto"/>
              <w:rPr>
                <w:rFonts w:hint="default" w:ascii="Times New Roman" w:hAnsi="Times New Roman" w:cs="Times New Roman"/>
              </w:rPr>
            </w:pPr>
          </w:p>
          <w:p>
            <w:pPr>
              <w:pStyle w:val="9"/>
              <w:spacing w:line="252" w:lineRule="auto"/>
              <w:rPr>
                <w:rFonts w:hint="default" w:ascii="Times New Roman" w:hAnsi="Times New Roman" w:cs="Times New Roman"/>
              </w:rPr>
            </w:pPr>
          </w:p>
          <w:p>
            <w:pPr>
              <w:pStyle w:val="9"/>
              <w:spacing w:line="252" w:lineRule="auto"/>
              <w:rPr>
                <w:rFonts w:hint="default" w:ascii="Times New Roman" w:hAnsi="Times New Roman" w:cs="Times New Roman"/>
              </w:rPr>
            </w:pPr>
          </w:p>
          <w:p>
            <w:pPr>
              <w:pStyle w:val="9"/>
              <w:spacing w:line="252" w:lineRule="auto"/>
              <w:rPr>
                <w:rFonts w:hint="default" w:ascii="Times New Roman" w:hAnsi="Times New Roman" w:cs="Times New Roman"/>
              </w:rPr>
            </w:pPr>
          </w:p>
          <w:p>
            <w:pPr>
              <w:pStyle w:val="9"/>
              <w:spacing w:line="252"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spacing w:before="52" w:line="361" w:lineRule="auto"/>
              <w:ind w:left="118" w:right="210" w:hanging="11"/>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A项目决</w:t>
            </w:r>
            <w:r>
              <w:rPr>
                <w:rFonts w:hint="default" w:ascii="Times New Roman" w:hAnsi="Times New Roman" w:eastAsia="仿宋" w:cs="Times New Roman"/>
                <w:spacing w:val="-5"/>
                <w:sz w:val="16"/>
                <w:szCs w:val="16"/>
              </w:rPr>
              <w:t>策（24）</w:t>
            </w:r>
          </w:p>
        </w:tc>
        <w:tc>
          <w:tcPr>
            <w:tcW w:w="1331" w:type="dxa"/>
            <w:vMerge w:val="restart"/>
            <w:tcBorders>
              <w:bottom w:val="nil"/>
            </w:tcBorders>
            <w:vAlign w:val="top"/>
          </w:tcPr>
          <w:p>
            <w:pPr>
              <w:pStyle w:val="9"/>
              <w:spacing w:line="252" w:lineRule="auto"/>
              <w:rPr>
                <w:rFonts w:hint="default" w:ascii="Times New Roman" w:hAnsi="Times New Roman" w:cs="Times New Roman"/>
              </w:rPr>
            </w:pPr>
          </w:p>
          <w:p>
            <w:pPr>
              <w:pStyle w:val="9"/>
              <w:spacing w:line="252" w:lineRule="auto"/>
              <w:rPr>
                <w:rFonts w:hint="default" w:ascii="Times New Roman" w:hAnsi="Times New Roman" w:cs="Times New Roman"/>
              </w:rPr>
            </w:pPr>
          </w:p>
          <w:p>
            <w:pPr>
              <w:pStyle w:val="9"/>
              <w:spacing w:line="252" w:lineRule="auto"/>
              <w:rPr>
                <w:rFonts w:hint="default" w:ascii="Times New Roman" w:hAnsi="Times New Roman" w:cs="Times New Roman"/>
              </w:rPr>
            </w:pPr>
          </w:p>
          <w:p>
            <w:pPr>
              <w:pStyle w:val="9"/>
              <w:spacing w:line="252" w:lineRule="auto"/>
              <w:rPr>
                <w:rFonts w:hint="default" w:ascii="Times New Roman" w:hAnsi="Times New Roman" w:cs="Times New Roman"/>
              </w:rPr>
            </w:pPr>
          </w:p>
          <w:p>
            <w:pPr>
              <w:pStyle w:val="9"/>
              <w:spacing w:line="252" w:lineRule="auto"/>
              <w:rPr>
                <w:rFonts w:hint="default" w:ascii="Times New Roman" w:hAnsi="Times New Roman" w:cs="Times New Roman"/>
              </w:rPr>
            </w:pPr>
          </w:p>
          <w:p>
            <w:pPr>
              <w:pStyle w:val="9"/>
              <w:spacing w:line="252" w:lineRule="auto"/>
              <w:rPr>
                <w:rFonts w:hint="default" w:ascii="Times New Roman" w:hAnsi="Times New Roman" w:cs="Times New Roman"/>
              </w:rPr>
            </w:pPr>
          </w:p>
          <w:p>
            <w:pPr>
              <w:pStyle w:val="9"/>
              <w:spacing w:line="252"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spacing w:before="52" w:line="368" w:lineRule="auto"/>
              <w:ind w:left="113" w:right="380" w:hanging="10"/>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A1项目立项</w:t>
            </w:r>
            <w:r>
              <w:rPr>
                <w:rFonts w:hint="default" w:ascii="Times New Roman" w:hAnsi="Times New Roman" w:eastAsia="仿宋" w:cs="Times New Roman"/>
                <w:spacing w:val="-4"/>
                <w:sz w:val="16"/>
                <w:szCs w:val="16"/>
              </w:rPr>
              <w:t>（6）</w:t>
            </w:r>
          </w:p>
        </w:tc>
        <w:tc>
          <w:tcPr>
            <w:tcW w:w="1308" w:type="dxa"/>
            <w:vAlign w:val="top"/>
          </w:tcPr>
          <w:p>
            <w:pPr>
              <w:pStyle w:val="9"/>
              <w:spacing w:line="246" w:lineRule="auto"/>
              <w:rPr>
                <w:rFonts w:hint="default" w:ascii="Times New Roman" w:hAnsi="Times New Roman" w:cs="Times New Roman"/>
              </w:rPr>
            </w:pPr>
          </w:p>
          <w:p>
            <w:pPr>
              <w:pStyle w:val="9"/>
              <w:spacing w:line="246"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spacing w:before="52" w:line="360" w:lineRule="auto"/>
              <w:ind w:left="114" w:right="198" w:hanging="10"/>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A101立项依据</w:t>
            </w:r>
            <w:r>
              <w:rPr>
                <w:rFonts w:hint="default" w:ascii="Times New Roman" w:hAnsi="Times New Roman" w:eastAsia="仿宋" w:cs="Times New Roman"/>
                <w:spacing w:val="-4"/>
                <w:sz w:val="16"/>
                <w:szCs w:val="16"/>
              </w:rPr>
              <w:t>充分性</w:t>
            </w:r>
          </w:p>
        </w:tc>
        <w:tc>
          <w:tcPr>
            <w:tcW w:w="756" w:type="dxa"/>
            <w:vAlign w:val="top"/>
          </w:tcPr>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spacing w:before="52" w:line="242" w:lineRule="auto"/>
              <w:ind w:left="273"/>
              <w:rPr>
                <w:rFonts w:hint="default" w:ascii="Times New Roman" w:hAnsi="Times New Roman" w:eastAsia="仿宋" w:cs="Times New Roman"/>
                <w:sz w:val="16"/>
                <w:szCs w:val="16"/>
              </w:rPr>
            </w:pPr>
            <w:r>
              <w:rPr>
                <w:rFonts w:hint="default" w:ascii="Times New Roman" w:hAnsi="Times New Roman" w:eastAsia="仿宋" w:cs="Times New Roman"/>
                <w:sz w:val="16"/>
                <w:szCs w:val="16"/>
              </w:rPr>
              <w:t>3</w:t>
            </w:r>
          </w:p>
        </w:tc>
        <w:tc>
          <w:tcPr>
            <w:tcW w:w="2008" w:type="dxa"/>
            <w:vAlign w:val="top"/>
          </w:tcPr>
          <w:p>
            <w:pPr>
              <w:pStyle w:val="9"/>
              <w:spacing w:line="252" w:lineRule="auto"/>
              <w:rPr>
                <w:rFonts w:hint="default" w:ascii="Times New Roman" w:hAnsi="Times New Roman" w:cs="Times New Roman"/>
              </w:rPr>
            </w:pPr>
          </w:p>
          <w:p>
            <w:pPr>
              <w:pStyle w:val="9"/>
              <w:spacing w:line="252" w:lineRule="auto"/>
              <w:rPr>
                <w:rFonts w:hint="default" w:ascii="Times New Roman" w:hAnsi="Times New Roman" w:cs="Times New Roman"/>
              </w:rPr>
            </w:pPr>
          </w:p>
          <w:p>
            <w:pPr>
              <w:pStyle w:val="9"/>
              <w:spacing w:line="252"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spacing w:before="52" w:line="360" w:lineRule="auto"/>
              <w:ind w:left="115" w:right="137"/>
              <w:jc w:val="both"/>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考察项目立项的依据文件是否充分是否与国家和地区的战略目标、发展计划以及部门的基本职能和工</w:t>
            </w:r>
            <w:r>
              <w:rPr>
                <w:rFonts w:hint="default" w:ascii="Times New Roman" w:hAnsi="Times New Roman" w:eastAsia="仿宋" w:cs="Times New Roman"/>
                <w:spacing w:val="-2"/>
                <w:sz w:val="16"/>
                <w:szCs w:val="16"/>
              </w:rPr>
              <w:t>作计划相适应。</w:t>
            </w:r>
          </w:p>
        </w:tc>
        <w:tc>
          <w:tcPr>
            <w:tcW w:w="760" w:type="dxa"/>
            <w:vAlign w:val="top"/>
          </w:tcPr>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spacing w:before="52" w:line="225" w:lineRule="auto"/>
              <w:ind w:left="276"/>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充分</w:t>
            </w:r>
          </w:p>
        </w:tc>
        <w:tc>
          <w:tcPr>
            <w:tcW w:w="1011" w:type="dxa"/>
            <w:vAlign w:val="top"/>
          </w:tcPr>
          <w:p>
            <w:pPr>
              <w:pStyle w:val="9"/>
              <w:spacing w:line="268"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spacing w:before="52"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通用标准</w:t>
            </w:r>
          </w:p>
        </w:tc>
        <w:tc>
          <w:tcPr>
            <w:tcW w:w="1811" w:type="dxa"/>
            <w:vAlign w:val="top"/>
          </w:tcPr>
          <w:p>
            <w:pPr>
              <w:spacing w:before="74" w:line="360" w:lineRule="auto"/>
              <w:ind w:left="116" w:right="179" w:hanging="6"/>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①有相关政策依据(国</w:t>
            </w:r>
            <w:r>
              <w:rPr>
                <w:rFonts w:hint="default" w:ascii="Times New Roman" w:hAnsi="Times New Roman" w:eastAsia="仿宋" w:cs="Times New Roman"/>
                <w:spacing w:val="-2"/>
                <w:sz w:val="16"/>
                <w:szCs w:val="16"/>
              </w:rPr>
              <w:t>家、省部级或市级政</w:t>
            </w:r>
            <w:r>
              <w:rPr>
                <w:rFonts w:hint="default" w:ascii="Times New Roman" w:hAnsi="Times New Roman" w:eastAsia="仿宋" w:cs="Times New Roman"/>
                <w:spacing w:val="-3"/>
                <w:sz w:val="16"/>
                <w:szCs w:val="16"/>
              </w:rPr>
              <w:t>策依据);</w:t>
            </w:r>
          </w:p>
          <w:p>
            <w:pPr>
              <w:spacing w:before="2" w:line="359" w:lineRule="auto"/>
              <w:ind w:left="116" w:right="258" w:hanging="7"/>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②项目与国家和地区</w:t>
            </w:r>
            <w:r>
              <w:rPr>
                <w:rFonts w:hint="default" w:ascii="Times New Roman" w:hAnsi="Times New Roman" w:eastAsia="仿宋" w:cs="Times New Roman"/>
                <w:spacing w:val="-2"/>
                <w:sz w:val="16"/>
                <w:szCs w:val="16"/>
              </w:rPr>
              <w:t>的战略目标、发展规划、工作计划相匹</w:t>
            </w:r>
          </w:p>
          <w:p>
            <w:pPr>
              <w:spacing w:line="223" w:lineRule="auto"/>
              <w:ind w:left="118"/>
              <w:rPr>
                <w:rFonts w:hint="default" w:ascii="Times New Roman" w:hAnsi="Times New Roman" w:eastAsia="仿宋" w:cs="Times New Roman"/>
                <w:sz w:val="16"/>
                <w:szCs w:val="16"/>
              </w:rPr>
            </w:pPr>
            <w:r>
              <w:rPr>
                <w:rFonts w:hint="default" w:ascii="Times New Roman" w:hAnsi="Times New Roman" w:eastAsia="仿宋" w:cs="Times New Roman"/>
                <w:spacing w:val="-7"/>
                <w:sz w:val="16"/>
                <w:szCs w:val="16"/>
              </w:rPr>
              <w:t>配；</w:t>
            </w:r>
          </w:p>
          <w:p>
            <w:pPr>
              <w:spacing w:before="118" w:line="360" w:lineRule="auto"/>
              <w:ind w:left="115" w:right="258" w:hanging="6"/>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③项目与项目单位职</w:t>
            </w:r>
            <w:r>
              <w:rPr>
                <w:rFonts w:hint="default" w:ascii="Times New Roman" w:hAnsi="Times New Roman" w:eastAsia="仿宋" w:cs="Times New Roman"/>
                <w:spacing w:val="-2"/>
                <w:sz w:val="16"/>
                <w:szCs w:val="16"/>
              </w:rPr>
              <w:t>责密切相关。</w:t>
            </w:r>
          </w:p>
          <w:p>
            <w:pPr>
              <w:spacing w:line="223" w:lineRule="auto"/>
              <w:ind w:left="131"/>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以上三项各占1/3权</w:t>
            </w:r>
          </w:p>
          <w:p>
            <w:pPr>
              <w:spacing w:before="118" w:line="222" w:lineRule="auto"/>
              <w:ind w:left="120"/>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重分，符合得该项权</w:t>
            </w:r>
          </w:p>
          <w:p>
            <w:pPr>
              <w:spacing w:before="120" w:line="222" w:lineRule="auto"/>
              <w:ind w:left="120"/>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重分，不符合不得</w:t>
            </w:r>
          </w:p>
          <w:p>
            <w:pPr>
              <w:spacing w:before="119" w:line="225" w:lineRule="auto"/>
              <w:ind w:left="117"/>
              <w:rPr>
                <w:rFonts w:hint="default" w:ascii="Times New Roman" w:hAnsi="Times New Roman" w:eastAsia="仿宋" w:cs="Times New Roman"/>
                <w:sz w:val="16"/>
                <w:szCs w:val="16"/>
              </w:rPr>
            </w:pPr>
            <w:r>
              <w:rPr>
                <w:rFonts w:hint="default" w:ascii="Times New Roman" w:hAnsi="Times New Roman" w:eastAsia="仿宋" w:cs="Times New Roman"/>
                <w:spacing w:val="-6"/>
                <w:sz w:val="16"/>
                <w:szCs w:val="16"/>
              </w:rPr>
              <w:t>分。</w:t>
            </w:r>
          </w:p>
        </w:tc>
        <w:tc>
          <w:tcPr>
            <w:tcW w:w="3959" w:type="dxa"/>
            <w:vAlign w:val="top"/>
          </w:tcPr>
          <w:p>
            <w:pPr>
              <w:pStyle w:val="9"/>
              <w:spacing w:line="321" w:lineRule="auto"/>
              <w:rPr>
                <w:rFonts w:hint="default" w:ascii="Times New Roman" w:hAnsi="Times New Roman" w:cs="Times New Roman"/>
              </w:rPr>
            </w:pPr>
          </w:p>
          <w:p>
            <w:pPr>
              <w:pStyle w:val="9"/>
              <w:spacing w:line="321" w:lineRule="auto"/>
              <w:rPr>
                <w:rFonts w:hint="default" w:ascii="Times New Roman" w:hAnsi="Times New Roman" w:cs="Times New Roman"/>
              </w:rPr>
            </w:pPr>
          </w:p>
          <w:p>
            <w:pPr>
              <w:spacing w:before="52" w:line="360" w:lineRule="auto"/>
              <w:ind w:left="115" w:right="125" w:firstLine="1"/>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本项目立项依据相关文件设立。2025年该项目实施目标是为对市区市政、园林、环卫整体工作进行提升，</w:t>
            </w:r>
          </w:p>
          <w:p>
            <w:pPr>
              <w:spacing w:line="360" w:lineRule="auto"/>
              <w:ind w:left="115" w:right="166" w:firstLine="1"/>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保障市区绿化效果，改善环境卫生，加强市政设施建设，包括城乡环卫保洁工程、园林绿化及公园管理、市政设施养护等工程建设。本项目的目标与国家和地区的战略目标、发展规划、工作计划匹配，与区住建局、伊州区哈密市伊州区城市公共事业服务中心单位</w:t>
            </w:r>
            <w:r>
              <w:rPr>
                <w:rFonts w:hint="default" w:ascii="Times New Roman" w:hAnsi="Times New Roman" w:eastAsia="仿宋" w:cs="Times New Roman"/>
                <w:spacing w:val="-2"/>
                <w:sz w:val="16"/>
                <w:szCs w:val="16"/>
              </w:rPr>
              <w:t>职责密切相关综上所述，该指标得3分，得分率</w:t>
            </w:r>
          </w:p>
          <w:p>
            <w:pPr>
              <w:spacing w:line="237" w:lineRule="auto"/>
              <w:ind w:left="123"/>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100%。</w:t>
            </w:r>
          </w:p>
        </w:tc>
        <w:tc>
          <w:tcPr>
            <w:tcW w:w="708" w:type="dxa"/>
            <w:vAlign w:val="top"/>
          </w:tcPr>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spacing w:before="52" w:line="242" w:lineRule="auto"/>
              <w:ind w:left="276"/>
              <w:rPr>
                <w:rFonts w:hint="default" w:ascii="Times New Roman" w:hAnsi="Times New Roman" w:eastAsia="仿宋" w:cs="Times New Roman"/>
                <w:sz w:val="16"/>
                <w:szCs w:val="16"/>
              </w:rPr>
            </w:pPr>
            <w:r>
              <w:rPr>
                <w:rFonts w:hint="default" w:ascii="Times New Roman" w:hAnsi="Times New Roman" w:eastAsia="仿宋" w:cs="Times New Roman"/>
                <w:sz w:val="16"/>
                <w:szCs w:val="16"/>
              </w:rPr>
              <w:t>3</w:t>
            </w:r>
          </w:p>
        </w:tc>
        <w:tc>
          <w:tcPr>
            <w:tcW w:w="868" w:type="dxa"/>
            <w:vAlign w:val="top"/>
          </w:tcPr>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spacing w:before="52" w:line="242" w:lineRule="auto"/>
              <w:ind w:left="285"/>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26" w:hRule="atLeast"/>
        </w:trPr>
        <w:tc>
          <w:tcPr>
            <w:tcW w:w="952" w:type="dxa"/>
            <w:vMerge w:val="continue"/>
            <w:tcBorders>
              <w:top w:val="nil"/>
            </w:tcBorders>
            <w:vAlign w:val="top"/>
          </w:tcPr>
          <w:p>
            <w:pPr>
              <w:pStyle w:val="9"/>
              <w:rPr>
                <w:rFonts w:hint="default" w:ascii="Times New Roman" w:hAnsi="Times New Roman" w:cs="Times New Roman"/>
              </w:rPr>
            </w:pPr>
          </w:p>
        </w:tc>
        <w:tc>
          <w:tcPr>
            <w:tcW w:w="1331" w:type="dxa"/>
            <w:vMerge w:val="continue"/>
            <w:tcBorders>
              <w:top w:val="nil"/>
            </w:tcBorders>
            <w:vAlign w:val="top"/>
          </w:tcPr>
          <w:p>
            <w:pPr>
              <w:pStyle w:val="9"/>
              <w:rPr>
                <w:rFonts w:hint="default" w:ascii="Times New Roman" w:hAnsi="Times New Roman" w:cs="Times New Roman"/>
              </w:rPr>
            </w:pPr>
          </w:p>
        </w:tc>
        <w:tc>
          <w:tcPr>
            <w:tcW w:w="1308" w:type="dxa"/>
            <w:vAlign w:val="top"/>
          </w:tcPr>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spacing w:before="52" w:line="360" w:lineRule="auto"/>
              <w:ind w:left="113" w:right="198" w:hanging="9"/>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A102立项程序</w:t>
            </w:r>
            <w:r>
              <w:rPr>
                <w:rFonts w:hint="default" w:ascii="Times New Roman" w:hAnsi="Times New Roman" w:eastAsia="仿宋" w:cs="Times New Roman"/>
                <w:spacing w:val="-3"/>
                <w:sz w:val="16"/>
                <w:szCs w:val="16"/>
              </w:rPr>
              <w:t>规范性</w:t>
            </w:r>
          </w:p>
        </w:tc>
        <w:tc>
          <w:tcPr>
            <w:tcW w:w="756" w:type="dxa"/>
            <w:vAlign w:val="top"/>
          </w:tcPr>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spacing w:before="52" w:line="242" w:lineRule="auto"/>
              <w:ind w:left="273"/>
              <w:rPr>
                <w:rFonts w:hint="default" w:ascii="Times New Roman" w:hAnsi="Times New Roman" w:eastAsia="仿宋" w:cs="Times New Roman"/>
                <w:sz w:val="16"/>
                <w:szCs w:val="16"/>
              </w:rPr>
            </w:pPr>
            <w:r>
              <w:rPr>
                <w:rFonts w:hint="default" w:ascii="Times New Roman" w:hAnsi="Times New Roman" w:eastAsia="仿宋" w:cs="Times New Roman"/>
                <w:sz w:val="16"/>
                <w:szCs w:val="16"/>
              </w:rPr>
              <w:t>3</w:t>
            </w:r>
          </w:p>
        </w:tc>
        <w:tc>
          <w:tcPr>
            <w:tcW w:w="2008" w:type="dxa"/>
            <w:vAlign w:val="top"/>
          </w:tcPr>
          <w:p>
            <w:pPr>
              <w:pStyle w:val="9"/>
              <w:spacing w:line="319" w:lineRule="auto"/>
              <w:rPr>
                <w:rFonts w:hint="default" w:ascii="Times New Roman" w:hAnsi="Times New Roman" w:cs="Times New Roman"/>
              </w:rPr>
            </w:pPr>
          </w:p>
          <w:p>
            <w:pPr>
              <w:pStyle w:val="9"/>
              <w:spacing w:line="320" w:lineRule="auto"/>
              <w:rPr>
                <w:rFonts w:hint="default" w:ascii="Times New Roman" w:hAnsi="Times New Roman" w:cs="Times New Roman"/>
              </w:rPr>
            </w:pPr>
          </w:p>
          <w:p>
            <w:pPr>
              <w:pStyle w:val="9"/>
              <w:spacing w:line="320" w:lineRule="auto"/>
              <w:rPr>
                <w:rFonts w:hint="default" w:ascii="Times New Roman" w:hAnsi="Times New Roman" w:cs="Times New Roman"/>
              </w:rPr>
            </w:pPr>
          </w:p>
          <w:p>
            <w:pPr>
              <w:spacing w:before="52" w:line="360" w:lineRule="auto"/>
              <w:ind w:left="118" w:right="137" w:hanging="3"/>
              <w:jc w:val="both"/>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项目的申请、设立过程是</w:t>
            </w:r>
            <w:r>
              <w:rPr>
                <w:rFonts w:hint="default" w:ascii="Times New Roman" w:hAnsi="Times New Roman" w:eastAsia="仿宋" w:cs="Times New Roman"/>
                <w:spacing w:val="-2"/>
                <w:sz w:val="16"/>
                <w:szCs w:val="16"/>
              </w:rPr>
              <w:t>否符合相关要求，用以反映和考核项目立项的规范</w:t>
            </w:r>
            <w:r>
              <w:rPr>
                <w:rFonts w:hint="default" w:ascii="Times New Roman" w:hAnsi="Times New Roman" w:eastAsia="仿宋" w:cs="Times New Roman"/>
                <w:spacing w:val="-5"/>
                <w:sz w:val="16"/>
                <w:szCs w:val="16"/>
              </w:rPr>
              <w:t>情况。</w:t>
            </w:r>
          </w:p>
        </w:tc>
        <w:tc>
          <w:tcPr>
            <w:tcW w:w="760" w:type="dxa"/>
            <w:vAlign w:val="top"/>
          </w:tcPr>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spacing w:before="52" w:line="226" w:lineRule="auto"/>
              <w:ind w:left="275"/>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规范</w:t>
            </w:r>
          </w:p>
        </w:tc>
        <w:tc>
          <w:tcPr>
            <w:tcW w:w="1011" w:type="dxa"/>
            <w:vAlign w:val="top"/>
          </w:tcPr>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spacing w:before="52"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通用标准</w:t>
            </w:r>
          </w:p>
        </w:tc>
        <w:tc>
          <w:tcPr>
            <w:tcW w:w="1811" w:type="dxa"/>
            <w:vAlign w:val="top"/>
          </w:tcPr>
          <w:p>
            <w:pPr>
              <w:spacing w:before="79" w:line="360" w:lineRule="auto"/>
              <w:ind w:left="117" w:right="258" w:hanging="7"/>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①立项前是否已经过</w:t>
            </w:r>
            <w:r>
              <w:rPr>
                <w:rFonts w:hint="default" w:ascii="Times New Roman" w:hAnsi="Times New Roman" w:eastAsia="仿宋" w:cs="Times New Roman"/>
                <w:spacing w:val="-2"/>
                <w:sz w:val="16"/>
                <w:szCs w:val="16"/>
              </w:rPr>
              <w:t>必要的可行性研究、</w:t>
            </w:r>
          </w:p>
          <w:p>
            <w:pPr>
              <w:spacing w:line="223" w:lineRule="auto"/>
              <w:ind w:left="117"/>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专家论证、风险评</w:t>
            </w:r>
          </w:p>
          <w:p>
            <w:pPr>
              <w:spacing w:before="117" w:line="360" w:lineRule="auto"/>
              <w:ind w:left="114" w:right="179" w:firstLine="3"/>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估、集体决策等;②项目立项是否符合规定</w:t>
            </w:r>
            <w:r>
              <w:rPr>
                <w:rFonts w:hint="default" w:ascii="Times New Roman" w:hAnsi="Times New Roman" w:eastAsia="仿宋" w:cs="Times New Roman"/>
                <w:spacing w:val="-1"/>
                <w:sz w:val="16"/>
                <w:szCs w:val="16"/>
              </w:rPr>
              <w:t>程序;③审批文件和材料是否合规完整。①</w:t>
            </w:r>
          </w:p>
          <w:p>
            <w:pPr>
              <w:spacing w:before="2" w:line="327" w:lineRule="auto"/>
              <w:ind w:left="121" w:right="258" w:hanging="12"/>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②③齐全得权重分的</w:t>
            </w:r>
            <w:r>
              <w:rPr>
                <w:rFonts w:hint="default" w:ascii="Times New Roman" w:hAnsi="Times New Roman" w:eastAsia="仿宋" w:cs="Times New Roman"/>
                <w:spacing w:val="-2"/>
                <w:sz w:val="16"/>
                <w:szCs w:val="16"/>
              </w:rPr>
              <w:t>100%，缺①扣权重分的40%，缺②扣权重</w:t>
            </w:r>
          </w:p>
        </w:tc>
        <w:tc>
          <w:tcPr>
            <w:tcW w:w="3959" w:type="dxa"/>
            <w:vAlign w:val="top"/>
          </w:tcPr>
          <w:p>
            <w:pPr>
              <w:pStyle w:val="9"/>
              <w:spacing w:line="268" w:lineRule="auto"/>
              <w:rPr>
                <w:rFonts w:hint="default" w:ascii="Times New Roman" w:hAnsi="Times New Roman" w:cs="Times New Roman"/>
              </w:rPr>
            </w:pPr>
          </w:p>
          <w:p>
            <w:pPr>
              <w:pStyle w:val="9"/>
              <w:spacing w:line="268" w:lineRule="auto"/>
              <w:rPr>
                <w:rFonts w:hint="default" w:ascii="Times New Roman" w:hAnsi="Times New Roman" w:cs="Times New Roman"/>
              </w:rPr>
            </w:pPr>
          </w:p>
          <w:p>
            <w:pPr>
              <w:pStyle w:val="9"/>
              <w:spacing w:line="268" w:lineRule="auto"/>
              <w:rPr>
                <w:rFonts w:hint="default" w:ascii="Times New Roman" w:hAnsi="Times New Roman" w:cs="Times New Roman"/>
              </w:rPr>
            </w:pPr>
          </w:p>
          <w:p>
            <w:pPr>
              <w:spacing w:before="52" w:line="360" w:lineRule="auto"/>
              <w:ind w:left="116" w:right="166" w:firstLine="13"/>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区住建局根据相关文件要求，组织编制了各项目实施方案并经哈密市伊州区住房和城乡</w:t>
            </w:r>
            <w:r>
              <w:rPr>
                <w:rFonts w:hint="default" w:ascii="Times New Roman" w:hAnsi="Times New Roman" w:eastAsia="仿宋" w:cs="Times New Roman"/>
                <w:spacing w:val="-1"/>
                <w:sz w:val="16"/>
                <w:szCs w:val="16"/>
                <w:lang w:val="en-US" w:eastAsia="zh-CN"/>
              </w:rPr>
              <w:t>建设</w:t>
            </w:r>
            <w:r>
              <w:rPr>
                <w:rFonts w:hint="default" w:ascii="Times New Roman" w:hAnsi="Times New Roman" w:eastAsia="仿宋" w:cs="Times New Roman"/>
                <w:spacing w:val="-1"/>
                <w:sz w:val="16"/>
                <w:szCs w:val="16"/>
              </w:rPr>
              <w:t>局审查批复。经本单位内部审批决议后，向区财政申请预算资金，录入项目库，立项审批资料齐全，程序规范。综上所</w:t>
            </w:r>
            <w:r>
              <w:rPr>
                <w:rFonts w:hint="default" w:ascii="Times New Roman" w:hAnsi="Times New Roman" w:eastAsia="仿宋" w:cs="Times New Roman"/>
                <w:spacing w:val="-4"/>
                <w:sz w:val="16"/>
                <w:szCs w:val="16"/>
              </w:rPr>
              <w:t>述，该指标得3分。</w:t>
            </w:r>
          </w:p>
        </w:tc>
        <w:tc>
          <w:tcPr>
            <w:tcW w:w="708" w:type="dxa"/>
            <w:vAlign w:val="top"/>
          </w:tcPr>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spacing w:before="52" w:line="242" w:lineRule="auto"/>
              <w:ind w:left="276"/>
              <w:rPr>
                <w:rFonts w:hint="default" w:ascii="Times New Roman" w:hAnsi="Times New Roman" w:eastAsia="仿宋" w:cs="Times New Roman"/>
                <w:sz w:val="16"/>
                <w:szCs w:val="16"/>
              </w:rPr>
            </w:pPr>
            <w:r>
              <w:rPr>
                <w:rFonts w:hint="default" w:ascii="Times New Roman" w:hAnsi="Times New Roman" w:eastAsia="仿宋" w:cs="Times New Roman"/>
                <w:sz w:val="16"/>
                <w:szCs w:val="16"/>
              </w:rPr>
              <w:t>3</w:t>
            </w:r>
          </w:p>
        </w:tc>
        <w:tc>
          <w:tcPr>
            <w:tcW w:w="868" w:type="dxa"/>
            <w:vAlign w:val="top"/>
          </w:tcPr>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spacing w:before="52" w:line="242" w:lineRule="auto"/>
              <w:ind w:left="285"/>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100%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6" w:type="default"/>
          <w:pgSz w:w="16839" w:h="11906"/>
          <w:pgMar w:top="1012" w:right="692" w:bottom="1256" w:left="668" w:header="0" w:footer="1003" w:gutter="0"/>
          <w:cols w:space="720" w:num="1"/>
        </w:sectPr>
      </w:pPr>
    </w:p>
    <w:p>
      <w:pPr>
        <w:spacing w:line="307" w:lineRule="auto"/>
        <w:rPr>
          <w:rFonts w:hint="default" w:ascii="Times New Roman" w:hAnsi="Times New Roman" w:cs="Times New Roman"/>
          <w:sz w:val="21"/>
        </w:rPr>
      </w:pPr>
    </w:p>
    <w:p>
      <w:pPr>
        <w:spacing w:before="78" w:line="222" w:lineRule="auto"/>
        <w:ind w:left="137" w:firstLine="466" w:firstLineChars="200"/>
        <w:rPr>
          <w:rFonts w:hint="default" w:ascii="Times New Roman" w:hAnsi="Times New Roman" w:eastAsia="仿宋" w:cs="Times New Roman"/>
          <w:sz w:val="24"/>
          <w:szCs w:val="24"/>
        </w:rPr>
      </w:pPr>
      <w:r>
        <w:rPr>
          <w:rFonts w:hint="default" w:ascii="Times New Roman" w:hAnsi="Times New Roman" w:eastAsia="仿宋" w:cs="Times New Roman"/>
          <w:b/>
          <w:bCs/>
          <w:spacing w:val="-4"/>
          <w:sz w:val="24"/>
          <w:szCs w:val="24"/>
        </w:rPr>
        <w:t>附件1：“市政、园林、环卫一体化”第三方服务采购项目绩效评价指标体系评</w:t>
      </w:r>
      <w:r>
        <w:rPr>
          <w:rFonts w:hint="default" w:ascii="Times New Roman" w:hAnsi="Times New Roman" w:eastAsia="仿宋" w:cs="Times New Roman"/>
          <w:b/>
          <w:bCs/>
          <w:spacing w:val="-5"/>
          <w:sz w:val="24"/>
          <w:szCs w:val="24"/>
        </w:rPr>
        <w:t>分表</w:t>
      </w:r>
    </w:p>
    <w:p>
      <w:pPr>
        <w:spacing w:line="160" w:lineRule="exact"/>
        <w:rPr>
          <w:rFonts w:hint="default" w:ascii="Times New Roman" w:hAnsi="Times New Roman" w:cs="Times New Roman"/>
        </w:rPr>
      </w:pPr>
    </w:p>
    <w:tbl>
      <w:tblPr>
        <w:tblStyle w:val="8"/>
        <w:tblW w:w="154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331"/>
        <w:gridCol w:w="1308"/>
        <w:gridCol w:w="756"/>
        <w:gridCol w:w="2008"/>
        <w:gridCol w:w="760"/>
        <w:gridCol w:w="1011"/>
        <w:gridCol w:w="1811"/>
        <w:gridCol w:w="3959"/>
        <w:gridCol w:w="708"/>
        <w:gridCol w:w="86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9" w:hRule="atLeast"/>
        </w:trPr>
        <w:tc>
          <w:tcPr>
            <w:tcW w:w="952" w:type="dxa"/>
            <w:vAlign w:val="top"/>
          </w:tcPr>
          <w:p>
            <w:pPr>
              <w:spacing w:before="96" w:line="222" w:lineRule="auto"/>
              <w:ind w:left="12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一级指标</w:t>
            </w:r>
          </w:p>
        </w:tc>
        <w:tc>
          <w:tcPr>
            <w:tcW w:w="1331" w:type="dxa"/>
            <w:vAlign w:val="top"/>
          </w:tcPr>
          <w:p>
            <w:pPr>
              <w:spacing w:before="96"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二级指标</w:t>
            </w:r>
          </w:p>
        </w:tc>
        <w:tc>
          <w:tcPr>
            <w:tcW w:w="1308" w:type="dxa"/>
            <w:vAlign w:val="top"/>
          </w:tcPr>
          <w:p>
            <w:pPr>
              <w:spacing w:before="96"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三级指标</w:t>
            </w:r>
          </w:p>
        </w:tc>
        <w:tc>
          <w:tcPr>
            <w:tcW w:w="756" w:type="dxa"/>
            <w:vAlign w:val="top"/>
          </w:tcPr>
          <w:p>
            <w:pPr>
              <w:spacing w:before="96" w:line="222" w:lineRule="auto"/>
              <w:ind w:left="203"/>
              <w:rPr>
                <w:rFonts w:hint="default" w:ascii="Times New Roman" w:hAnsi="Times New Roman" w:eastAsia="仿宋" w:cs="Times New Roman"/>
                <w:sz w:val="18"/>
                <w:szCs w:val="18"/>
              </w:rPr>
            </w:pPr>
            <w:r>
              <w:rPr>
                <w:rFonts w:hint="default" w:ascii="Times New Roman" w:hAnsi="Times New Roman" w:eastAsia="仿宋" w:cs="Times New Roman"/>
                <w:b/>
                <w:bCs/>
                <w:spacing w:val="-8"/>
                <w:sz w:val="18"/>
                <w:szCs w:val="18"/>
              </w:rPr>
              <w:t>权重</w:t>
            </w:r>
          </w:p>
        </w:tc>
        <w:tc>
          <w:tcPr>
            <w:tcW w:w="2008" w:type="dxa"/>
            <w:vAlign w:val="top"/>
          </w:tcPr>
          <w:p>
            <w:pPr>
              <w:spacing w:before="96" w:line="222" w:lineRule="auto"/>
              <w:ind w:left="478"/>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指标解释</w:t>
            </w:r>
          </w:p>
        </w:tc>
        <w:tc>
          <w:tcPr>
            <w:tcW w:w="760" w:type="dxa"/>
            <w:vAlign w:val="top"/>
          </w:tcPr>
          <w:p>
            <w:pPr>
              <w:spacing w:before="96" w:line="222" w:lineRule="auto"/>
              <w:ind w:left="115"/>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标杆值</w:t>
            </w:r>
          </w:p>
        </w:tc>
        <w:tc>
          <w:tcPr>
            <w:tcW w:w="1011" w:type="dxa"/>
            <w:vAlign w:val="top"/>
          </w:tcPr>
          <w:p>
            <w:pPr>
              <w:spacing w:before="96" w:line="222"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评分依据</w:t>
            </w:r>
          </w:p>
        </w:tc>
        <w:tc>
          <w:tcPr>
            <w:tcW w:w="1811" w:type="dxa"/>
            <w:vAlign w:val="top"/>
          </w:tcPr>
          <w:p>
            <w:pPr>
              <w:spacing w:before="96" w:line="222" w:lineRule="auto"/>
              <w:ind w:left="479"/>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评价标准</w:t>
            </w:r>
          </w:p>
        </w:tc>
        <w:tc>
          <w:tcPr>
            <w:tcW w:w="3959" w:type="dxa"/>
            <w:vAlign w:val="top"/>
          </w:tcPr>
          <w:p>
            <w:pPr>
              <w:spacing w:before="96" w:line="222" w:lineRule="auto"/>
              <w:ind w:left="1383"/>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评分过程</w:t>
            </w:r>
          </w:p>
        </w:tc>
        <w:tc>
          <w:tcPr>
            <w:tcW w:w="708" w:type="dxa"/>
            <w:vAlign w:val="top"/>
          </w:tcPr>
          <w:p>
            <w:pPr>
              <w:spacing w:before="96"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得分</w:t>
            </w:r>
          </w:p>
        </w:tc>
        <w:tc>
          <w:tcPr>
            <w:tcW w:w="868" w:type="dxa"/>
            <w:vAlign w:val="top"/>
          </w:tcPr>
          <w:p>
            <w:pPr>
              <w:spacing w:before="96"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8" w:hRule="atLeast"/>
        </w:trPr>
        <w:tc>
          <w:tcPr>
            <w:tcW w:w="952" w:type="dxa"/>
            <w:vMerge w:val="restart"/>
            <w:tcBorders>
              <w:bottom w:val="nil"/>
            </w:tcBorders>
            <w:vAlign w:val="top"/>
          </w:tcPr>
          <w:p>
            <w:pPr>
              <w:pStyle w:val="9"/>
              <w:rPr>
                <w:rFonts w:hint="default" w:ascii="Times New Roman" w:hAnsi="Times New Roman" w:cs="Times New Roman"/>
              </w:rPr>
            </w:pPr>
          </w:p>
        </w:tc>
        <w:tc>
          <w:tcPr>
            <w:tcW w:w="1331" w:type="dxa"/>
            <w:vAlign w:val="top"/>
          </w:tcPr>
          <w:p>
            <w:pPr>
              <w:pStyle w:val="9"/>
              <w:rPr>
                <w:rFonts w:hint="default" w:ascii="Times New Roman" w:hAnsi="Times New Roman" w:cs="Times New Roman"/>
              </w:rPr>
            </w:pPr>
          </w:p>
        </w:tc>
        <w:tc>
          <w:tcPr>
            <w:tcW w:w="1308" w:type="dxa"/>
            <w:vAlign w:val="top"/>
          </w:tcPr>
          <w:p>
            <w:pPr>
              <w:pStyle w:val="9"/>
              <w:rPr>
                <w:rFonts w:hint="default" w:ascii="Times New Roman" w:hAnsi="Times New Roman" w:cs="Times New Roman"/>
              </w:rPr>
            </w:pPr>
          </w:p>
        </w:tc>
        <w:tc>
          <w:tcPr>
            <w:tcW w:w="756" w:type="dxa"/>
            <w:vAlign w:val="top"/>
          </w:tcPr>
          <w:p>
            <w:pPr>
              <w:pStyle w:val="9"/>
              <w:rPr>
                <w:rFonts w:hint="default" w:ascii="Times New Roman" w:hAnsi="Times New Roman" w:cs="Times New Roman"/>
              </w:rPr>
            </w:pPr>
          </w:p>
        </w:tc>
        <w:tc>
          <w:tcPr>
            <w:tcW w:w="2008" w:type="dxa"/>
            <w:vAlign w:val="top"/>
          </w:tcPr>
          <w:p>
            <w:pPr>
              <w:pStyle w:val="9"/>
              <w:rPr>
                <w:rFonts w:hint="default" w:ascii="Times New Roman" w:hAnsi="Times New Roman" w:cs="Times New Roman"/>
              </w:rPr>
            </w:pPr>
          </w:p>
        </w:tc>
        <w:tc>
          <w:tcPr>
            <w:tcW w:w="760" w:type="dxa"/>
            <w:vAlign w:val="top"/>
          </w:tcPr>
          <w:p>
            <w:pPr>
              <w:pStyle w:val="9"/>
              <w:rPr>
                <w:rFonts w:hint="default" w:ascii="Times New Roman" w:hAnsi="Times New Roman" w:cs="Times New Roman"/>
              </w:rPr>
            </w:pPr>
          </w:p>
        </w:tc>
        <w:tc>
          <w:tcPr>
            <w:tcW w:w="1011" w:type="dxa"/>
            <w:vAlign w:val="top"/>
          </w:tcPr>
          <w:p>
            <w:pPr>
              <w:pStyle w:val="9"/>
              <w:rPr>
                <w:rFonts w:hint="default" w:ascii="Times New Roman" w:hAnsi="Times New Roman" w:cs="Times New Roman"/>
              </w:rPr>
            </w:pPr>
          </w:p>
        </w:tc>
        <w:tc>
          <w:tcPr>
            <w:tcW w:w="1811" w:type="dxa"/>
            <w:vAlign w:val="top"/>
          </w:tcPr>
          <w:p>
            <w:pPr>
              <w:spacing w:before="76" w:line="223" w:lineRule="auto"/>
              <w:ind w:left="117"/>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分的30%,缺③扣权重</w:t>
            </w:r>
          </w:p>
          <w:p>
            <w:pPr>
              <w:spacing w:before="118" w:line="225" w:lineRule="auto"/>
              <w:ind w:left="117"/>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分的30%。</w:t>
            </w:r>
          </w:p>
        </w:tc>
        <w:tc>
          <w:tcPr>
            <w:tcW w:w="3959" w:type="dxa"/>
            <w:vAlign w:val="top"/>
          </w:tcPr>
          <w:p>
            <w:pPr>
              <w:pStyle w:val="9"/>
              <w:rPr>
                <w:rFonts w:hint="default" w:ascii="Times New Roman" w:hAnsi="Times New Roman" w:cs="Times New Roman"/>
              </w:rPr>
            </w:pPr>
          </w:p>
        </w:tc>
        <w:tc>
          <w:tcPr>
            <w:tcW w:w="708" w:type="dxa"/>
            <w:vAlign w:val="top"/>
          </w:tcPr>
          <w:p>
            <w:pPr>
              <w:pStyle w:val="9"/>
              <w:rPr>
                <w:rFonts w:hint="default" w:ascii="Times New Roman" w:hAnsi="Times New Roman" w:cs="Times New Roman"/>
              </w:rPr>
            </w:pPr>
          </w:p>
        </w:tc>
        <w:tc>
          <w:tcPr>
            <w:tcW w:w="868" w:type="dxa"/>
            <w:vAlign w:val="top"/>
          </w:tcPr>
          <w:p>
            <w:pPr>
              <w:pStyle w:val="9"/>
              <w:rPr>
                <w:rFonts w:hint="default"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844" w:hRule="atLeast"/>
        </w:trPr>
        <w:tc>
          <w:tcPr>
            <w:tcW w:w="952" w:type="dxa"/>
            <w:vMerge w:val="continue"/>
            <w:tcBorders>
              <w:top w:val="nil"/>
            </w:tcBorders>
            <w:vAlign w:val="top"/>
          </w:tcPr>
          <w:p>
            <w:pPr>
              <w:pStyle w:val="9"/>
              <w:rPr>
                <w:rFonts w:hint="default" w:ascii="Times New Roman" w:hAnsi="Times New Roman" w:cs="Times New Roman"/>
              </w:rPr>
            </w:pPr>
          </w:p>
        </w:tc>
        <w:tc>
          <w:tcPr>
            <w:tcW w:w="1331" w:type="dxa"/>
            <w:vAlign w:val="top"/>
          </w:tcPr>
          <w:p>
            <w:pPr>
              <w:pStyle w:val="9"/>
              <w:spacing w:line="270" w:lineRule="auto"/>
              <w:rPr>
                <w:rFonts w:hint="default" w:ascii="Times New Roman" w:hAnsi="Times New Roman" w:cs="Times New Roman"/>
              </w:rPr>
            </w:pPr>
          </w:p>
          <w:p>
            <w:pPr>
              <w:pStyle w:val="9"/>
              <w:spacing w:line="270" w:lineRule="auto"/>
              <w:rPr>
                <w:rFonts w:hint="default" w:ascii="Times New Roman" w:hAnsi="Times New Roman" w:cs="Times New Roman"/>
              </w:rPr>
            </w:pPr>
          </w:p>
          <w:p>
            <w:pPr>
              <w:pStyle w:val="9"/>
              <w:spacing w:line="270" w:lineRule="auto"/>
              <w:rPr>
                <w:rFonts w:hint="default" w:ascii="Times New Roman" w:hAnsi="Times New Roman" w:cs="Times New Roman"/>
              </w:rPr>
            </w:pPr>
          </w:p>
          <w:p>
            <w:pPr>
              <w:pStyle w:val="9"/>
              <w:spacing w:line="270" w:lineRule="auto"/>
              <w:rPr>
                <w:rFonts w:hint="default" w:ascii="Times New Roman" w:hAnsi="Times New Roman" w:cs="Times New Roman"/>
              </w:rPr>
            </w:pPr>
          </w:p>
          <w:p>
            <w:pPr>
              <w:pStyle w:val="9"/>
              <w:spacing w:line="271" w:lineRule="auto"/>
              <w:rPr>
                <w:rFonts w:hint="default" w:ascii="Times New Roman" w:hAnsi="Times New Roman" w:cs="Times New Roman"/>
              </w:rPr>
            </w:pPr>
          </w:p>
          <w:p>
            <w:pPr>
              <w:pStyle w:val="9"/>
              <w:spacing w:line="271" w:lineRule="auto"/>
              <w:rPr>
                <w:rFonts w:hint="default" w:ascii="Times New Roman" w:hAnsi="Times New Roman" w:cs="Times New Roman"/>
              </w:rPr>
            </w:pPr>
          </w:p>
          <w:p>
            <w:pPr>
              <w:spacing w:before="52" w:line="368" w:lineRule="auto"/>
              <w:ind w:left="113" w:right="380" w:hanging="10"/>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A2绩效目标</w:t>
            </w:r>
            <w:r>
              <w:rPr>
                <w:rFonts w:hint="default" w:ascii="Times New Roman" w:hAnsi="Times New Roman" w:eastAsia="仿宋" w:cs="Times New Roman"/>
                <w:spacing w:val="-3"/>
                <w:sz w:val="16"/>
                <w:szCs w:val="16"/>
              </w:rPr>
              <w:t>（12）</w:t>
            </w:r>
          </w:p>
        </w:tc>
        <w:tc>
          <w:tcPr>
            <w:tcW w:w="1308" w:type="dxa"/>
            <w:vAlign w:val="top"/>
          </w:tcPr>
          <w:p>
            <w:pPr>
              <w:pStyle w:val="9"/>
              <w:spacing w:line="270" w:lineRule="auto"/>
              <w:rPr>
                <w:rFonts w:hint="default" w:ascii="Times New Roman" w:hAnsi="Times New Roman" w:cs="Times New Roman"/>
              </w:rPr>
            </w:pPr>
          </w:p>
          <w:p>
            <w:pPr>
              <w:pStyle w:val="9"/>
              <w:spacing w:line="270" w:lineRule="auto"/>
              <w:rPr>
                <w:rFonts w:hint="default" w:ascii="Times New Roman" w:hAnsi="Times New Roman" w:cs="Times New Roman"/>
              </w:rPr>
            </w:pPr>
          </w:p>
          <w:p>
            <w:pPr>
              <w:pStyle w:val="9"/>
              <w:spacing w:line="270" w:lineRule="auto"/>
              <w:rPr>
                <w:rFonts w:hint="default" w:ascii="Times New Roman" w:hAnsi="Times New Roman" w:cs="Times New Roman"/>
              </w:rPr>
            </w:pPr>
          </w:p>
          <w:p>
            <w:pPr>
              <w:pStyle w:val="9"/>
              <w:spacing w:line="270" w:lineRule="auto"/>
              <w:rPr>
                <w:rFonts w:hint="default" w:ascii="Times New Roman" w:hAnsi="Times New Roman" w:cs="Times New Roman"/>
              </w:rPr>
            </w:pPr>
          </w:p>
          <w:p>
            <w:pPr>
              <w:pStyle w:val="9"/>
              <w:spacing w:line="271" w:lineRule="auto"/>
              <w:rPr>
                <w:rFonts w:hint="default" w:ascii="Times New Roman" w:hAnsi="Times New Roman" w:cs="Times New Roman"/>
              </w:rPr>
            </w:pPr>
          </w:p>
          <w:p>
            <w:pPr>
              <w:pStyle w:val="9"/>
              <w:spacing w:line="271" w:lineRule="auto"/>
              <w:rPr>
                <w:rFonts w:hint="default" w:ascii="Times New Roman" w:hAnsi="Times New Roman" w:cs="Times New Roman"/>
              </w:rPr>
            </w:pPr>
          </w:p>
          <w:p>
            <w:pPr>
              <w:spacing w:before="52" w:line="360" w:lineRule="auto"/>
              <w:ind w:left="118" w:right="198" w:hanging="14"/>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A201绩效目标</w:t>
            </w:r>
            <w:r>
              <w:rPr>
                <w:rFonts w:hint="default" w:ascii="Times New Roman" w:hAnsi="Times New Roman" w:eastAsia="仿宋" w:cs="Times New Roman"/>
                <w:spacing w:val="-5"/>
                <w:sz w:val="16"/>
                <w:szCs w:val="16"/>
              </w:rPr>
              <w:t>合理性</w:t>
            </w:r>
          </w:p>
        </w:tc>
        <w:tc>
          <w:tcPr>
            <w:tcW w:w="756" w:type="dxa"/>
            <w:vAlign w:val="top"/>
          </w:tcPr>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spacing w:before="52" w:line="242" w:lineRule="auto"/>
              <w:ind w:left="432"/>
              <w:rPr>
                <w:rFonts w:hint="default" w:ascii="Times New Roman" w:hAnsi="Times New Roman" w:eastAsia="仿宋" w:cs="Times New Roman"/>
                <w:sz w:val="16"/>
                <w:szCs w:val="16"/>
              </w:rPr>
            </w:pPr>
            <w:r>
              <w:rPr>
                <w:rFonts w:hint="default" w:ascii="Times New Roman" w:hAnsi="Times New Roman" w:eastAsia="仿宋" w:cs="Times New Roman"/>
                <w:sz w:val="16"/>
                <w:szCs w:val="16"/>
              </w:rPr>
              <w:t>6</w:t>
            </w:r>
          </w:p>
        </w:tc>
        <w:tc>
          <w:tcPr>
            <w:tcW w:w="2008" w:type="dxa"/>
            <w:vAlign w:val="top"/>
          </w:tcPr>
          <w:p>
            <w:pPr>
              <w:pStyle w:val="9"/>
              <w:spacing w:line="289" w:lineRule="auto"/>
              <w:rPr>
                <w:rFonts w:hint="default" w:ascii="Times New Roman" w:hAnsi="Times New Roman" w:cs="Times New Roman"/>
              </w:rPr>
            </w:pPr>
          </w:p>
          <w:p>
            <w:pPr>
              <w:pStyle w:val="9"/>
              <w:spacing w:line="289" w:lineRule="auto"/>
              <w:rPr>
                <w:rFonts w:hint="default" w:ascii="Times New Roman" w:hAnsi="Times New Roman" w:cs="Times New Roman"/>
              </w:rPr>
            </w:pPr>
          </w:p>
          <w:p>
            <w:pPr>
              <w:pStyle w:val="9"/>
              <w:spacing w:line="289" w:lineRule="auto"/>
              <w:rPr>
                <w:rFonts w:hint="default" w:ascii="Times New Roman" w:hAnsi="Times New Roman" w:cs="Times New Roman"/>
              </w:rPr>
            </w:pPr>
          </w:p>
          <w:p>
            <w:pPr>
              <w:pStyle w:val="9"/>
              <w:spacing w:line="290" w:lineRule="auto"/>
              <w:rPr>
                <w:rFonts w:hint="default" w:ascii="Times New Roman" w:hAnsi="Times New Roman" w:cs="Times New Roman"/>
              </w:rPr>
            </w:pPr>
          </w:p>
          <w:p>
            <w:pPr>
              <w:spacing w:before="52" w:line="360" w:lineRule="auto"/>
              <w:ind w:left="113" w:right="137" w:firstLine="1"/>
              <w:jc w:val="both"/>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考察是否设立了项目总目标及年度目标，以及项目年度目标的完整性、明确性、可衡量性、可实现</w:t>
            </w:r>
          </w:p>
          <w:p>
            <w:pPr>
              <w:spacing w:line="221" w:lineRule="auto"/>
              <w:ind w:left="117"/>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性、相关性。</w:t>
            </w:r>
          </w:p>
        </w:tc>
        <w:tc>
          <w:tcPr>
            <w:tcW w:w="760" w:type="dxa"/>
            <w:vAlign w:val="top"/>
          </w:tcPr>
          <w:p>
            <w:pPr>
              <w:pStyle w:val="9"/>
              <w:spacing w:line="253"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spacing w:before="52" w:line="225" w:lineRule="auto"/>
              <w:ind w:left="119"/>
              <w:rPr>
                <w:rFonts w:hint="default" w:ascii="Times New Roman" w:hAnsi="Times New Roman" w:eastAsia="仿宋" w:cs="Times New Roman"/>
                <w:sz w:val="16"/>
                <w:szCs w:val="16"/>
              </w:rPr>
            </w:pPr>
            <w:r>
              <w:rPr>
                <w:rFonts w:hint="default" w:ascii="Times New Roman" w:hAnsi="Times New Roman" w:eastAsia="仿宋" w:cs="Times New Roman"/>
                <w:spacing w:val="-7"/>
                <w:sz w:val="16"/>
                <w:szCs w:val="16"/>
              </w:rPr>
              <w:t>合理</w:t>
            </w:r>
          </w:p>
        </w:tc>
        <w:tc>
          <w:tcPr>
            <w:tcW w:w="1011" w:type="dxa"/>
            <w:vAlign w:val="top"/>
          </w:tcPr>
          <w:p>
            <w:pPr>
              <w:pStyle w:val="9"/>
              <w:spacing w:line="253"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spacing w:before="52"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通用标准</w:t>
            </w:r>
          </w:p>
        </w:tc>
        <w:tc>
          <w:tcPr>
            <w:tcW w:w="1811" w:type="dxa"/>
            <w:vAlign w:val="top"/>
          </w:tcPr>
          <w:p>
            <w:pPr>
              <w:pStyle w:val="9"/>
              <w:spacing w:line="382" w:lineRule="auto"/>
              <w:rPr>
                <w:rFonts w:hint="default" w:ascii="Times New Roman" w:hAnsi="Times New Roman" w:cs="Times New Roman"/>
              </w:rPr>
            </w:pPr>
          </w:p>
          <w:p>
            <w:pPr>
              <w:spacing w:before="52" w:line="360" w:lineRule="auto"/>
              <w:ind w:left="114" w:right="220" w:hanging="4"/>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①设立了总目标和年度目标先得20%的权</w:t>
            </w:r>
            <w:r>
              <w:rPr>
                <w:rFonts w:hint="default" w:ascii="Times New Roman" w:hAnsi="Times New Roman" w:eastAsia="仿宋" w:cs="Times New Roman"/>
                <w:spacing w:val="-3"/>
                <w:sz w:val="16"/>
                <w:szCs w:val="16"/>
              </w:rPr>
              <w:t>重分(两项各占10%的</w:t>
            </w:r>
            <w:r>
              <w:rPr>
                <w:rFonts w:hint="default" w:ascii="Times New Roman" w:hAnsi="Times New Roman" w:eastAsia="仿宋" w:cs="Times New Roman"/>
                <w:spacing w:val="-4"/>
                <w:sz w:val="16"/>
                <w:szCs w:val="16"/>
              </w:rPr>
              <w:t>权重分</w:t>
            </w:r>
            <w:r>
              <w:rPr>
                <w:rFonts w:hint="default" w:ascii="Times New Roman" w:hAnsi="Times New Roman" w:eastAsia="仿宋" w:cs="Times New Roman"/>
                <w:sz w:val="16"/>
                <w:szCs w:val="16"/>
              </w:rPr>
              <w:t>）；</w:t>
            </w:r>
          </w:p>
          <w:p>
            <w:pPr>
              <w:spacing w:before="1" w:line="360" w:lineRule="auto"/>
              <w:ind w:left="114" w:right="258" w:hanging="5"/>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②再根据项目年度目标是否完整、明确、</w:t>
            </w:r>
            <w:r>
              <w:rPr>
                <w:rFonts w:hint="default" w:ascii="Times New Roman" w:hAnsi="Times New Roman" w:eastAsia="仿宋" w:cs="Times New Roman"/>
                <w:spacing w:val="-2"/>
                <w:sz w:val="16"/>
                <w:szCs w:val="16"/>
              </w:rPr>
              <w:t>合理、可衡量、可实现和总目标相关，每</w:t>
            </w:r>
            <w:r>
              <w:rPr>
                <w:rFonts w:hint="default" w:ascii="Times New Roman" w:hAnsi="Times New Roman" w:eastAsia="仿宋" w:cs="Times New Roman"/>
                <w:spacing w:val="-3"/>
                <w:sz w:val="16"/>
                <w:szCs w:val="16"/>
              </w:rPr>
              <w:t>符合一项，再得1/6</w:t>
            </w:r>
            <w:r>
              <w:rPr>
                <w:rFonts w:hint="default" w:ascii="Times New Roman" w:hAnsi="Times New Roman" w:eastAsia="仿宋" w:cs="Times New Roman"/>
                <w:spacing w:val="-2"/>
                <w:sz w:val="16"/>
                <w:szCs w:val="16"/>
              </w:rPr>
              <w:t>的剩余权重分。</w:t>
            </w:r>
          </w:p>
        </w:tc>
        <w:tc>
          <w:tcPr>
            <w:tcW w:w="3959" w:type="dxa"/>
            <w:vAlign w:val="top"/>
          </w:tcPr>
          <w:p>
            <w:pPr>
              <w:spacing w:before="121" w:line="357" w:lineRule="auto"/>
              <w:ind w:left="114" w:right="166" w:firstLine="1"/>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经查看区住建局提供的项目目标申报表，项目设立了总体目标和年度目标，本项目年度目标为“通过借助第三方专业服务企业的技术，确保道路干净整洁，保持园林景观美观，植物生长健康，提升环境质量，提升城市的整体形象和品质，促进文明城市创建，提升</w:t>
            </w:r>
            <w:r>
              <w:rPr>
                <w:rFonts w:hint="default" w:ascii="Times New Roman" w:hAnsi="Times New Roman" w:eastAsia="仿宋" w:cs="Times New Roman"/>
                <w:spacing w:val="-2"/>
                <w:sz w:val="16"/>
                <w:szCs w:val="16"/>
              </w:rPr>
              <w:t>居民生活质量，增加居民日常休闲娱乐场所。”，该</w:t>
            </w:r>
            <w:r>
              <w:rPr>
                <w:rFonts w:hint="default" w:ascii="Times New Roman" w:hAnsi="Times New Roman" w:eastAsia="仿宋" w:cs="Times New Roman"/>
                <w:spacing w:val="-1"/>
                <w:sz w:val="16"/>
                <w:szCs w:val="16"/>
              </w:rPr>
              <w:t>项目包括城乡环卫保洁工程、园林绿化及公园管理、市政设施养护，但绩效目标总体内容里未体现市政设施养护方面的相关内容，且总体目标内容描述里，无项目实施具体内容量化数据。故项目总体目标内容描述不够完整、不明确性。综上，该指标扣2</w:t>
            </w:r>
            <w:r>
              <w:rPr>
                <w:rFonts w:hint="default" w:ascii="Times New Roman" w:hAnsi="Times New Roman" w:eastAsia="仿宋" w:cs="Times New Roman"/>
                <w:spacing w:val="-2"/>
                <w:sz w:val="16"/>
                <w:szCs w:val="16"/>
              </w:rPr>
              <w:t>.4分，得</w:t>
            </w:r>
            <w:r>
              <w:rPr>
                <w:rFonts w:hint="default" w:ascii="Times New Roman" w:hAnsi="Times New Roman" w:eastAsia="仿宋" w:cs="Times New Roman"/>
                <w:spacing w:val="-4"/>
                <w:sz w:val="16"/>
                <w:szCs w:val="16"/>
              </w:rPr>
              <w:t>3.6分。</w:t>
            </w:r>
          </w:p>
        </w:tc>
        <w:tc>
          <w:tcPr>
            <w:tcW w:w="708" w:type="dxa"/>
            <w:vAlign w:val="top"/>
          </w:tcPr>
          <w:p>
            <w:pPr>
              <w:pStyle w:val="9"/>
              <w:spacing w:line="253"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spacing w:before="52" w:line="242" w:lineRule="auto"/>
              <w:ind w:left="115"/>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3.6</w:t>
            </w:r>
          </w:p>
        </w:tc>
        <w:tc>
          <w:tcPr>
            <w:tcW w:w="868" w:type="dxa"/>
            <w:vAlign w:val="top"/>
          </w:tcPr>
          <w:p>
            <w:pPr>
              <w:pStyle w:val="9"/>
              <w:spacing w:line="253"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spacing w:before="52" w:line="242" w:lineRule="auto"/>
              <w:ind w:left="113"/>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60.00%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7" w:type="default"/>
          <w:pgSz w:w="16839" w:h="11906"/>
          <w:pgMar w:top="1012" w:right="692" w:bottom="1256" w:left="668" w:header="0" w:footer="1003" w:gutter="0"/>
          <w:cols w:space="720" w:num="1"/>
        </w:sectPr>
      </w:pPr>
    </w:p>
    <w:p>
      <w:pPr>
        <w:spacing w:line="307" w:lineRule="auto"/>
        <w:rPr>
          <w:rFonts w:hint="default" w:ascii="Times New Roman" w:hAnsi="Times New Roman" w:cs="Times New Roman"/>
          <w:sz w:val="21"/>
        </w:rPr>
      </w:pPr>
    </w:p>
    <w:p>
      <w:pPr>
        <w:spacing w:before="78" w:line="222" w:lineRule="auto"/>
        <w:ind w:left="137" w:firstLine="466" w:firstLineChars="200"/>
        <w:rPr>
          <w:rFonts w:hint="default" w:ascii="Times New Roman" w:hAnsi="Times New Roman" w:eastAsia="仿宋" w:cs="Times New Roman"/>
          <w:sz w:val="24"/>
          <w:szCs w:val="24"/>
        </w:rPr>
      </w:pPr>
      <w:r>
        <w:rPr>
          <w:rFonts w:hint="default" w:ascii="Times New Roman" w:hAnsi="Times New Roman" w:eastAsia="仿宋" w:cs="Times New Roman"/>
          <w:b/>
          <w:bCs/>
          <w:spacing w:val="-4"/>
          <w:sz w:val="24"/>
          <w:szCs w:val="24"/>
        </w:rPr>
        <w:t>附件1：“市政、园林、环卫一体化”第三方服务采购项目绩效评价指标体系评</w:t>
      </w:r>
      <w:r>
        <w:rPr>
          <w:rFonts w:hint="default" w:ascii="Times New Roman" w:hAnsi="Times New Roman" w:eastAsia="仿宋" w:cs="Times New Roman"/>
          <w:b/>
          <w:bCs/>
          <w:spacing w:val="-5"/>
          <w:sz w:val="24"/>
          <w:szCs w:val="24"/>
        </w:rPr>
        <w:t>分表</w:t>
      </w:r>
    </w:p>
    <w:p>
      <w:pPr>
        <w:spacing w:line="160" w:lineRule="exact"/>
        <w:rPr>
          <w:rFonts w:hint="default" w:ascii="Times New Roman" w:hAnsi="Times New Roman" w:cs="Times New Roman"/>
        </w:rPr>
      </w:pPr>
    </w:p>
    <w:tbl>
      <w:tblPr>
        <w:tblStyle w:val="8"/>
        <w:tblW w:w="154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331"/>
        <w:gridCol w:w="1308"/>
        <w:gridCol w:w="756"/>
        <w:gridCol w:w="2008"/>
        <w:gridCol w:w="760"/>
        <w:gridCol w:w="1011"/>
        <w:gridCol w:w="1811"/>
        <w:gridCol w:w="3959"/>
        <w:gridCol w:w="708"/>
        <w:gridCol w:w="86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9" w:hRule="atLeast"/>
        </w:trPr>
        <w:tc>
          <w:tcPr>
            <w:tcW w:w="952" w:type="dxa"/>
            <w:vAlign w:val="top"/>
          </w:tcPr>
          <w:p>
            <w:pPr>
              <w:spacing w:before="96" w:line="222" w:lineRule="auto"/>
              <w:ind w:left="12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一级指标</w:t>
            </w:r>
          </w:p>
        </w:tc>
        <w:tc>
          <w:tcPr>
            <w:tcW w:w="1331" w:type="dxa"/>
            <w:vAlign w:val="top"/>
          </w:tcPr>
          <w:p>
            <w:pPr>
              <w:spacing w:before="96"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二级指标</w:t>
            </w:r>
          </w:p>
        </w:tc>
        <w:tc>
          <w:tcPr>
            <w:tcW w:w="1308" w:type="dxa"/>
            <w:vAlign w:val="top"/>
          </w:tcPr>
          <w:p>
            <w:pPr>
              <w:spacing w:before="96"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三级指标</w:t>
            </w:r>
          </w:p>
        </w:tc>
        <w:tc>
          <w:tcPr>
            <w:tcW w:w="756" w:type="dxa"/>
            <w:vAlign w:val="top"/>
          </w:tcPr>
          <w:p>
            <w:pPr>
              <w:spacing w:before="96" w:line="222" w:lineRule="auto"/>
              <w:ind w:left="203"/>
              <w:rPr>
                <w:rFonts w:hint="default" w:ascii="Times New Roman" w:hAnsi="Times New Roman" w:eastAsia="仿宋" w:cs="Times New Roman"/>
                <w:sz w:val="18"/>
                <w:szCs w:val="18"/>
              </w:rPr>
            </w:pPr>
            <w:r>
              <w:rPr>
                <w:rFonts w:hint="default" w:ascii="Times New Roman" w:hAnsi="Times New Roman" w:eastAsia="仿宋" w:cs="Times New Roman"/>
                <w:b/>
                <w:bCs/>
                <w:spacing w:val="-8"/>
                <w:sz w:val="18"/>
                <w:szCs w:val="18"/>
              </w:rPr>
              <w:t>权重</w:t>
            </w:r>
          </w:p>
        </w:tc>
        <w:tc>
          <w:tcPr>
            <w:tcW w:w="2008" w:type="dxa"/>
            <w:vAlign w:val="top"/>
          </w:tcPr>
          <w:p>
            <w:pPr>
              <w:spacing w:before="96" w:line="222" w:lineRule="auto"/>
              <w:ind w:left="478"/>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指标解释</w:t>
            </w:r>
          </w:p>
        </w:tc>
        <w:tc>
          <w:tcPr>
            <w:tcW w:w="760" w:type="dxa"/>
            <w:vAlign w:val="top"/>
          </w:tcPr>
          <w:p>
            <w:pPr>
              <w:spacing w:before="96" w:line="222" w:lineRule="auto"/>
              <w:ind w:left="115"/>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标杆值</w:t>
            </w:r>
          </w:p>
        </w:tc>
        <w:tc>
          <w:tcPr>
            <w:tcW w:w="1011" w:type="dxa"/>
            <w:vAlign w:val="top"/>
          </w:tcPr>
          <w:p>
            <w:pPr>
              <w:spacing w:before="96" w:line="222"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评分依据</w:t>
            </w:r>
          </w:p>
        </w:tc>
        <w:tc>
          <w:tcPr>
            <w:tcW w:w="1811" w:type="dxa"/>
            <w:vAlign w:val="top"/>
          </w:tcPr>
          <w:p>
            <w:pPr>
              <w:spacing w:before="96" w:line="222" w:lineRule="auto"/>
              <w:ind w:left="479"/>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评价标准</w:t>
            </w:r>
          </w:p>
        </w:tc>
        <w:tc>
          <w:tcPr>
            <w:tcW w:w="3959" w:type="dxa"/>
            <w:vAlign w:val="top"/>
          </w:tcPr>
          <w:p>
            <w:pPr>
              <w:spacing w:before="96" w:line="222" w:lineRule="auto"/>
              <w:ind w:left="1383"/>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评分过程</w:t>
            </w:r>
          </w:p>
        </w:tc>
        <w:tc>
          <w:tcPr>
            <w:tcW w:w="708" w:type="dxa"/>
            <w:vAlign w:val="top"/>
          </w:tcPr>
          <w:p>
            <w:pPr>
              <w:spacing w:before="96"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得分</w:t>
            </w:r>
          </w:p>
        </w:tc>
        <w:tc>
          <w:tcPr>
            <w:tcW w:w="868" w:type="dxa"/>
            <w:vAlign w:val="top"/>
          </w:tcPr>
          <w:p>
            <w:pPr>
              <w:spacing w:before="96"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746" w:hRule="atLeast"/>
        </w:trPr>
        <w:tc>
          <w:tcPr>
            <w:tcW w:w="952" w:type="dxa"/>
            <w:vAlign w:val="top"/>
          </w:tcPr>
          <w:p>
            <w:pPr>
              <w:pStyle w:val="9"/>
              <w:spacing w:line="262"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pStyle w:val="9"/>
              <w:spacing w:line="263" w:lineRule="auto"/>
              <w:rPr>
                <w:rFonts w:hint="default" w:ascii="Times New Roman" w:hAnsi="Times New Roman" w:cs="Times New Roman"/>
              </w:rPr>
            </w:pPr>
          </w:p>
          <w:p>
            <w:pPr>
              <w:pStyle w:val="9"/>
              <w:spacing w:line="263" w:lineRule="auto"/>
              <w:rPr>
                <w:rFonts w:hint="default" w:ascii="Times New Roman" w:hAnsi="Times New Roman" w:cs="Times New Roman"/>
              </w:rPr>
            </w:pPr>
          </w:p>
          <w:p>
            <w:pPr>
              <w:spacing w:before="52" w:line="361" w:lineRule="auto"/>
              <w:ind w:left="118" w:right="210" w:hanging="11"/>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A项目决</w:t>
            </w:r>
            <w:r>
              <w:rPr>
                <w:rFonts w:hint="default" w:ascii="Times New Roman" w:hAnsi="Times New Roman" w:eastAsia="仿宋" w:cs="Times New Roman"/>
                <w:spacing w:val="-5"/>
                <w:sz w:val="16"/>
                <w:szCs w:val="16"/>
              </w:rPr>
              <w:t>策（24）</w:t>
            </w:r>
          </w:p>
        </w:tc>
        <w:tc>
          <w:tcPr>
            <w:tcW w:w="1331" w:type="dxa"/>
            <w:vAlign w:val="top"/>
          </w:tcPr>
          <w:p>
            <w:pPr>
              <w:pStyle w:val="9"/>
              <w:spacing w:line="262"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pStyle w:val="9"/>
              <w:spacing w:line="263" w:lineRule="auto"/>
              <w:rPr>
                <w:rFonts w:hint="default" w:ascii="Times New Roman" w:hAnsi="Times New Roman" w:cs="Times New Roman"/>
              </w:rPr>
            </w:pPr>
          </w:p>
          <w:p>
            <w:pPr>
              <w:pStyle w:val="9"/>
              <w:spacing w:line="263" w:lineRule="auto"/>
              <w:rPr>
                <w:rFonts w:hint="default" w:ascii="Times New Roman" w:hAnsi="Times New Roman" w:cs="Times New Roman"/>
              </w:rPr>
            </w:pPr>
          </w:p>
          <w:p>
            <w:pPr>
              <w:spacing w:before="52" w:line="368" w:lineRule="auto"/>
              <w:ind w:left="113" w:right="380" w:hanging="10"/>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A2绩效目标</w:t>
            </w:r>
            <w:r>
              <w:rPr>
                <w:rFonts w:hint="default" w:ascii="Times New Roman" w:hAnsi="Times New Roman" w:eastAsia="仿宋" w:cs="Times New Roman"/>
                <w:spacing w:val="-3"/>
                <w:sz w:val="16"/>
                <w:szCs w:val="16"/>
              </w:rPr>
              <w:t>（12）</w:t>
            </w:r>
          </w:p>
        </w:tc>
        <w:tc>
          <w:tcPr>
            <w:tcW w:w="1308" w:type="dxa"/>
            <w:vAlign w:val="top"/>
          </w:tcPr>
          <w:p>
            <w:pPr>
              <w:pStyle w:val="9"/>
              <w:spacing w:line="262"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pStyle w:val="9"/>
              <w:spacing w:line="263" w:lineRule="auto"/>
              <w:rPr>
                <w:rFonts w:hint="default" w:ascii="Times New Roman" w:hAnsi="Times New Roman" w:cs="Times New Roman"/>
              </w:rPr>
            </w:pPr>
          </w:p>
          <w:p>
            <w:pPr>
              <w:pStyle w:val="9"/>
              <w:spacing w:line="263" w:lineRule="auto"/>
              <w:rPr>
                <w:rFonts w:hint="default" w:ascii="Times New Roman" w:hAnsi="Times New Roman" w:cs="Times New Roman"/>
              </w:rPr>
            </w:pPr>
          </w:p>
          <w:p>
            <w:pPr>
              <w:spacing w:before="52" w:line="360" w:lineRule="auto"/>
              <w:ind w:left="124" w:right="198" w:hanging="20"/>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A202绩效指标</w:t>
            </w:r>
            <w:r>
              <w:rPr>
                <w:rFonts w:hint="default" w:ascii="Times New Roman" w:hAnsi="Times New Roman" w:eastAsia="仿宋" w:cs="Times New Roman"/>
                <w:spacing w:val="-7"/>
                <w:sz w:val="16"/>
                <w:szCs w:val="16"/>
              </w:rPr>
              <w:t>明确性</w:t>
            </w:r>
          </w:p>
        </w:tc>
        <w:tc>
          <w:tcPr>
            <w:tcW w:w="756" w:type="dxa"/>
            <w:vAlign w:val="top"/>
          </w:tcPr>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8" w:lineRule="auto"/>
              <w:rPr>
                <w:rFonts w:hint="default" w:ascii="Times New Roman" w:hAnsi="Times New Roman" w:cs="Times New Roman"/>
              </w:rPr>
            </w:pPr>
          </w:p>
          <w:p>
            <w:pPr>
              <w:spacing w:before="52" w:line="242" w:lineRule="auto"/>
              <w:ind w:left="271"/>
              <w:rPr>
                <w:rFonts w:hint="default" w:ascii="Times New Roman" w:hAnsi="Times New Roman" w:eastAsia="仿宋" w:cs="Times New Roman"/>
                <w:sz w:val="16"/>
                <w:szCs w:val="16"/>
              </w:rPr>
            </w:pPr>
            <w:r>
              <w:rPr>
                <w:rFonts w:hint="default" w:ascii="Times New Roman" w:hAnsi="Times New Roman" w:eastAsia="仿宋" w:cs="Times New Roman"/>
                <w:sz w:val="16"/>
                <w:szCs w:val="16"/>
              </w:rPr>
              <w:t>6</w:t>
            </w:r>
          </w:p>
        </w:tc>
        <w:tc>
          <w:tcPr>
            <w:tcW w:w="2008" w:type="dxa"/>
            <w:vAlign w:val="top"/>
          </w:tcPr>
          <w:p>
            <w:pPr>
              <w:pStyle w:val="9"/>
              <w:spacing w:line="277"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spacing w:before="52" w:line="360" w:lineRule="auto"/>
              <w:ind w:left="112" w:right="137" w:firstLine="2"/>
              <w:jc w:val="both"/>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依据绩效目标设定的绩效指标是否清晰、细化、可衡量等,用以反映和考核项目绩效目标的明确细化</w:t>
            </w:r>
            <w:r>
              <w:rPr>
                <w:rFonts w:hint="default" w:ascii="Times New Roman" w:hAnsi="Times New Roman" w:eastAsia="仿宋" w:cs="Times New Roman"/>
                <w:spacing w:val="-3"/>
                <w:sz w:val="16"/>
                <w:szCs w:val="16"/>
              </w:rPr>
              <w:t>情况。</w:t>
            </w:r>
          </w:p>
        </w:tc>
        <w:tc>
          <w:tcPr>
            <w:tcW w:w="760" w:type="dxa"/>
            <w:vAlign w:val="top"/>
          </w:tcPr>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spacing w:before="52" w:line="225" w:lineRule="auto"/>
              <w:ind w:left="125"/>
              <w:rPr>
                <w:rFonts w:hint="default" w:ascii="Times New Roman" w:hAnsi="Times New Roman" w:eastAsia="仿宋" w:cs="Times New Roman"/>
                <w:sz w:val="16"/>
                <w:szCs w:val="16"/>
              </w:rPr>
            </w:pPr>
            <w:r>
              <w:rPr>
                <w:rFonts w:hint="default" w:ascii="Times New Roman" w:hAnsi="Times New Roman" w:eastAsia="仿宋" w:cs="Times New Roman"/>
                <w:spacing w:val="-10"/>
                <w:sz w:val="16"/>
                <w:szCs w:val="16"/>
              </w:rPr>
              <w:t>明确</w:t>
            </w:r>
          </w:p>
        </w:tc>
        <w:tc>
          <w:tcPr>
            <w:tcW w:w="1011" w:type="dxa"/>
            <w:vAlign w:val="top"/>
          </w:tcPr>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spacing w:before="52"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通用标准</w:t>
            </w:r>
          </w:p>
        </w:tc>
        <w:tc>
          <w:tcPr>
            <w:tcW w:w="1811" w:type="dxa"/>
            <w:vAlign w:val="top"/>
          </w:tcPr>
          <w:p>
            <w:pPr>
              <w:spacing w:before="76" w:line="223" w:lineRule="auto"/>
              <w:ind w:left="110"/>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①是否将项目绩效目</w:t>
            </w:r>
          </w:p>
          <w:p>
            <w:pPr>
              <w:spacing w:before="118" w:line="224" w:lineRule="auto"/>
              <w:ind w:left="114"/>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标细化分解为具体的</w:t>
            </w:r>
          </w:p>
          <w:p>
            <w:pPr>
              <w:spacing w:before="117" w:line="224" w:lineRule="auto"/>
              <w:ind w:left="118"/>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绩效指标，满足得30%</w:t>
            </w:r>
          </w:p>
          <w:p>
            <w:pPr>
              <w:spacing w:before="117" w:line="224" w:lineRule="auto"/>
              <w:ind w:left="114"/>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权重分，不满足得零</w:t>
            </w:r>
          </w:p>
          <w:p>
            <w:pPr>
              <w:spacing w:before="119" w:line="221" w:lineRule="auto"/>
              <w:ind w:left="117"/>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分;②是否通过清晰、</w:t>
            </w:r>
          </w:p>
          <w:p>
            <w:pPr>
              <w:spacing w:before="120" w:line="223" w:lineRule="auto"/>
              <w:ind w:left="118"/>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可衡量的指标值予以</w:t>
            </w:r>
          </w:p>
          <w:p>
            <w:pPr>
              <w:spacing w:before="118"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体现，满足得40%权重</w:t>
            </w:r>
          </w:p>
          <w:p>
            <w:pPr>
              <w:spacing w:before="118" w:line="223" w:lineRule="auto"/>
              <w:ind w:left="117"/>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分,不满足得零分;③</w:t>
            </w:r>
          </w:p>
          <w:p>
            <w:pPr>
              <w:spacing w:before="119"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是否与项目目标任务</w:t>
            </w:r>
          </w:p>
          <w:p>
            <w:pPr>
              <w:spacing w:before="118" w:line="223" w:lineRule="auto"/>
              <w:ind w:left="114"/>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数或计划数相对应，</w:t>
            </w:r>
          </w:p>
          <w:p>
            <w:pPr>
              <w:spacing w:before="119"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满足得30%权重分，不</w:t>
            </w:r>
          </w:p>
          <w:p>
            <w:pPr>
              <w:spacing w:before="117"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满足得零分。</w:t>
            </w:r>
          </w:p>
        </w:tc>
        <w:tc>
          <w:tcPr>
            <w:tcW w:w="3959" w:type="dxa"/>
            <w:vAlign w:val="top"/>
          </w:tcPr>
          <w:p>
            <w:pPr>
              <w:spacing w:before="232" w:line="360" w:lineRule="auto"/>
              <w:ind w:left="120" w:right="166" w:hanging="3"/>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根据区住建局提供的“市政、园林、环卫一体化”第三方服务采购项目绩效目标申报表，区住建局已将项目绩效目标细化分解为数量、质量、时效、经济成</w:t>
            </w:r>
          </w:p>
          <w:p>
            <w:pPr>
              <w:spacing w:line="223" w:lineRule="auto"/>
              <w:ind w:left="117"/>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本、社会效益、生态效益、满意度等具体的绩效指</w:t>
            </w:r>
          </w:p>
          <w:p>
            <w:pPr>
              <w:spacing w:before="119" w:line="360" w:lineRule="auto"/>
              <w:ind w:left="115" w:right="166"/>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标，产出指标与项目实施内容相关，与项目目标计划数对应，预期产出效益符合正常业绩水平，与预算确定的项目投资额匹配。但该项目将年度绩效目标分解</w:t>
            </w:r>
            <w:r>
              <w:rPr>
                <w:rFonts w:hint="default" w:ascii="Times New Roman" w:hAnsi="Times New Roman" w:eastAsia="仿宋" w:cs="Times New Roman"/>
                <w:spacing w:val="-2"/>
                <w:sz w:val="16"/>
                <w:szCs w:val="16"/>
              </w:rPr>
              <w:t>为8条绩效指标，2条指标为定性指标，指标不够细</w:t>
            </w:r>
            <w:r>
              <w:rPr>
                <w:rFonts w:hint="default" w:ascii="Times New Roman" w:hAnsi="Times New Roman" w:eastAsia="仿宋" w:cs="Times New Roman"/>
                <w:spacing w:val="-1"/>
                <w:sz w:val="16"/>
                <w:szCs w:val="16"/>
              </w:rPr>
              <w:t>化、不可衡量。成本指标设置总成本，未根据项目实施方案细化分解，指标设置不够细化。综上，扣除3</w:t>
            </w:r>
            <w:r>
              <w:rPr>
                <w:rFonts w:hint="default" w:ascii="Times New Roman" w:hAnsi="Times New Roman" w:eastAsia="仿宋" w:cs="Times New Roman"/>
                <w:spacing w:val="-3"/>
                <w:sz w:val="16"/>
                <w:szCs w:val="16"/>
              </w:rPr>
              <w:t>分，故该指标得3分。</w:t>
            </w:r>
          </w:p>
        </w:tc>
        <w:tc>
          <w:tcPr>
            <w:tcW w:w="708" w:type="dxa"/>
            <w:vAlign w:val="top"/>
          </w:tcPr>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8" w:lineRule="auto"/>
              <w:rPr>
                <w:rFonts w:hint="default" w:ascii="Times New Roman" w:hAnsi="Times New Roman" w:cs="Times New Roman"/>
              </w:rPr>
            </w:pPr>
          </w:p>
          <w:p>
            <w:pPr>
              <w:spacing w:before="52" w:line="242" w:lineRule="auto"/>
              <w:ind w:left="115"/>
              <w:rPr>
                <w:rFonts w:hint="default" w:ascii="Times New Roman" w:hAnsi="Times New Roman" w:eastAsia="仿宋" w:cs="Times New Roman"/>
                <w:sz w:val="16"/>
                <w:szCs w:val="16"/>
              </w:rPr>
            </w:pPr>
            <w:r>
              <w:rPr>
                <w:rFonts w:hint="default" w:ascii="Times New Roman" w:hAnsi="Times New Roman" w:eastAsia="仿宋" w:cs="Times New Roman"/>
                <w:sz w:val="16"/>
                <w:szCs w:val="16"/>
              </w:rPr>
              <w:t>3</w:t>
            </w:r>
          </w:p>
        </w:tc>
        <w:tc>
          <w:tcPr>
            <w:tcW w:w="868" w:type="dxa"/>
            <w:vAlign w:val="top"/>
          </w:tcPr>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spacing w:before="52" w:line="242" w:lineRule="auto"/>
              <w:ind w:left="115"/>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50.00%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26" w:hRule="atLeast"/>
        </w:trPr>
        <w:tc>
          <w:tcPr>
            <w:tcW w:w="952" w:type="dxa"/>
            <w:vAlign w:val="top"/>
          </w:tcPr>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spacing w:before="52" w:line="361" w:lineRule="auto"/>
              <w:ind w:left="118" w:right="210" w:hanging="11"/>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A项目决</w:t>
            </w:r>
            <w:r>
              <w:rPr>
                <w:rFonts w:hint="default" w:ascii="Times New Roman" w:hAnsi="Times New Roman" w:eastAsia="仿宋" w:cs="Times New Roman"/>
                <w:spacing w:val="-5"/>
                <w:sz w:val="16"/>
                <w:szCs w:val="16"/>
              </w:rPr>
              <w:t>策（24）</w:t>
            </w:r>
          </w:p>
        </w:tc>
        <w:tc>
          <w:tcPr>
            <w:tcW w:w="1331" w:type="dxa"/>
            <w:vAlign w:val="top"/>
          </w:tcPr>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spacing w:before="52" w:line="368" w:lineRule="auto"/>
              <w:ind w:left="113" w:right="380" w:hanging="10"/>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A3资金投入</w:t>
            </w:r>
            <w:r>
              <w:rPr>
                <w:rFonts w:hint="default" w:ascii="Times New Roman" w:hAnsi="Times New Roman" w:eastAsia="仿宋" w:cs="Times New Roman"/>
                <w:spacing w:val="-4"/>
                <w:sz w:val="16"/>
                <w:szCs w:val="16"/>
              </w:rPr>
              <w:t>（6）</w:t>
            </w:r>
          </w:p>
        </w:tc>
        <w:tc>
          <w:tcPr>
            <w:tcW w:w="1308" w:type="dxa"/>
            <w:vAlign w:val="top"/>
          </w:tcPr>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spacing w:before="52" w:line="360" w:lineRule="auto"/>
              <w:ind w:left="114" w:right="198" w:hanging="10"/>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A301预算编制</w:t>
            </w:r>
            <w:r>
              <w:rPr>
                <w:rFonts w:hint="default" w:ascii="Times New Roman" w:hAnsi="Times New Roman" w:eastAsia="仿宋" w:cs="Times New Roman"/>
                <w:spacing w:val="-4"/>
                <w:sz w:val="16"/>
                <w:szCs w:val="16"/>
              </w:rPr>
              <w:t>科学性</w:t>
            </w:r>
          </w:p>
        </w:tc>
        <w:tc>
          <w:tcPr>
            <w:tcW w:w="756" w:type="dxa"/>
            <w:vAlign w:val="top"/>
          </w:tcPr>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spacing w:before="52" w:line="242" w:lineRule="auto"/>
              <w:ind w:left="273"/>
              <w:rPr>
                <w:rFonts w:hint="default" w:ascii="Times New Roman" w:hAnsi="Times New Roman" w:eastAsia="仿宋" w:cs="Times New Roman"/>
                <w:sz w:val="16"/>
                <w:szCs w:val="16"/>
              </w:rPr>
            </w:pPr>
            <w:r>
              <w:rPr>
                <w:rFonts w:hint="default" w:ascii="Times New Roman" w:hAnsi="Times New Roman" w:eastAsia="仿宋" w:cs="Times New Roman"/>
                <w:sz w:val="16"/>
                <w:szCs w:val="16"/>
              </w:rPr>
              <w:t>3</w:t>
            </w:r>
          </w:p>
        </w:tc>
        <w:tc>
          <w:tcPr>
            <w:tcW w:w="2008" w:type="dxa"/>
            <w:vAlign w:val="top"/>
          </w:tcPr>
          <w:p>
            <w:pPr>
              <w:pStyle w:val="9"/>
              <w:spacing w:line="277"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spacing w:before="52" w:line="363" w:lineRule="auto"/>
              <w:ind w:left="115" w:right="137"/>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考察预算编制是否科学、合理，是否存在明显不合</w:t>
            </w:r>
            <w:r>
              <w:rPr>
                <w:rFonts w:hint="default" w:ascii="Times New Roman" w:hAnsi="Times New Roman" w:eastAsia="仿宋" w:cs="Times New Roman"/>
                <w:spacing w:val="-3"/>
                <w:sz w:val="16"/>
                <w:szCs w:val="16"/>
              </w:rPr>
              <w:t>理之处。</w:t>
            </w:r>
          </w:p>
        </w:tc>
        <w:tc>
          <w:tcPr>
            <w:tcW w:w="760" w:type="dxa"/>
            <w:vAlign w:val="top"/>
          </w:tcPr>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spacing w:before="52" w:line="224" w:lineRule="auto"/>
              <w:ind w:left="115"/>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科学</w:t>
            </w:r>
          </w:p>
        </w:tc>
        <w:tc>
          <w:tcPr>
            <w:tcW w:w="1011" w:type="dxa"/>
            <w:vAlign w:val="top"/>
          </w:tcPr>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spacing w:before="52"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通用标准</w:t>
            </w:r>
          </w:p>
        </w:tc>
        <w:tc>
          <w:tcPr>
            <w:tcW w:w="1811" w:type="dxa"/>
            <w:vAlign w:val="top"/>
          </w:tcPr>
          <w:p>
            <w:pPr>
              <w:pStyle w:val="9"/>
              <w:spacing w:line="246" w:lineRule="auto"/>
              <w:rPr>
                <w:rFonts w:hint="default" w:ascii="Times New Roman" w:hAnsi="Times New Roman" w:cs="Times New Roman"/>
              </w:rPr>
            </w:pPr>
          </w:p>
          <w:p>
            <w:pPr>
              <w:pStyle w:val="9"/>
              <w:spacing w:line="246" w:lineRule="auto"/>
              <w:rPr>
                <w:rFonts w:hint="default" w:ascii="Times New Roman" w:hAnsi="Times New Roman" w:cs="Times New Roman"/>
              </w:rPr>
            </w:pPr>
          </w:p>
          <w:p>
            <w:pPr>
              <w:spacing w:before="52" w:line="360" w:lineRule="auto"/>
              <w:ind w:left="115" w:right="258" w:hanging="5"/>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①预算编制依据是否</w:t>
            </w:r>
            <w:r>
              <w:rPr>
                <w:rFonts w:hint="default" w:ascii="Times New Roman" w:hAnsi="Times New Roman" w:eastAsia="仿宋" w:cs="Times New Roman"/>
                <w:spacing w:val="-2"/>
                <w:sz w:val="16"/>
                <w:szCs w:val="16"/>
              </w:rPr>
              <w:t>充分、合理;</w:t>
            </w:r>
          </w:p>
          <w:p>
            <w:pPr>
              <w:spacing w:line="360" w:lineRule="auto"/>
              <w:ind w:left="115" w:right="419" w:hanging="6"/>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②预算编制是否细</w:t>
            </w:r>
            <w:r>
              <w:rPr>
                <w:rFonts w:hint="default" w:ascii="Times New Roman" w:hAnsi="Times New Roman" w:eastAsia="仿宋" w:cs="Times New Roman"/>
                <w:spacing w:val="-6"/>
                <w:sz w:val="16"/>
                <w:szCs w:val="16"/>
              </w:rPr>
              <w:t>化。</w:t>
            </w:r>
          </w:p>
          <w:p>
            <w:pPr>
              <w:spacing w:line="224" w:lineRule="auto"/>
              <w:ind w:left="131"/>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以上两项各占50%的</w:t>
            </w:r>
          </w:p>
          <w:p>
            <w:pPr>
              <w:spacing w:before="116" w:line="224" w:lineRule="auto"/>
              <w:ind w:left="114"/>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权重分，满足得分，</w:t>
            </w:r>
          </w:p>
          <w:p>
            <w:pPr>
              <w:spacing w:before="118"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否则扣除对应分值。</w:t>
            </w:r>
          </w:p>
        </w:tc>
        <w:tc>
          <w:tcPr>
            <w:tcW w:w="3959" w:type="dxa"/>
            <w:vAlign w:val="top"/>
          </w:tcPr>
          <w:p>
            <w:pPr>
              <w:pStyle w:val="9"/>
              <w:spacing w:line="246"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spacing w:before="52" w:line="360" w:lineRule="auto"/>
              <w:ind w:left="115" w:right="166"/>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该项目预算编制主要依据相关文件，“市政、园林、</w:t>
            </w:r>
            <w:r>
              <w:rPr>
                <w:rFonts w:hint="default" w:ascii="Times New Roman" w:hAnsi="Times New Roman" w:eastAsia="仿宋" w:cs="Times New Roman"/>
                <w:spacing w:val="-2"/>
                <w:sz w:val="16"/>
                <w:szCs w:val="16"/>
              </w:rPr>
              <w:t>环卫一体化”第三方服务采购项目经营合作协议书等</w:t>
            </w:r>
            <w:r>
              <w:rPr>
                <w:rFonts w:hint="default" w:ascii="Times New Roman" w:hAnsi="Times New Roman" w:eastAsia="仿宋" w:cs="Times New Roman"/>
                <w:spacing w:val="-1"/>
                <w:sz w:val="16"/>
                <w:szCs w:val="16"/>
              </w:rPr>
              <w:t>文件确定的项目实施内容，结合本年度实际建设城乡环卫保洁工程量、园林绿化及公园管理面积、市政设施养护工程量进行测算，项目预算编制依据充分、合理。该项目整体预算金额为26980.13万元，</w:t>
            </w:r>
            <w:r>
              <w:rPr>
                <w:rFonts w:hint="default" w:ascii="Times New Roman" w:hAnsi="Times New Roman" w:eastAsia="仿宋" w:cs="Times New Roman"/>
                <w:spacing w:val="-2"/>
                <w:sz w:val="16"/>
                <w:szCs w:val="16"/>
              </w:rPr>
              <w:t>项目预算编制细化度良好。综上，该指标得3分。</w:t>
            </w:r>
          </w:p>
        </w:tc>
        <w:tc>
          <w:tcPr>
            <w:tcW w:w="708" w:type="dxa"/>
            <w:vAlign w:val="top"/>
          </w:tcPr>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spacing w:before="52" w:line="242" w:lineRule="auto"/>
              <w:ind w:left="276"/>
              <w:rPr>
                <w:rFonts w:hint="default" w:ascii="Times New Roman" w:hAnsi="Times New Roman" w:eastAsia="仿宋" w:cs="Times New Roman"/>
                <w:sz w:val="16"/>
                <w:szCs w:val="16"/>
              </w:rPr>
            </w:pPr>
            <w:r>
              <w:rPr>
                <w:rFonts w:hint="default" w:ascii="Times New Roman" w:hAnsi="Times New Roman" w:eastAsia="仿宋" w:cs="Times New Roman"/>
                <w:sz w:val="16"/>
                <w:szCs w:val="16"/>
              </w:rPr>
              <w:t>3</w:t>
            </w:r>
          </w:p>
        </w:tc>
        <w:tc>
          <w:tcPr>
            <w:tcW w:w="868" w:type="dxa"/>
            <w:vAlign w:val="top"/>
          </w:tcPr>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spacing w:before="52" w:line="242" w:lineRule="auto"/>
              <w:ind w:left="124"/>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100%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8" w:type="default"/>
          <w:pgSz w:w="16839" w:h="11906"/>
          <w:pgMar w:top="1012" w:right="692" w:bottom="1256" w:left="668" w:header="0" w:footer="1003" w:gutter="0"/>
          <w:cols w:space="720" w:num="1"/>
        </w:sectPr>
      </w:pPr>
    </w:p>
    <w:p>
      <w:pPr>
        <w:spacing w:line="307" w:lineRule="auto"/>
        <w:rPr>
          <w:rFonts w:hint="default" w:ascii="Times New Roman" w:hAnsi="Times New Roman" w:cs="Times New Roman"/>
          <w:sz w:val="21"/>
        </w:rPr>
      </w:pPr>
    </w:p>
    <w:p>
      <w:pPr>
        <w:spacing w:before="78" w:line="222" w:lineRule="auto"/>
        <w:ind w:left="137" w:firstLine="466" w:firstLineChars="200"/>
        <w:rPr>
          <w:rFonts w:hint="default" w:ascii="Times New Roman" w:hAnsi="Times New Roman" w:eastAsia="仿宋" w:cs="Times New Roman"/>
          <w:sz w:val="24"/>
          <w:szCs w:val="24"/>
        </w:rPr>
      </w:pPr>
      <w:r>
        <w:rPr>
          <w:rFonts w:hint="default" w:ascii="Times New Roman" w:hAnsi="Times New Roman" w:eastAsia="仿宋" w:cs="Times New Roman"/>
          <w:b/>
          <w:bCs/>
          <w:spacing w:val="-4"/>
          <w:sz w:val="24"/>
          <w:szCs w:val="24"/>
        </w:rPr>
        <w:t>附件1：“市政、园林、环卫一体化”第三方服务采购项目绩效评价指标体系评</w:t>
      </w:r>
      <w:r>
        <w:rPr>
          <w:rFonts w:hint="default" w:ascii="Times New Roman" w:hAnsi="Times New Roman" w:eastAsia="仿宋" w:cs="Times New Roman"/>
          <w:b/>
          <w:bCs/>
          <w:spacing w:val="-5"/>
          <w:sz w:val="24"/>
          <w:szCs w:val="24"/>
        </w:rPr>
        <w:t>分表</w:t>
      </w:r>
    </w:p>
    <w:p>
      <w:pPr>
        <w:spacing w:line="160" w:lineRule="exact"/>
        <w:rPr>
          <w:rFonts w:hint="default" w:ascii="Times New Roman" w:hAnsi="Times New Roman" w:cs="Times New Roman"/>
        </w:rPr>
      </w:pPr>
    </w:p>
    <w:tbl>
      <w:tblPr>
        <w:tblStyle w:val="8"/>
        <w:tblW w:w="154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331"/>
        <w:gridCol w:w="1308"/>
        <w:gridCol w:w="756"/>
        <w:gridCol w:w="2008"/>
        <w:gridCol w:w="760"/>
        <w:gridCol w:w="1011"/>
        <w:gridCol w:w="1811"/>
        <w:gridCol w:w="3959"/>
        <w:gridCol w:w="708"/>
        <w:gridCol w:w="86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9" w:hRule="atLeast"/>
        </w:trPr>
        <w:tc>
          <w:tcPr>
            <w:tcW w:w="952" w:type="dxa"/>
            <w:vAlign w:val="top"/>
          </w:tcPr>
          <w:p>
            <w:pPr>
              <w:spacing w:before="96" w:line="222" w:lineRule="auto"/>
              <w:ind w:left="12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一级指标</w:t>
            </w:r>
          </w:p>
        </w:tc>
        <w:tc>
          <w:tcPr>
            <w:tcW w:w="1331" w:type="dxa"/>
            <w:vAlign w:val="top"/>
          </w:tcPr>
          <w:p>
            <w:pPr>
              <w:spacing w:before="96"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二级指标</w:t>
            </w:r>
          </w:p>
        </w:tc>
        <w:tc>
          <w:tcPr>
            <w:tcW w:w="1308" w:type="dxa"/>
            <w:vAlign w:val="top"/>
          </w:tcPr>
          <w:p>
            <w:pPr>
              <w:spacing w:before="96"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三级指标</w:t>
            </w:r>
          </w:p>
        </w:tc>
        <w:tc>
          <w:tcPr>
            <w:tcW w:w="756" w:type="dxa"/>
            <w:vAlign w:val="top"/>
          </w:tcPr>
          <w:p>
            <w:pPr>
              <w:spacing w:before="96" w:line="222" w:lineRule="auto"/>
              <w:ind w:left="203"/>
              <w:rPr>
                <w:rFonts w:hint="default" w:ascii="Times New Roman" w:hAnsi="Times New Roman" w:eastAsia="仿宋" w:cs="Times New Roman"/>
                <w:sz w:val="18"/>
                <w:szCs w:val="18"/>
              </w:rPr>
            </w:pPr>
            <w:r>
              <w:rPr>
                <w:rFonts w:hint="default" w:ascii="Times New Roman" w:hAnsi="Times New Roman" w:eastAsia="仿宋" w:cs="Times New Roman"/>
                <w:b/>
                <w:bCs/>
                <w:spacing w:val="-8"/>
                <w:sz w:val="18"/>
                <w:szCs w:val="18"/>
              </w:rPr>
              <w:t>权重</w:t>
            </w:r>
          </w:p>
        </w:tc>
        <w:tc>
          <w:tcPr>
            <w:tcW w:w="2008" w:type="dxa"/>
            <w:vAlign w:val="top"/>
          </w:tcPr>
          <w:p>
            <w:pPr>
              <w:spacing w:before="96" w:line="222" w:lineRule="auto"/>
              <w:ind w:left="478"/>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指标解释</w:t>
            </w:r>
          </w:p>
        </w:tc>
        <w:tc>
          <w:tcPr>
            <w:tcW w:w="760" w:type="dxa"/>
            <w:vAlign w:val="top"/>
          </w:tcPr>
          <w:p>
            <w:pPr>
              <w:spacing w:before="96" w:line="222" w:lineRule="auto"/>
              <w:ind w:left="115"/>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标杆值</w:t>
            </w:r>
          </w:p>
        </w:tc>
        <w:tc>
          <w:tcPr>
            <w:tcW w:w="1011" w:type="dxa"/>
            <w:vAlign w:val="top"/>
          </w:tcPr>
          <w:p>
            <w:pPr>
              <w:spacing w:before="96" w:line="222"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评分依据</w:t>
            </w:r>
          </w:p>
        </w:tc>
        <w:tc>
          <w:tcPr>
            <w:tcW w:w="1811" w:type="dxa"/>
            <w:vAlign w:val="top"/>
          </w:tcPr>
          <w:p>
            <w:pPr>
              <w:spacing w:before="96" w:line="222" w:lineRule="auto"/>
              <w:ind w:left="479"/>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评价标准</w:t>
            </w:r>
          </w:p>
        </w:tc>
        <w:tc>
          <w:tcPr>
            <w:tcW w:w="3959" w:type="dxa"/>
            <w:vAlign w:val="top"/>
          </w:tcPr>
          <w:p>
            <w:pPr>
              <w:spacing w:before="96" w:line="222" w:lineRule="auto"/>
              <w:ind w:left="1383"/>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评分过程</w:t>
            </w:r>
          </w:p>
        </w:tc>
        <w:tc>
          <w:tcPr>
            <w:tcW w:w="708" w:type="dxa"/>
            <w:vAlign w:val="top"/>
          </w:tcPr>
          <w:p>
            <w:pPr>
              <w:spacing w:before="96"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得分</w:t>
            </w:r>
          </w:p>
        </w:tc>
        <w:tc>
          <w:tcPr>
            <w:tcW w:w="868" w:type="dxa"/>
            <w:vAlign w:val="top"/>
          </w:tcPr>
          <w:p>
            <w:pPr>
              <w:spacing w:before="96"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99" w:hRule="atLeast"/>
        </w:trPr>
        <w:tc>
          <w:tcPr>
            <w:tcW w:w="952" w:type="dxa"/>
            <w:vAlign w:val="top"/>
          </w:tcPr>
          <w:p>
            <w:pPr>
              <w:pStyle w:val="9"/>
              <w:spacing w:line="318" w:lineRule="auto"/>
              <w:rPr>
                <w:rFonts w:hint="default" w:ascii="Times New Roman" w:hAnsi="Times New Roman" w:cs="Times New Roman"/>
              </w:rPr>
            </w:pPr>
          </w:p>
          <w:p>
            <w:pPr>
              <w:pStyle w:val="9"/>
              <w:spacing w:line="318" w:lineRule="auto"/>
              <w:rPr>
                <w:rFonts w:hint="default" w:ascii="Times New Roman" w:hAnsi="Times New Roman" w:cs="Times New Roman"/>
              </w:rPr>
            </w:pPr>
          </w:p>
          <w:p>
            <w:pPr>
              <w:pStyle w:val="9"/>
              <w:spacing w:line="318" w:lineRule="auto"/>
              <w:rPr>
                <w:rFonts w:hint="default" w:ascii="Times New Roman" w:hAnsi="Times New Roman" w:cs="Times New Roman"/>
              </w:rPr>
            </w:pPr>
          </w:p>
          <w:p>
            <w:pPr>
              <w:spacing w:before="52" w:line="361" w:lineRule="auto"/>
              <w:ind w:left="118" w:right="210" w:hanging="11"/>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A项目决</w:t>
            </w:r>
            <w:r>
              <w:rPr>
                <w:rFonts w:hint="default" w:ascii="Times New Roman" w:hAnsi="Times New Roman" w:eastAsia="仿宋" w:cs="Times New Roman"/>
                <w:spacing w:val="-5"/>
                <w:sz w:val="16"/>
                <w:szCs w:val="16"/>
              </w:rPr>
              <w:t>策（24）</w:t>
            </w:r>
          </w:p>
        </w:tc>
        <w:tc>
          <w:tcPr>
            <w:tcW w:w="1331" w:type="dxa"/>
            <w:vAlign w:val="top"/>
          </w:tcPr>
          <w:p>
            <w:pPr>
              <w:pStyle w:val="9"/>
              <w:spacing w:line="318" w:lineRule="auto"/>
              <w:rPr>
                <w:rFonts w:hint="default" w:ascii="Times New Roman" w:hAnsi="Times New Roman" w:cs="Times New Roman"/>
              </w:rPr>
            </w:pPr>
          </w:p>
          <w:p>
            <w:pPr>
              <w:pStyle w:val="9"/>
              <w:spacing w:line="318" w:lineRule="auto"/>
              <w:rPr>
                <w:rFonts w:hint="default" w:ascii="Times New Roman" w:hAnsi="Times New Roman" w:cs="Times New Roman"/>
              </w:rPr>
            </w:pPr>
          </w:p>
          <w:p>
            <w:pPr>
              <w:pStyle w:val="9"/>
              <w:spacing w:line="318" w:lineRule="auto"/>
              <w:rPr>
                <w:rFonts w:hint="default" w:ascii="Times New Roman" w:hAnsi="Times New Roman" w:cs="Times New Roman"/>
              </w:rPr>
            </w:pPr>
          </w:p>
          <w:p>
            <w:pPr>
              <w:spacing w:before="52" w:line="368" w:lineRule="auto"/>
              <w:ind w:left="113" w:right="380" w:hanging="10"/>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A3资金投入</w:t>
            </w:r>
            <w:r>
              <w:rPr>
                <w:rFonts w:hint="default" w:ascii="Times New Roman" w:hAnsi="Times New Roman" w:eastAsia="仿宋" w:cs="Times New Roman"/>
                <w:spacing w:val="-4"/>
                <w:sz w:val="16"/>
                <w:szCs w:val="16"/>
              </w:rPr>
              <w:t>（6）</w:t>
            </w:r>
          </w:p>
        </w:tc>
        <w:tc>
          <w:tcPr>
            <w:tcW w:w="1308" w:type="dxa"/>
            <w:vAlign w:val="top"/>
          </w:tcPr>
          <w:p>
            <w:pPr>
              <w:pStyle w:val="9"/>
              <w:spacing w:line="318" w:lineRule="auto"/>
              <w:rPr>
                <w:rFonts w:hint="default" w:ascii="Times New Roman" w:hAnsi="Times New Roman" w:cs="Times New Roman"/>
              </w:rPr>
            </w:pPr>
          </w:p>
          <w:p>
            <w:pPr>
              <w:pStyle w:val="9"/>
              <w:spacing w:line="318" w:lineRule="auto"/>
              <w:rPr>
                <w:rFonts w:hint="default" w:ascii="Times New Roman" w:hAnsi="Times New Roman" w:cs="Times New Roman"/>
              </w:rPr>
            </w:pPr>
          </w:p>
          <w:p>
            <w:pPr>
              <w:pStyle w:val="9"/>
              <w:spacing w:line="318" w:lineRule="auto"/>
              <w:rPr>
                <w:rFonts w:hint="default" w:ascii="Times New Roman" w:hAnsi="Times New Roman" w:cs="Times New Roman"/>
              </w:rPr>
            </w:pPr>
          </w:p>
          <w:p>
            <w:pPr>
              <w:spacing w:before="52" w:line="360" w:lineRule="auto"/>
              <w:ind w:left="118" w:right="198" w:hanging="14"/>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A302资金分配</w:t>
            </w:r>
            <w:r>
              <w:rPr>
                <w:rFonts w:hint="default" w:ascii="Times New Roman" w:hAnsi="Times New Roman" w:eastAsia="仿宋" w:cs="Times New Roman"/>
                <w:spacing w:val="-5"/>
                <w:sz w:val="16"/>
                <w:szCs w:val="16"/>
              </w:rPr>
              <w:t>合理性</w:t>
            </w:r>
          </w:p>
        </w:tc>
        <w:tc>
          <w:tcPr>
            <w:tcW w:w="756" w:type="dxa"/>
            <w:vAlign w:val="top"/>
          </w:tcPr>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spacing w:before="52" w:line="242" w:lineRule="auto"/>
              <w:ind w:left="273"/>
              <w:rPr>
                <w:rFonts w:hint="default" w:ascii="Times New Roman" w:hAnsi="Times New Roman" w:eastAsia="仿宋" w:cs="Times New Roman"/>
                <w:sz w:val="16"/>
                <w:szCs w:val="16"/>
              </w:rPr>
            </w:pPr>
            <w:r>
              <w:rPr>
                <w:rFonts w:hint="default" w:ascii="Times New Roman" w:hAnsi="Times New Roman" w:eastAsia="仿宋" w:cs="Times New Roman"/>
                <w:sz w:val="16"/>
                <w:szCs w:val="16"/>
              </w:rPr>
              <w:t>3</w:t>
            </w:r>
          </w:p>
        </w:tc>
        <w:tc>
          <w:tcPr>
            <w:tcW w:w="2008" w:type="dxa"/>
            <w:vAlign w:val="top"/>
          </w:tcPr>
          <w:p>
            <w:pPr>
              <w:pStyle w:val="9"/>
              <w:spacing w:line="318" w:lineRule="auto"/>
              <w:rPr>
                <w:rFonts w:hint="default" w:ascii="Times New Roman" w:hAnsi="Times New Roman" w:cs="Times New Roman"/>
              </w:rPr>
            </w:pPr>
          </w:p>
          <w:p>
            <w:pPr>
              <w:pStyle w:val="9"/>
              <w:spacing w:line="318" w:lineRule="auto"/>
              <w:rPr>
                <w:rFonts w:hint="default" w:ascii="Times New Roman" w:hAnsi="Times New Roman" w:cs="Times New Roman"/>
              </w:rPr>
            </w:pPr>
          </w:p>
          <w:p>
            <w:pPr>
              <w:pStyle w:val="9"/>
              <w:spacing w:line="319" w:lineRule="auto"/>
              <w:rPr>
                <w:rFonts w:hint="default" w:ascii="Times New Roman" w:hAnsi="Times New Roman" w:cs="Times New Roman"/>
              </w:rPr>
            </w:pPr>
          </w:p>
          <w:p>
            <w:pPr>
              <w:spacing w:before="52" w:line="366" w:lineRule="auto"/>
              <w:ind w:left="115" w:right="137"/>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考察项目资金分配是否合</w:t>
            </w:r>
            <w:r>
              <w:rPr>
                <w:rFonts w:hint="default" w:ascii="Times New Roman" w:hAnsi="Times New Roman" w:eastAsia="仿宋" w:cs="Times New Roman"/>
                <w:spacing w:val="-6"/>
                <w:sz w:val="16"/>
                <w:szCs w:val="16"/>
              </w:rPr>
              <w:t>理。</w:t>
            </w:r>
          </w:p>
        </w:tc>
        <w:tc>
          <w:tcPr>
            <w:tcW w:w="760" w:type="dxa"/>
            <w:vAlign w:val="top"/>
          </w:tcPr>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spacing w:before="52" w:line="225" w:lineRule="auto"/>
              <w:ind w:left="119"/>
              <w:rPr>
                <w:rFonts w:hint="default" w:ascii="Times New Roman" w:hAnsi="Times New Roman" w:eastAsia="仿宋" w:cs="Times New Roman"/>
                <w:sz w:val="16"/>
                <w:szCs w:val="16"/>
              </w:rPr>
            </w:pPr>
            <w:r>
              <w:rPr>
                <w:rFonts w:hint="default" w:ascii="Times New Roman" w:hAnsi="Times New Roman" w:eastAsia="仿宋" w:cs="Times New Roman"/>
                <w:spacing w:val="-7"/>
                <w:sz w:val="16"/>
                <w:szCs w:val="16"/>
              </w:rPr>
              <w:t>合理</w:t>
            </w:r>
          </w:p>
        </w:tc>
        <w:tc>
          <w:tcPr>
            <w:tcW w:w="1011" w:type="dxa"/>
            <w:vAlign w:val="top"/>
          </w:tcPr>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spacing w:before="52"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通用标准</w:t>
            </w:r>
          </w:p>
        </w:tc>
        <w:tc>
          <w:tcPr>
            <w:tcW w:w="1811" w:type="dxa"/>
            <w:vAlign w:val="top"/>
          </w:tcPr>
          <w:p>
            <w:pPr>
              <w:spacing w:before="76" w:line="223" w:lineRule="auto"/>
              <w:ind w:left="110"/>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①预算资金分配依据</w:t>
            </w:r>
          </w:p>
          <w:p>
            <w:pPr>
              <w:spacing w:before="118" w:line="223" w:lineRule="auto"/>
              <w:ind w:left="116"/>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是否充分;②资金分配</w:t>
            </w:r>
          </w:p>
          <w:p>
            <w:pPr>
              <w:spacing w:before="119" w:line="224" w:lineRule="auto"/>
              <w:ind w:left="114"/>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额度是否合理，与项</w:t>
            </w:r>
          </w:p>
          <w:p>
            <w:pPr>
              <w:spacing w:before="117" w:line="222" w:lineRule="auto"/>
              <w:ind w:left="143"/>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目单位或地方实际是</w:t>
            </w:r>
          </w:p>
          <w:p>
            <w:pPr>
              <w:spacing w:before="119" w:line="223" w:lineRule="auto"/>
              <w:ind w:left="119"/>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否相适应。以上两项</w:t>
            </w:r>
          </w:p>
          <w:p>
            <w:pPr>
              <w:spacing w:before="118"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各占50%的权重分，</w:t>
            </w:r>
          </w:p>
          <w:p>
            <w:pPr>
              <w:spacing w:before="118"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满足得分，否则扣除</w:t>
            </w:r>
          </w:p>
          <w:p>
            <w:pPr>
              <w:spacing w:before="119"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对应分值。</w:t>
            </w:r>
          </w:p>
        </w:tc>
        <w:tc>
          <w:tcPr>
            <w:tcW w:w="3959" w:type="dxa"/>
            <w:vAlign w:val="top"/>
          </w:tcPr>
          <w:p>
            <w:pPr>
              <w:pStyle w:val="9"/>
              <w:spacing w:line="244" w:lineRule="auto"/>
              <w:rPr>
                <w:rFonts w:hint="default" w:ascii="Times New Roman" w:hAnsi="Times New Roman" w:cs="Times New Roman"/>
              </w:rPr>
            </w:pPr>
          </w:p>
          <w:p>
            <w:pPr>
              <w:pStyle w:val="9"/>
              <w:spacing w:line="245" w:lineRule="auto"/>
              <w:rPr>
                <w:rFonts w:hint="default" w:ascii="Times New Roman" w:hAnsi="Times New Roman" w:cs="Times New Roman"/>
              </w:rPr>
            </w:pPr>
          </w:p>
          <w:p>
            <w:pPr>
              <w:spacing w:before="52" w:line="360" w:lineRule="auto"/>
              <w:ind w:left="117" w:right="166" w:hanging="1"/>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该项目预算资金分配主要依据区财政局预算批复，按照“市政、园林、环卫一体化”第三方服务采购项目进行分配，资金分配与单位项目实施细则实际所需相</w:t>
            </w:r>
            <w:r>
              <w:rPr>
                <w:rFonts w:hint="default" w:ascii="Times New Roman" w:hAnsi="Times New Roman" w:eastAsia="仿宋" w:cs="Times New Roman"/>
                <w:sz w:val="16"/>
                <w:szCs w:val="16"/>
              </w:rPr>
              <w:t>符。本项目资金分配依据充分，额度分配合理。综</w:t>
            </w:r>
          </w:p>
          <w:p>
            <w:pPr>
              <w:spacing w:line="223" w:lineRule="auto"/>
              <w:ind w:left="117"/>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上，该指标得3分。</w:t>
            </w:r>
          </w:p>
        </w:tc>
        <w:tc>
          <w:tcPr>
            <w:tcW w:w="708" w:type="dxa"/>
            <w:vAlign w:val="top"/>
          </w:tcPr>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spacing w:before="52" w:line="242" w:lineRule="auto"/>
              <w:ind w:left="276"/>
              <w:rPr>
                <w:rFonts w:hint="default" w:ascii="Times New Roman" w:hAnsi="Times New Roman" w:eastAsia="仿宋" w:cs="Times New Roman"/>
                <w:sz w:val="16"/>
                <w:szCs w:val="16"/>
              </w:rPr>
            </w:pPr>
            <w:r>
              <w:rPr>
                <w:rFonts w:hint="default" w:ascii="Times New Roman" w:hAnsi="Times New Roman" w:eastAsia="仿宋" w:cs="Times New Roman"/>
                <w:sz w:val="16"/>
                <w:szCs w:val="16"/>
              </w:rPr>
              <w:t>3</w:t>
            </w:r>
          </w:p>
        </w:tc>
        <w:tc>
          <w:tcPr>
            <w:tcW w:w="868" w:type="dxa"/>
            <w:vAlign w:val="top"/>
          </w:tcPr>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spacing w:before="52" w:line="242" w:lineRule="auto"/>
              <w:ind w:left="285"/>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64" w:hRule="atLeast"/>
        </w:trPr>
        <w:tc>
          <w:tcPr>
            <w:tcW w:w="952" w:type="dxa"/>
            <w:vMerge w:val="restart"/>
            <w:tcBorders>
              <w:bottom w:val="nil"/>
            </w:tcBorders>
            <w:vAlign w:val="top"/>
          </w:tcPr>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70" w:lineRule="auto"/>
              <w:rPr>
                <w:rFonts w:hint="default" w:ascii="Times New Roman" w:hAnsi="Times New Roman" w:cs="Times New Roman"/>
              </w:rPr>
            </w:pPr>
          </w:p>
          <w:p>
            <w:pPr>
              <w:spacing w:before="52" w:line="361" w:lineRule="auto"/>
              <w:ind w:left="117" w:right="210" w:hanging="9"/>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B项目过</w:t>
            </w:r>
            <w:r>
              <w:rPr>
                <w:rFonts w:hint="default" w:ascii="Times New Roman" w:hAnsi="Times New Roman" w:eastAsia="仿宋" w:cs="Times New Roman"/>
                <w:spacing w:val="-5"/>
                <w:sz w:val="16"/>
                <w:szCs w:val="16"/>
              </w:rPr>
              <w:t>程（16）</w:t>
            </w:r>
          </w:p>
        </w:tc>
        <w:tc>
          <w:tcPr>
            <w:tcW w:w="1331" w:type="dxa"/>
            <w:vMerge w:val="restart"/>
            <w:tcBorders>
              <w:bottom w:val="nil"/>
            </w:tcBorders>
            <w:vAlign w:val="top"/>
          </w:tcPr>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spacing w:before="52" w:line="368" w:lineRule="auto"/>
              <w:ind w:left="113" w:right="380" w:hanging="9"/>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B1资金管理（12）</w:t>
            </w:r>
          </w:p>
        </w:tc>
        <w:tc>
          <w:tcPr>
            <w:tcW w:w="1308" w:type="dxa"/>
            <w:vAlign w:val="top"/>
          </w:tcPr>
          <w:p>
            <w:pPr>
              <w:pStyle w:val="9"/>
              <w:spacing w:line="294" w:lineRule="auto"/>
              <w:rPr>
                <w:rFonts w:hint="default" w:ascii="Times New Roman" w:hAnsi="Times New Roman" w:cs="Times New Roman"/>
              </w:rPr>
            </w:pPr>
          </w:p>
          <w:p>
            <w:pPr>
              <w:pStyle w:val="9"/>
              <w:spacing w:line="295" w:lineRule="auto"/>
              <w:rPr>
                <w:rFonts w:hint="default" w:ascii="Times New Roman" w:hAnsi="Times New Roman" w:cs="Times New Roman"/>
              </w:rPr>
            </w:pPr>
          </w:p>
          <w:p>
            <w:pPr>
              <w:spacing w:before="52" w:line="361" w:lineRule="auto"/>
              <w:ind w:left="118" w:right="198" w:hanging="13"/>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B101资金到位</w:t>
            </w:r>
            <w:r>
              <w:rPr>
                <w:rFonts w:hint="default" w:ascii="Times New Roman" w:hAnsi="Times New Roman" w:eastAsia="仿宋" w:cs="Times New Roman"/>
                <w:sz w:val="16"/>
                <w:szCs w:val="16"/>
              </w:rPr>
              <w:t>率</w:t>
            </w:r>
          </w:p>
        </w:tc>
        <w:tc>
          <w:tcPr>
            <w:tcW w:w="756" w:type="dxa"/>
            <w:vAlign w:val="top"/>
          </w:tcPr>
          <w:p>
            <w:pPr>
              <w:pStyle w:val="9"/>
              <w:spacing w:line="248" w:lineRule="auto"/>
              <w:rPr>
                <w:rFonts w:hint="default" w:ascii="Times New Roman" w:hAnsi="Times New Roman" w:cs="Times New Roman"/>
              </w:rPr>
            </w:pPr>
          </w:p>
          <w:p>
            <w:pPr>
              <w:pStyle w:val="9"/>
              <w:spacing w:line="248" w:lineRule="auto"/>
              <w:rPr>
                <w:rFonts w:hint="default" w:ascii="Times New Roman" w:hAnsi="Times New Roman" w:cs="Times New Roman"/>
              </w:rPr>
            </w:pPr>
          </w:p>
          <w:p>
            <w:pPr>
              <w:pStyle w:val="9"/>
              <w:spacing w:line="248" w:lineRule="auto"/>
              <w:rPr>
                <w:rFonts w:hint="default" w:ascii="Times New Roman" w:hAnsi="Times New Roman" w:cs="Times New Roman"/>
              </w:rPr>
            </w:pPr>
          </w:p>
          <w:p>
            <w:pPr>
              <w:spacing w:before="52" w:line="211" w:lineRule="exact"/>
              <w:ind w:left="269"/>
              <w:rPr>
                <w:rFonts w:hint="default" w:ascii="Times New Roman" w:hAnsi="Times New Roman" w:eastAsia="仿宋" w:cs="Times New Roman"/>
                <w:sz w:val="16"/>
                <w:szCs w:val="16"/>
              </w:rPr>
            </w:pPr>
            <w:r>
              <w:rPr>
                <w:rFonts w:hint="default" w:ascii="Times New Roman" w:hAnsi="Times New Roman" w:eastAsia="仿宋" w:cs="Times New Roman"/>
                <w:position w:val="1"/>
                <w:sz w:val="16"/>
                <w:szCs w:val="16"/>
              </w:rPr>
              <w:t>4</w:t>
            </w:r>
          </w:p>
        </w:tc>
        <w:tc>
          <w:tcPr>
            <w:tcW w:w="2008" w:type="dxa"/>
            <w:vAlign w:val="top"/>
          </w:tcPr>
          <w:p>
            <w:pPr>
              <w:pStyle w:val="9"/>
              <w:spacing w:line="278" w:lineRule="auto"/>
              <w:rPr>
                <w:rFonts w:hint="default" w:ascii="Times New Roman" w:hAnsi="Times New Roman" w:cs="Times New Roman"/>
              </w:rPr>
            </w:pPr>
          </w:p>
          <w:p>
            <w:pPr>
              <w:spacing w:before="52" w:line="360" w:lineRule="auto"/>
              <w:ind w:left="119" w:right="137" w:hanging="4"/>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反映项目预算资金的实际</w:t>
            </w:r>
            <w:r>
              <w:rPr>
                <w:rFonts w:hint="default" w:ascii="Times New Roman" w:hAnsi="Times New Roman" w:eastAsia="仿宋" w:cs="Times New Roman"/>
                <w:spacing w:val="-3"/>
                <w:sz w:val="16"/>
                <w:szCs w:val="16"/>
              </w:rPr>
              <w:t>到位情况;</w:t>
            </w:r>
          </w:p>
          <w:p>
            <w:pPr>
              <w:spacing w:line="360" w:lineRule="auto"/>
              <w:ind w:left="113" w:right="159" w:firstLine="8"/>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资金到位率=实际到位金</w:t>
            </w:r>
            <w:r>
              <w:rPr>
                <w:rFonts w:hint="default" w:ascii="Times New Roman" w:hAnsi="Times New Roman" w:eastAsia="仿宋" w:cs="Times New Roman"/>
                <w:spacing w:val="-3"/>
                <w:sz w:val="16"/>
                <w:szCs w:val="16"/>
              </w:rPr>
              <w:t>额/预算批复金额*100%。</w:t>
            </w:r>
          </w:p>
        </w:tc>
        <w:tc>
          <w:tcPr>
            <w:tcW w:w="760" w:type="dxa"/>
            <w:vAlign w:val="top"/>
          </w:tcPr>
          <w:p>
            <w:pPr>
              <w:pStyle w:val="9"/>
              <w:spacing w:line="248" w:lineRule="auto"/>
              <w:rPr>
                <w:rFonts w:hint="default" w:ascii="Times New Roman" w:hAnsi="Times New Roman" w:cs="Times New Roman"/>
              </w:rPr>
            </w:pPr>
          </w:p>
          <w:p>
            <w:pPr>
              <w:pStyle w:val="9"/>
              <w:spacing w:line="248" w:lineRule="auto"/>
              <w:rPr>
                <w:rFonts w:hint="default" w:ascii="Times New Roman" w:hAnsi="Times New Roman" w:cs="Times New Roman"/>
              </w:rPr>
            </w:pPr>
          </w:p>
          <w:p>
            <w:pPr>
              <w:pStyle w:val="9"/>
              <w:spacing w:line="248" w:lineRule="auto"/>
              <w:rPr>
                <w:rFonts w:hint="default" w:ascii="Times New Roman" w:hAnsi="Times New Roman" w:cs="Times New Roman"/>
              </w:rPr>
            </w:pPr>
          </w:p>
          <w:p>
            <w:pPr>
              <w:spacing w:before="52" w:line="242" w:lineRule="auto"/>
              <w:ind w:left="122"/>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100%</w:t>
            </w:r>
          </w:p>
        </w:tc>
        <w:tc>
          <w:tcPr>
            <w:tcW w:w="1011" w:type="dxa"/>
            <w:vAlign w:val="top"/>
          </w:tcPr>
          <w:p>
            <w:pPr>
              <w:pStyle w:val="9"/>
              <w:spacing w:line="247" w:lineRule="auto"/>
              <w:rPr>
                <w:rFonts w:hint="default" w:ascii="Times New Roman" w:hAnsi="Times New Roman" w:cs="Times New Roman"/>
              </w:rPr>
            </w:pPr>
          </w:p>
          <w:p>
            <w:pPr>
              <w:pStyle w:val="9"/>
              <w:spacing w:line="248" w:lineRule="auto"/>
              <w:rPr>
                <w:rFonts w:hint="default" w:ascii="Times New Roman" w:hAnsi="Times New Roman" w:cs="Times New Roman"/>
              </w:rPr>
            </w:pPr>
          </w:p>
          <w:p>
            <w:pPr>
              <w:pStyle w:val="9"/>
              <w:spacing w:line="248" w:lineRule="auto"/>
              <w:rPr>
                <w:rFonts w:hint="default" w:ascii="Times New Roman" w:hAnsi="Times New Roman" w:cs="Times New Roman"/>
              </w:rPr>
            </w:pPr>
          </w:p>
          <w:p>
            <w:pPr>
              <w:spacing w:before="52"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通用标准</w:t>
            </w:r>
          </w:p>
        </w:tc>
        <w:tc>
          <w:tcPr>
            <w:tcW w:w="1811" w:type="dxa"/>
            <w:vAlign w:val="top"/>
          </w:tcPr>
          <w:p>
            <w:pPr>
              <w:pStyle w:val="9"/>
              <w:spacing w:line="278" w:lineRule="auto"/>
              <w:rPr>
                <w:rFonts w:hint="default" w:ascii="Times New Roman" w:hAnsi="Times New Roman" w:cs="Times New Roman"/>
              </w:rPr>
            </w:pPr>
          </w:p>
          <w:p>
            <w:pPr>
              <w:spacing w:before="52" w:line="360" w:lineRule="auto"/>
              <w:ind w:left="115" w:right="220" w:firstLine="8"/>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资金到位率达100%则</w:t>
            </w:r>
            <w:r>
              <w:rPr>
                <w:rFonts w:hint="default" w:ascii="Times New Roman" w:hAnsi="Times New Roman" w:eastAsia="仿宋" w:cs="Times New Roman"/>
                <w:spacing w:val="-2"/>
                <w:sz w:val="16"/>
                <w:szCs w:val="16"/>
              </w:rPr>
              <w:t>得满分，低于则每降</w:t>
            </w:r>
            <w:r>
              <w:rPr>
                <w:rFonts w:hint="default" w:ascii="Times New Roman" w:hAnsi="Times New Roman" w:eastAsia="仿宋" w:cs="Times New Roman"/>
                <w:spacing w:val="-3"/>
                <w:sz w:val="16"/>
                <w:szCs w:val="16"/>
              </w:rPr>
              <w:t>低1%扣相应权重的</w:t>
            </w:r>
          </w:p>
          <w:p>
            <w:pPr>
              <w:spacing w:line="224" w:lineRule="auto"/>
              <w:ind w:left="113"/>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5%，扣完为止。</w:t>
            </w:r>
          </w:p>
        </w:tc>
        <w:tc>
          <w:tcPr>
            <w:tcW w:w="3959" w:type="dxa"/>
            <w:vAlign w:val="top"/>
          </w:tcPr>
          <w:p>
            <w:pPr>
              <w:pStyle w:val="9"/>
              <w:spacing w:line="278" w:lineRule="auto"/>
              <w:rPr>
                <w:rFonts w:hint="default" w:ascii="Times New Roman" w:hAnsi="Times New Roman" w:cs="Times New Roman"/>
              </w:rPr>
            </w:pPr>
          </w:p>
          <w:p>
            <w:pPr>
              <w:spacing w:before="52" w:line="360" w:lineRule="auto"/>
              <w:ind w:left="116" w:right="166"/>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该项目全年预算批复金额为26980.13万元，</w:t>
            </w:r>
            <w:r>
              <w:rPr>
                <w:rFonts w:hint="default" w:ascii="Times New Roman" w:hAnsi="Times New Roman" w:eastAsia="仿宋" w:cs="Times New Roman"/>
                <w:spacing w:val="-2"/>
                <w:sz w:val="16"/>
                <w:szCs w:val="16"/>
              </w:rPr>
              <w:t>依据区</w:t>
            </w:r>
            <w:r>
              <w:rPr>
                <w:rFonts w:hint="default" w:ascii="Times New Roman" w:hAnsi="Times New Roman" w:eastAsia="仿宋" w:cs="Times New Roman"/>
                <w:spacing w:val="-1"/>
                <w:sz w:val="16"/>
                <w:szCs w:val="16"/>
              </w:rPr>
              <w:t>住建局一体化支付系统数据及单位财务数据分析，本</w:t>
            </w:r>
            <w:r>
              <w:rPr>
                <w:rFonts w:hint="default" w:ascii="Times New Roman" w:hAnsi="Times New Roman" w:eastAsia="仿宋" w:cs="Times New Roman"/>
                <w:spacing w:val="1"/>
                <w:sz w:val="16"/>
                <w:szCs w:val="16"/>
              </w:rPr>
              <w:t>项目资金实际到位26980.13万元，资</w:t>
            </w:r>
            <w:r>
              <w:rPr>
                <w:rFonts w:hint="default" w:ascii="Times New Roman" w:hAnsi="Times New Roman" w:eastAsia="仿宋" w:cs="Times New Roman"/>
                <w:sz w:val="16"/>
                <w:szCs w:val="16"/>
              </w:rPr>
              <w:t>金到位率为</w:t>
            </w:r>
          </w:p>
          <w:p>
            <w:pPr>
              <w:spacing w:line="223" w:lineRule="auto"/>
              <w:ind w:left="123"/>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100%。综上所述，该指标得4分。</w:t>
            </w:r>
          </w:p>
        </w:tc>
        <w:tc>
          <w:tcPr>
            <w:tcW w:w="708" w:type="dxa"/>
            <w:vAlign w:val="top"/>
          </w:tcPr>
          <w:p>
            <w:pPr>
              <w:pStyle w:val="9"/>
              <w:spacing w:line="248" w:lineRule="auto"/>
              <w:rPr>
                <w:rFonts w:hint="default" w:ascii="Times New Roman" w:hAnsi="Times New Roman" w:cs="Times New Roman"/>
              </w:rPr>
            </w:pPr>
          </w:p>
          <w:p>
            <w:pPr>
              <w:pStyle w:val="9"/>
              <w:spacing w:line="248" w:lineRule="auto"/>
              <w:rPr>
                <w:rFonts w:hint="default" w:ascii="Times New Roman" w:hAnsi="Times New Roman" w:cs="Times New Roman"/>
              </w:rPr>
            </w:pPr>
          </w:p>
          <w:p>
            <w:pPr>
              <w:pStyle w:val="9"/>
              <w:spacing w:line="248" w:lineRule="auto"/>
              <w:rPr>
                <w:rFonts w:hint="default" w:ascii="Times New Roman" w:hAnsi="Times New Roman" w:cs="Times New Roman"/>
              </w:rPr>
            </w:pPr>
          </w:p>
          <w:p>
            <w:pPr>
              <w:spacing w:before="52" w:line="211" w:lineRule="exact"/>
              <w:ind w:left="272"/>
              <w:rPr>
                <w:rFonts w:hint="default" w:ascii="Times New Roman" w:hAnsi="Times New Roman" w:eastAsia="仿宋" w:cs="Times New Roman"/>
                <w:sz w:val="16"/>
                <w:szCs w:val="16"/>
              </w:rPr>
            </w:pPr>
            <w:r>
              <w:rPr>
                <w:rFonts w:hint="default" w:ascii="Times New Roman" w:hAnsi="Times New Roman" w:eastAsia="仿宋" w:cs="Times New Roman"/>
                <w:position w:val="1"/>
                <w:sz w:val="16"/>
                <w:szCs w:val="16"/>
              </w:rPr>
              <w:t>4</w:t>
            </w:r>
          </w:p>
        </w:tc>
        <w:tc>
          <w:tcPr>
            <w:tcW w:w="868" w:type="dxa"/>
            <w:vAlign w:val="top"/>
          </w:tcPr>
          <w:p>
            <w:pPr>
              <w:pStyle w:val="9"/>
              <w:spacing w:line="248" w:lineRule="auto"/>
              <w:rPr>
                <w:rFonts w:hint="default" w:ascii="Times New Roman" w:hAnsi="Times New Roman" w:cs="Times New Roman"/>
              </w:rPr>
            </w:pPr>
          </w:p>
          <w:p>
            <w:pPr>
              <w:pStyle w:val="9"/>
              <w:spacing w:line="248" w:lineRule="auto"/>
              <w:rPr>
                <w:rFonts w:hint="default" w:ascii="Times New Roman" w:hAnsi="Times New Roman" w:cs="Times New Roman"/>
              </w:rPr>
            </w:pPr>
          </w:p>
          <w:p>
            <w:pPr>
              <w:pStyle w:val="9"/>
              <w:spacing w:line="248" w:lineRule="auto"/>
              <w:rPr>
                <w:rFonts w:hint="default" w:ascii="Times New Roman" w:hAnsi="Times New Roman" w:cs="Times New Roman"/>
              </w:rPr>
            </w:pPr>
          </w:p>
          <w:p>
            <w:pPr>
              <w:spacing w:before="52" w:line="242" w:lineRule="auto"/>
              <w:ind w:left="285"/>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03" w:hRule="atLeast"/>
        </w:trPr>
        <w:tc>
          <w:tcPr>
            <w:tcW w:w="952" w:type="dxa"/>
            <w:vMerge w:val="continue"/>
            <w:tcBorders>
              <w:top w:val="nil"/>
            </w:tcBorders>
            <w:vAlign w:val="top"/>
          </w:tcPr>
          <w:p>
            <w:pPr>
              <w:pStyle w:val="9"/>
              <w:rPr>
                <w:rFonts w:hint="default" w:ascii="Times New Roman" w:hAnsi="Times New Roman" w:cs="Times New Roman"/>
              </w:rPr>
            </w:pPr>
          </w:p>
        </w:tc>
        <w:tc>
          <w:tcPr>
            <w:tcW w:w="1331" w:type="dxa"/>
            <w:vMerge w:val="continue"/>
            <w:tcBorders>
              <w:top w:val="nil"/>
            </w:tcBorders>
            <w:vAlign w:val="top"/>
          </w:tcPr>
          <w:p>
            <w:pPr>
              <w:pStyle w:val="9"/>
              <w:rPr>
                <w:rFonts w:hint="default" w:ascii="Times New Roman" w:hAnsi="Times New Roman" w:cs="Times New Roman"/>
              </w:rPr>
            </w:pPr>
          </w:p>
        </w:tc>
        <w:tc>
          <w:tcPr>
            <w:tcW w:w="1308" w:type="dxa"/>
            <w:vAlign w:val="top"/>
          </w:tcPr>
          <w:p>
            <w:pPr>
              <w:pStyle w:val="9"/>
              <w:spacing w:line="251"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pStyle w:val="9"/>
              <w:spacing w:line="252" w:lineRule="auto"/>
              <w:rPr>
                <w:rFonts w:hint="default" w:ascii="Times New Roman" w:hAnsi="Times New Roman" w:cs="Times New Roman"/>
              </w:rPr>
            </w:pPr>
          </w:p>
          <w:p>
            <w:pPr>
              <w:pStyle w:val="9"/>
              <w:spacing w:line="252" w:lineRule="auto"/>
              <w:rPr>
                <w:rFonts w:hint="default" w:ascii="Times New Roman" w:hAnsi="Times New Roman" w:cs="Times New Roman"/>
              </w:rPr>
            </w:pPr>
          </w:p>
          <w:p>
            <w:pPr>
              <w:spacing w:before="52" w:line="361" w:lineRule="auto"/>
              <w:ind w:left="118" w:right="198" w:hanging="13"/>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B102预算执行</w:t>
            </w:r>
            <w:r>
              <w:rPr>
                <w:rFonts w:hint="default" w:ascii="Times New Roman" w:hAnsi="Times New Roman" w:eastAsia="仿宋" w:cs="Times New Roman"/>
                <w:sz w:val="16"/>
                <w:szCs w:val="16"/>
              </w:rPr>
              <w:t>率</w:t>
            </w:r>
          </w:p>
        </w:tc>
        <w:tc>
          <w:tcPr>
            <w:tcW w:w="756" w:type="dxa"/>
            <w:vAlign w:val="top"/>
          </w:tcPr>
          <w:p>
            <w:pPr>
              <w:pStyle w:val="9"/>
              <w:spacing w:line="290" w:lineRule="auto"/>
              <w:rPr>
                <w:rFonts w:hint="default" w:ascii="Times New Roman" w:hAnsi="Times New Roman" w:cs="Times New Roman"/>
              </w:rPr>
            </w:pPr>
          </w:p>
          <w:p>
            <w:pPr>
              <w:pStyle w:val="9"/>
              <w:spacing w:line="290" w:lineRule="auto"/>
              <w:rPr>
                <w:rFonts w:hint="default" w:ascii="Times New Roman" w:hAnsi="Times New Roman" w:cs="Times New Roman"/>
              </w:rPr>
            </w:pPr>
          </w:p>
          <w:p>
            <w:pPr>
              <w:pStyle w:val="9"/>
              <w:spacing w:line="290" w:lineRule="auto"/>
              <w:rPr>
                <w:rFonts w:hint="default" w:ascii="Times New Roman" w:hAnsi="Times New Roman" w:cs="Times New Roman"/>
              </w:rPr>
            </w:pPr>
          </w:p>
          <w:p>
            <w:pPr>
              <w:pStyle w:val="9"/>
              <w:spacing w:line="291" w:lineRule="auto"/>
              <w:rPr>
                <w:rFonts w:hint="default" w:ascii="Times New Roman" w:hAnsi="Times New Roman" w:cs="Times New Roman"/>
              </w:rPr>
            </w:pPr>
          </w:p>
          <w:p>
            <w:pPr>
              <w:spacing w:before="52" w:line="211" w:lineRule="exact"/>
              <w:ind w:left="269"/>
              <w:rPr>
                <w:rFonts w:hint="default" w:ascii="Times New Roman" w:hAnsi="Times New Roman" w:eastAsia="仿宋" w:cs="Times New Roman"/>
                <w:sz w:val="16"/>
                <w:szCs w:val="16"/>
              </w:rPr>
            </w:pPr>
            <w:r>
              <w:rPr>
                <w:rFonts w:hint="default" w:ascii="Times New Roman" w:hAnsi="Times New Roman" w:eastAsia="仿宋" w:cs="Times New Roman"/>
                <w:position w:val="1"/>
                <w:sz w:val="16"/>
                <w:szCs w:val="16"/>
              </w:rPr>
              <w:t>4</w:t>
            </w:r>
          </w:p>
        </w:tc>
        <w:tc>
          <w:tcPr>
            <w:tcW w:w="2008" w:type="dxa"/>
            <w:vAlign w:val="top"/>
          </w:tcPr>
          <w:p>
            <w:pPr>
              <w:pStyle w:val="9"/>
              <w:spacing w:line="348" w:lineRule="auto"/>
              <w:rPr>
                <w:rFonts w:hint="default" w:ascii="Times New Roman" w:hAnsi="Times New Roman" w:cs="Times New Roman"/>
              </w:rPr>
            </w:pPr>
          </w:p>
          <w:p>
            <w:pPr>
              <w:pStyle w:val="9"/>
              <w:spacing w:line="348" w:lineRule="auto"/>
              <w:rPr>
                <w:rFonts w:hint="default" w:ascii="Times New Roman" w:hAnsi="Times New Roman" w:cs="Times New Roman"/>
              </w:rPr>
            </w:pPr>
          </w:p>
          <w:p>
            <w:pPr>
              <w:spacing w:before="52" w:line="360" w:lineRule="auto"/>
              <w:ind w:left="113" w:right="137" w:firstLine="1"/>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反映项目预算资金的实际</w:t>
            </w:r>
            <w:r>
              <w:rPr>
                <w:rFonts w:hint="default" w:ascii="Times New Roman" w:hAnsi="Times New Roman" w:eastAsia="仿宋" w:cs="Times New Roman"/>
                <w:spacing w:val="-2"/>
                <w:sz w:val="16"/>
                <w:szCs w:val="16"/>
              </w:rPr>
              <w:t>执行情况;</w:t>
            </w:r>
          </w:p>
          <w:p>
            <w:pPr>
              <w:spacing w:line="360" w:lineRule="auto"/>
              <w:ind w:left="113" w:right="159" w:firstLine="1"/>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预算执行率=实际支出金</w:t>
            </w:r>
            <w:r>
              <w:rPr>
                <w:rFonts w:hint="default" w:ascii="Times New Roman" w:hAnsi="Times New Roman" w:eastAsia="仿宋" w:cs="Times New Roman"/>
                <w:spacing w:val="-3"/>
                <w:sz w:val="16"/>
                <w:szCs w:val="16"/>
              </w:rPr>
              <w:t>额/预算批复金额*100%。</w:t>
            </w:r>
          </w:p>
        </w:tc>
        <w:tc>
          <w:tcPr>
            <w:tcW w:w="760" w:type="dxa"/>
            <w:vAlign w:val="top"/>
          </w:tcPr>
          <w:p>
            <w:pPr>
              <w:pStyle w:val="9"/>
              <w:spacing w:line="290" w:lineRule="auto"/>
              <w:rPr>
                <w:rFonts w:hint="default" w:ascii="Times New Roman" w:hAnsi="Times New Roman" w:cs="Times New Roman"/>
              </w:rPr>
            </w:pPr>
          </w:p>
          <w:p>
            <w:pPr>
              <w:pStyle w:val="9"/>
              <w:spacing w:line="290" w:lineRule="auto"/>
              <w:rPr>
                <w:rFonts w:hint="default" w:ascii="Times New Roman" w:hAnsi="Times New Roman" w:cs="Times New Roman"/>
              </w:rPr>
            </w:pPr>
          </w:p>
          <w:p>
            <w:pPr>
              <w:pStyle w:val="9"/>
              <w:spacing w:line="290" w:lineRule="auto"/>
              <w:rPr>
                <w:rFonts w:hint="default" w:ascii="Times New Roman" w:hAnsi="Times New Roman" w:cs="Times New Roman"/>
              </w:rPr>
            </w:pPr>
          </w:p>
          <w:p>
            <w:pPr>
              <w:pStyle w:val="9"/>
              <w:spacing w:line="291" w:lineRule="auto"/>
              <w:rPr>
                <w:rFonts w:hint="default" w:ascii="Times New Roman" w:hAnsi="Times New Roman" w:cs="Times New Roman"/>
              </w:rPr>
            </w:pPr>
          </w:p>
          <w:p>
            <w:pPr>
              <w:spacing w:before="52" w:line="242" w:lineRule="auto"/>
              <w:ind w:left="122"/>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100%</w:t>
            </w:r>
          </w:p>
        </w:tc>
        <w:tc>
          <w:tcPr>
            <w:tcW w:w="1011" w:type="dxa"/>
            <w:vAlign w:val="top"/>
          </w:tcPr>
          <w:p>
            <w:pPr>
              <w:pStyle w:val="9"/>
              <w:spacing w:line="290" w:lineRule="auto"/>
              <w:rPr>
                <w:rFonts w:hint="default" w:ascii="Times New Roman" w:hAnsi="Times New Roman" w:cs="Times New Roman"/>
              </w:rPr>
            </w:pPr>
          </w:p>
          <w:p>
            <w:pPr>
              <w:pStyle w:val="9"/>
              <w:spacing w:line="290" w:lineRule="auto"/>
              <w:rPr>
                <w:rFonts w:hint="default" w:ascii="Times New Roman" w:hAnsi="Times New Roman" w:cs="Times New Roman"/>
              </w:rPr>
            </w:pPr>
          </w:p>
          <w:p>
            <w:pPr>
              <w:pStyle w:val="9"/>
              <w:spacing w:line="290" w:lineRule="auto"/>
              <w:rPr>
                <w:rFonts w:hint="default" w:ascii="Times New Roman" w:hAnsi="Times New Roman" w:cs="Times New Roman"/>
              </w:rPr>
            </w:pPr>
          </w:p>
          <w:p>
            <w:pPr>
              <w:pStyle w:val="9"/>
              <w:spacing w:line="290" w:lineRule="auto"/>
              <w:rPr>
                <w:rFonts w:hint="default" w:ascii="Times New Roman" w:hAnsi="Times New Roman" w:cs="Times New Roman"/>
              </w:rPr>
            </w:pPr>
          </w:p>
          <w:p>
            <w:pPr>
              <w:spacing w:before="52"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通用标准</w:t>
            </w:r>
          </w:p>
        </w:tc>
        <w:tc>
          <w:tcPr>
            <w:tcW w:w="1811" w:type="dxa"/>
            <w:vAlign w:val="top"/>
          </w:tcPr>
          <w:p>
            <w:pPr>
              <w:pStyle w:val="9"/>
              <w:spacing w:line="348" w:lineRule="auto"/>
              <w:rPr>
                <w:rFonts w:hint="default" w:ascii="Times New Roman" w:hAnsi="Times New Roman" w:cs="Times New Roman"/>
              </w:rPr>
            </w:pPr>
          </w:p>
          <w:p>
            <w:pPr>
              <w:pStyle w:val="9"/>
              <w:spacing w:line="349" w:lineRule="auto"/>
              <w:rPr>
                <w:rFonts w:hint="default" w:ascii="Times New Roman" w:hAnsi="Times New Roman" w:cs="Times New Roman"/>
              </w:rPr>
            </w:pPr>
          </w:p>
          <w:p>
            <w:pPr>
              <w:spacing w:before="52" w:line="360" w:lineRule="auto"/>
              <w:ind w:left="116" w:right="220"/>
              <w:jc w:val="both"/>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预算执行率达100%则</w:t>
            </w:r>
            <w:r>
              <w:rPr>
                <w:rFonts w:hint="default" w:ascii="Times New Roman" w:hAnsi="Times New Roman" w:eastAsia="仿宋" w:cs="Times New Roman"/>
                <w:spacing w:val="-2"/>
                <w:sz w:val="16"/>
                <w:szCs w:val="16"/>
              </w:rPr>
              <w:t>得满分，未达到则按照预算执行率乘以权重分值计算得分。</w:t>
            </w:r>
          </w:p>
        </w:tc>
        <w:tc>
          <w:tcPr>
            <w:tcW w:w="3959" w:type="dxa"/>
            <w:vAlign w:val="top"/>
          </w:tcPr>
          <w:p>
            <w:pPr>
              <w:pStyle w:val="9"/>
              <w:spacing w:line="271" w:lineRule="auto"/>
              <w:rPr>
                <w:rFonts w:hint="default" w:ascii="Times New Roman" w:hAnsi="Times New Roman" w:cs="Times New Roman"/>
              </w:rPr>
            </w:pPr>
          </w:p>
          <w:p>
            <w:pPr>
              <w:pStyle w:val="9"/>
              <w:spacing w:line="271" w:lineRule="auto"/>
              <w:rPr>
                <w:rFonts w:hint="default" w:ascii="Times New Roman" w:hAnsi="Times New Roman" w:cs="Times New Roman"/>
              </w:rPr>
            </w:pPr>
          </w:p>
          <w:p>
            <w:pPr>
              <w:spacing w:before="52" w:line="360" w:lineRule="auto"/>
              <w:ind w:left="116" w:right="166"/>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该项目全年预算26980.13万元，实际到位26980</w:t>
            </w:r>
            <w:r>
              <w:rPr>
                <w:rFonts w:hint="default" w:ascii="Times New Roman" w:hAnsi="Times New Roman" w:eastAsia="仿宋" w:cs="Times New Roman"/>
                <w:spacing w:val="-2"/>
                <w:sz w:val="16"/>
                <w:szCs w:val="16"/>
              </w:rPr>
              <w:t>.13</w:t>
            </w:r>
            <w:r>
              <w:rPr>
                <w:rFonts w:hint="default" w:ascii="Times New Roman" w:hAnsi="Times New Roman" w:eastAsia="仿宋" w:cs="Times New Roman"/>
                <w:spacing w:val="-1"/>
                <w:sz w:val="16"/>
                <w:szCs w:val="16"/>
              </w:rPr>
              <w:t>万元，依据单位结算申请审批单、银行回单及国库集</w:t>
            </w:r>
            <w:r>
              <w:rPr>
                <w:rFonts w:hint="default" w:ascii="Times New Roman" w:hAnsi="Times New Roman" w:eastAsia="仿宋" w:cs="Times New Roman"/>
                <w:sz w:val="16"/>
                <w:szCs w:val="16"/>
              </w:rPr>
              <w:t>中支付凭证，截至2025年底本项目实际执行金额共</w:t>
            </w:r>
            <w:r>
              <w:rPr>
                <w:rFonts w:hint="default" w:ascii="Times New Roman" w:hAnsi="Times New Roman" w:eastAsia="仿宋" w:cs="Times New Roman"/>
                <w:spacing w:val="-1"/>
                <w:sz w:val="16"/>
                <w:szCs w:val="16"/>
              </w:rPr>
              <w:t>计25930.18万元，项目预算资金执行率为96.11%。</w:t>
            </w:r>
            <w:r>
              <w:rPr>
                <w:rFonts w:hint="default" w:ascii="Times New Roman" w:hAnsi="Times New Roman" w:eastAsia="仿宋" w:cs="Times New Roman"/>
                <w:spacing w:val="-3"/>
                <w:sz w:val="16"/>
                <w:szCs w:val="16"/>
              </w:rPr>
              <w:t>综上所述，该指标扣0.16分，得3.84分。</w:t>
            </w:r>
          </w:p>
        </w:tc>
        <w:tc>
          <w:tcPr>
            <w:tcW w:w="708" w:type="dxa"/>
            <w:vAlign w:val="top"/>
          </w:tcPr>
          <w:p>
            <w:pPr>
              <w:pStyle w:val="9"/>
              <w:spacing w:line="290" w:lineRule="auto"/>
              <w:rPr>
                <w:rFonts w:hint="default" w:ascii="Times New Roman" w:hAnsi="Times New Roman" w:cs="Times New Roman"/>
              </w:rPr>
            </w:pPr>
          </w:p>
          <w:p>
            <w:pPr>
              <w:pStyle w:val="9"/>
              <w:spacing w:line="290" w:lineRule="auto"/>
              <w:rPr>
                <w:rFonts w:hint="default" w:ascii="Times New Roman" w:hAnsi="Times New Roman" w:cs="Times New Roman"/>
              </w:rPr>
            </w:pPr>
          </w:p>
          <w:p>
            <w:pPr>
              <w:pStyle w:val="9"/>
              <w:spacing w:line="290" w:lineRule="auto"/>
              <w:rPr>
                <w:rFonts w:hint="default" w:ascii="Times New Roman" w:hAnsi="Times New Roman" w:cs="Times New Roman"/>
              </w:rPr>
            </w:pPr>
          </w:p>
          <w:p>
            <w:pPr>
              <w:pStyle w:val="9"/>
              <w:spacing w:line="290" w:lineRule="auto"/>
              <w:rPr>
                <w:rFonts w:hint="default" w:ascii="Times New Roman" w:hAnsi="Times New Roman" w:cs="Times New Roman"/>
              </w:rPr>
            </w:pPr>
          </w:p>
          <w:p>
            <w:pPr>
              <w:spacing w:before="52" w:line="242" w:lineRule="auto"/>
              <w:ind w:left="115"/>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3.84</w:t>
            </w:r>
          </w:p>
        </w:tc>
        <w:tc>
          <w:tcPr>
            <w:tcW w:w="868" w:type="dxa"/>
            <w:vAlign w:val="top"/>
          </w:tcPr>
          <w:p>
            <w:pPr>
              <w:pStyle w:val="9"/>
              <w:spacing w:line="290" w:lineRule="auto"/>
              <w:rPr>
                <w:rFonts w:hint="default" w:ascii="Times New Roman" w:hAnsi="Times New Roman" w:cs="Times New Roman"/>
              </w:rPr>
            </w:pPr>
          </w:p>
          <w:p>
            <w:pPr>
              <w:pStyle w:val="9"/>
              <w:spacing w:line="290" w:lineRule="auto"/>
              <w:rPr>
                <w:rFonts w:hint="default" w:ascii="Times New Roman" w:hAnsi="Times New Roman" w:cs="Times New Roman"/>
              </w:rPr>
            </w:pPr>
          </w:p>
          <w:p>
            <w:pPr>
              <w:pStyle w:val="9"/>
              <w:spacing w:line="290" w:lineRule="auto"/>
              <w:rPr>
                <w:rFonts w:hint="default" w:ascii="Times New Roman" w:hAnsi="Times New Roman" w:cs="Times New Roman"/>
              </w:rPr>
            </w:pPr>
          </w:p>
          <w:p>
            <w:pPr>
              <w:pStyle w:val="9"/>
              <w:spacing w:line="291" w:lineRule="auto"/>
              <w:rPr>
                <w:rFonts w:hint="default" w:ascii="Times New Roman" w:hAnsi="Times New Roman" w:cs="Times New Roman"/>
              </w:rPr>
            </w:pPr>
          </w:p>
          <w:p>
            <w:pPr>
              <w:spacing w:before="52" w:line="242" w:lineRule="auto"/>
              <w:ind w:left="273"/>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96%</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9" w:type="default"/>
          <w:pgSz w:w="16839" w:h="11906"/>
          <w:pgMar w:top="1012" w:right="692" w:bottom="1256" w:left="668" w:header="0" w:footer="1003" w:gutter="0"/>
          <w:cols w:space="720" w:num="1"/>
        </w:sectPr>
      </w:pPr>
    </w:p>
    <w:p>
      <w:pPr>
        <w:spacing w:line="307" w:lineRule="auto"/>
        <w:rPr>
          <w:rFonts w:hint="default" w:ascii="Times New Roman" w:hAnsi="Times New Roman" w:cs="Times New Roman"/>
          <w:sz w:val="21"/>
        </w:rPr>
      </w:pPr>
    </w:p>
    <w:p>
      <w:pPr>
        <w:spacing w:before="78" w:line="222" w:lineRule="auto"/>
        <w:ind w:left="137" w:firstLine="466" w:firstLineChars="200"/>
        <w:rPr>
          <w:rFonts w:hint="default" w:ascii="Times New Roman" w:hAnsi="Times New Roman" w:eastAsia="仿宋" w:cs="Times New Roman"/>
          <w:sz w:val="24"/>
          <w:szCs w:val="24"/>
        </w:rPr>
      </w:pPr>
      <w:r>
        <w:rPr>
          <w:rFonts w:hint="default" w:ascii="Times New Roman" w:hAnsi="Times New Roman" w:eastAsia="仿宋" w:cs="Times New Roman"/>
          <w:b/>
          <w:bCs/>
          <w:spacing w:val="-4"/>
          <w:sz w:val="24"/>
          <w:szCs w:val="24"/>
        </w:rPr>
        <w:t>附件1：“市政、园林、环卫一体化”第三方服务采购项目绩效评价指标体系评</w:t>
      </w:r>
      <w:r>
        <w:rPr>
          <w:rFonts w:hint="default" w:ascii="Times New Roman" w:hAnsi="Times New Roman" w:eastAsia="仿宋" w:cs="Times New Roman"/>
          <w:b/>
          <w:bCs/>
          <w:spacing w:val="-5"/>
          <w:sz w:val="24"/>
          <w:szCs w:val="24"/>
        </w:rPr>
        <w:t>分表</w:t>
      </w:r>
    </w:p>
    <w:p>
      <w:pPr>
        <w:spacing w:line="160" w:lineRule="exact"/>
        <w:rPr>
          <w:rFonts w:hint="default" w:ascii="Times New Roman" w:hAnsi="Times New Roman" w:cs="Times New Roman"/>
        </w:rPr>
      </w:pPr>
    </w:p>
    <w:tbl>
      <w:tblPr>
        <w:tblStyle w:val="8"/>
        <w:tblW w:w="154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331"/>
        <w:gridCol w:w="1308"/>
        <w:gridCol w:w="756"/>
        <w:gridCol w:w="2008"/>
        <w:gridCol w:w="760"/>
        <w:gridCol w:w="1011"/>
        <w:gridCol w:w="1811"/>
        <w:gridCol w:w="3959"/>
        <w:gridCol w:w="708"/>
        <w:gridCol w:w="86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9" w:hRule="atLeast"/>
        </w:trPr>
        <w:tc>
          <w:tcPr>
            <w:tcW w:w="952" w:type="dxa"/>
            <w:vAlign w:val="top"/>
          </w:tcPr>
          <w:p>
            <w:pPr>
              <w:spacing w:before="96" w:line="222" w:lineRule="auto"/>
              <w:ind w:left="12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一级指标</w:t>
            </w:r>
          </w:p>
        </w:tc>
        <w:tc>
          <w:tcPr>
            <w:tcW w:w="1331" w:type="dxa"/>
            <w:vAlign w:val="top"/>
          </w:tcPr>
          <w:p>
            <w:pPr>
              <w:spacing w:before="96"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二级指标</w:t>
            </w:r>
          </w:p>
        </w:tc>
        <w:tc>
          <w:tcPr>
            <w:tcW w:w="1308" w:type="dxa"/>
            <w:vAlign w:val="top"/>
          </w:tcPr>
          <w:p>
            <w:pPr>
              <w:spacing w:before="96"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三级指标</w:t>
            </w:r>
          </w:p>
        </w:tc>
        <w:tc>
          <w:tcPr>
            <w:tcW w:w="756" w:type="dxa"/>
            <w:vAlign w:val="top"/>
          </w:tcPr>
          <w:p>
            <w:pPr>
              <w:spacing w:before="96" w:line="222" w:lineRule="auto"/>
              <w:ind w:left="203"/>
              <w:rPr>
                <w:rFonts w:hint="default" w:ascii="Times New Roman" w:hAnsi="Times New Roman" w:eastAsia="仿宋" w:cs="Times New Roman"/>
                <w:sz w:val="18"/>
                <w:szCs w:val="18"/>
              </w:rPr>
            </w:pPr>
            <w:r>
              <w:rPr>
                <w:rFonts w:hint="default" w:ascii="Times New Roman" w:hAnsi="Times New Roman" w:eastAsia="仿宋" w:cs="Times New Roman"/>
                <w:b/>
                <w:bCs/>
                <w:spacing w:val="-8"/>
                <w:sz w:val="18"/>
                <w:szCs w:val="18"/>
              </w:rPr>
              <w:t>权重</w:t>
            </w:r>
          </w:p>
        </w:tc>
        <w:tc>
          <w:tcPr>
            <w:tcW w:w="2008" w:type="dxa"/>
            <w:vAlign w:val="top"/>
          </w:tcPr>
          <w:p>
            <w:pPr>
              <w:spacing w:before="96" w:line="222" w:lineRule="auto"/>
              <w:ind w:left="478"/>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指标解释</w:t>
            </w:r>
          </w:p>
        </w:tc>
        <w:tc>
          <w:tcPr>
            <w:tcW w:w="760" w:type="dxa"/>
            <w:vAlign w:val="top"/>
          </w:tcPr>
          <w:p>
            <w:pPr>
              <w:spacing w:before="96" w:line="222" w:lineRule="auto"/>
              <w:ind w:left="115"/>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标杆值</w:t>
            </w:r>
          </w:p>
        </w:tc>
        <w:tc>
          <w:tcPr>
            <w:tcW w:w="1011" w:type="dxa"/>
            <w:vAlign w:val="top"/>
          </w:tcPr>
          <w:p>
            <w:pPr>
              <w:spacing w:before="96" w:line="222"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评分依据</w:t>
            </w:r>
          </w:p>
        </w:tc>
        <w:tc>
          <w:tcPr>
            <w:tcW w:w="1811" w:type="dxa"/>
            <w:vAlign w:val="top"/>
          </w:tcPr>
          <w:p>
            <w:pPr>
              <w:spacing w:before="96" w:line="222" w:lineRule="auto"/>
              <w:ind w:left="479"/>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评价标准</w:t>
            </w:r>
          </w:p>
        </w:tc>
        <w:tc>
          <w:tcPr>
            <w:tcW w:w="3959" w:type="dxa"/>
            <w:vAlign w:val="top"/>
          </w:tcPr>
          <w:p>
            <w:pPr>
              <w:spacing w:before="96" w:line="222" w:lineRule="auto"/>
              <w:ind w:left="1383"/>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评分过程</w:t>
            </w:r>
          </w:p>
        </w:tc>
        <w:tc>
          <w:tcPr>
            <w:tcW w:w="708" w:type="dxa"/>
            <w:vAlign w:val="top"/>
          </w:tcPr>
          <w:p>
            <w:pPr>
              <w:spacing w:before="96"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得分</w:t>
            </w:r>
          </w:p>
        </w:tc>
        <w:tc>
          <w:tcPr>
            <w:tcW w:w="868" w:type="dxa"/>
            <w:vAlign w:val="top"/>
          </w:tcPr>
          <w:p>
            <w:pPr>
              <w:spacing w:before="96"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99" w:hRule="atLeast"/>
        </w:trPr>
        <w:tc>
          <w:tcPr>
            <w:tcW w:w="952" w:type="dxa"/>
            <w:vAlign w:val="top"/>
          </w:tcPr>
          <w:p>
            <w:pPr>
              <w:pStyle w:val="9"/>
              <w:spacing w:line="318" w:lineRule="auto"/>
              <w:rPr>
                <w:rFonts w:hint="default" w:ascii="Times New Roman" w:hAnsi="Times New Roman" w:cs="Times New Roman"/>
              </w:rPr>
            </w:pPr>
          </w:p>
          <w:p>
            <w:pPr>
              <w:pStyle w:val="9"/>
              <w:spacing w:line="318" w:lineRule="auto"/>
              <w:rPr>
                <w:rFonts w:hint="default" w:ascii="Times New Roman" w:hAnsi="Times New Roman" w:cs="Times New Roman"/>
              </w:rPr>
            </w:pPr>
          </w:p>
          <w:p>
            <w:pPr>
              <w:pStyle w:val="9"/>
              <w:spacing w:line="319" w:lineRule="auto"/>
              <w:rPr>
                <w:rFonts w:hint="default" w:ascii="Times New Roman" w:hAnsi="Times New Roman" w:cs="Times New Roman"/>
              </w:rPr>
            </w:pPr>
          </w:p>
          <w:p>
            <w:pPr>
              <w:spacing w:before="52" w:line="361" w:lineRule="auto"/>
              <w:ind w:left="117" w:right="210" w:hanging="9"/>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B项目过</w:t>
            </w:r>
            <w:r>
              <w:rPr>
                <w:rFonts w:hint="default" w:ascii="Times New Roman" w:hAnsi="Times New Roman" w:eastAsia="仿宋" w:cs="Times New Roman"/>
                <w:spacing w:val="-5"/>
                <w:sz w:val="16"/>
                <w:szCs w:val="16"/>
              </w:rPr>
              <w:t>程（16）</w:t>
            </w:r>
          </w:p>
        </w:tc>
        <w:tc>
          <w:tcPr>
            <w:tcW w:w="1331" w:type="dxa"/>
            <w:vAlign w:val="top"/>
          </w:tcPr>
          <w:p>
            <w:pPr>
              <w:pStyle w:val="9"/>
              <w:spacing w:line="318" w:lineRule="auto"/>
              <w:rPr>
                <w:rFonts w:hint="default" w:ascii="Times New Roman" w:hAnsi="Times New Roman" w:cs="Times New Roman"/>
              </w:rPr>
            </w:pPr>
          </w:p>
          <w:p>
            <w:pPr>
              <w:pStyle w:val="9"/>
              <w:spacing w:line="318" w:lineRule="auto"/>
              <w:rPr>
                <w:rFonts w:hint="default" w:ascii="Times New Roman" w:hAnsi="Times New Roman" w:cs="Times New Roman"/>
              </w:rPr>
            </w:pPr>
          </w:p>
          <w:p>
            <w:pPr>
              <w:pStyle w:val="9"/>
              <w:spacing w:line="318" w:lineRule="auto"/>
              <w:rPr>
                <w:rFonts w:hint="default" w:ascii="Times New Roman" w:hAnsi="Times New Roman" w:cs="Times New Roman"/>
              </w:rPr>
            </w:pPr>
          </w:p>
          <w:p>
            <w:pPr>
              <w:spacing w:before="52" w:line="368" w:lineRule="auto"/>
              <w:ind w:left="113" w:right="380" w:hanging="9"/>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B1资金管理（12）</w:t>
            </w:r>
          </w:p>
        </w:tc>
        <w:tc>
          <w:tcPr>
            <w:tcW w:w="1308" w:type="dxa"/>
            <w:vAlign w:val="top"/>
          </w:tcPr>
          <w:p>
            <w:pPr>
              <w:pStyle w:val="9"/>
              <w:spacing w:line="318" w:lineRule="auto"/>
              <w:rPr>
                <w:rFonts w:hint="default" w:ascii="Times New Roman" w:hAnsi="Times New Roman" w:cs="Times New Roman"/>
              </w:rPr>
            </w:pPr>
          </w:p>
          <w:p>
            <w:pPr>
              <w:pStyle w:val="9"/>
              <w:spacing w:line="318" w:lineRule="auto"/>
              <w:rPr>
                <w:rFonts w:hint="default" w:ascii="Times New Roman" w:hAnsi="Times New Roman" w:cs="Times New Roman"/>
              </w:rPr>
            </w:pPr>
          </w:p>
          <w:p>
            <w:pPr>
              <w:pStyle w:val="9"/>
              <w:spacing w:line="318" w:lineRule="auto"/>
              <w:rPr>
                <w:rFonts w:hint="default" w:ascii="Times New Roman" w:hAnsi="Times New Roman" w:cs="Times New Roman"/>
              </w:rPr>
            </w:pPr>
          </w:p>
          <w:p>
            <w:pPr>
              <w:spacing w:before="52" w:line="360" w:lineRule="auto"/>
              <w:ind w:left="118" w:right="198" w:hanging="13"/>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B103资金使用</w:t>
            </w:r>
            <w:r>
              <w:rPr>
                <w:rFonts w:hint="default" w:ascii="Times New Roman" w:hAnsi="Times New Roman" w:eastAsia="仿宋" w:cs="Times New Roman"/>
                <w:spacing w:val="-5"/>
                <w:sz w:val="16"/>
                <w:szCs w:val="16"/>
              </w:rPr>
              <w:t>合规性</w:t>
            </w:r>
          </w:p>
        </w:tc>
        <w:tc>
          <w:tcPr>
            <w:tcW w:w="756" w:type="dxa"/>
            <w:vAlign w:val="top"/>
          </w:tcPr>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spacing w:before="52" w:line="212" w:lineRule="exact"/>
              <w:ind w:left="269"/>
              <w:rPr>
                <w:rFonts w:hint="default" w:ascii="Times New Roman" w:hAnsi="Times New Roman" w:eastAsia="仿宋" w:cs="Times New Roman"/>
                <w:sz w:val="16"/>
                <w:szCs w:val="16"/>
              </w:rPr>
            </w:pPr>
            <w:r>
              <w:rPr>
                <w:rFonts w:hint="default" w:ascii="Times New Roman" w:hAnsi="Times New Roman" w:eastAsia="仿宋" w:cs="Times New Roman"/>
                <w:position w:val="1"/>
                <w:sz w:val="16"/>
                <w:szCs w:val="16"/>
              </w:rPr>
              <w:t>4</w:t>
            </w:r>
          </w:p>
        </w:tc>
        <w:tc>
          <w:tcPr>
            <w:tcW w:w="2008" w:type="dxa"/>
            <w:vAlign w:val="top"/>
          </w:tcPr>
          <w:p>
            <w:pPr>
              <w:pStyle w:val="9"/>
              <w:spacing w:line="318" w:lineRule="auto"/>
              <w:rPr>
                <w:rFonts w:hint="default" w:ascii="Times New Roman" w:hAnsi="Times New Roman" w:cs="Times New Roman"/>
              </w:rPr>
            </w:pPr>
          </w:p>
          <w:p>
            <w:pPr>
              <w:pStyle w:val="9"/>
              <w:spacing w:line="318" w:lineRule="auto"/>
              <w:rPr>
                <w:rFonts w:hint="default" w:ascii="Times New Roman" w:hAnsi="Times New Roman" w:cs="Times New Roman"/>
              </w:rPr>
            </w:pPr>
          </w:p>
          <w:p>
            <w:pPr>
              <w:pStyle w:val="9"/>
              <w:spacing w:line="319" w:lineRule="auto"/>
              <w:rPr>
                <w:rFonts w:hint="default" w:ascii="Times New Roman" w:hAnsi="Times New Roman" w:cs="Times New Roman"/>
              </w:rPr>
            </w:pPr>
          </w:p>
          <w:p>
            <w:pPr>
              <w:spacing w:before="52" w:line="362" w:lineRule="auto"/>
              <w:ind w:left="113" w:right="137" w:firstLine="1"/>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反映项目资金使用是否合</w:t>
            </w:r>
            <w:r>
              <w:rPr>
                <w:rFonts w:hint="default" w:ascii="Times New Roman" w:hAnsi="Times New Roman" w:eastAsia="仿宋" w:cs="Times New Roman"/>
                <w:spacing w:val="-5"/>
                <w:sz w:val="16"/>
                <w:szCs w:val="16"/>
              </w:rPr>
              <w:t>规。</w:t>
            </w:r>
          </w:p>
        </w:tc>
        <w:tc>
          <w:tcPr>
            <w:tcW w:w="760" w:type="dxa"/>
            <w:vAlign w:val="top"/>
          </w:tcPr>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spacing w:before="52" w:line="225" w:lineRule="auto"/>
              <w:ind w:left="119"/>
              <w:rPr>
                <w:rFonts w:hint="default" w:ascii="Times New Roman" w:hAnsi="Times New Roman" w:eastAsia="仿宋" w:cs="Times New Roman"/>
                <w:sz w:val="16"/>
                <w:szCs w:val="16"/>
              </w:rPr>
            </w:pPr>
            <w:r>
              <w:rPr>
                <w:rFonts w:hint="default" w:ascii="Times New Roman" w:hAnsi="Times New Roman" w:eastAsia="仿宋" w:cs="Times New Roman"/>
                <w:spacing w:val="-7"/>
                <w:sz w:val="16"/>
                <w:szCs w:val="16"/>
              </w:rPr>
              <w:t>合规</w:t>
            </w:r>
          </w:p>
        </w:tc>
        <w:tc>
          <w:tcPr>
            <w:tcW w:w="1011" w:type="dxa"/>
            <w:vAlign w:val="top"/>
          </w:tcPr>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spacing w:before="52"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通用标准</w:t>
            </w:r>
          </w:p>
        </w:tc>
        <w:tc>
          <w:tcPr>
            <w:tcW w:w="1811" w:type="dxa"/>
            <w:vAlign w:val="top"/>
          </w:tcPr>
          <w:p>
            <w:pPr>
              <w:pStyle w:val="9"/>
              <w:spacing w:line="318" w:lineRule="auto"/>
              <w:rPr>
                <w:rFonts w:hint="default" w:ascii="Times New Roman" w:hAnsi="Times New Roman" w:cs="Times New Roman"/>
              </w:rPr>
            </w:pPr>
          </w:p>
          <w:p>
            <w:pPr>
              <w:pStyle w:val="9"/>
              <w:spacing w:line="318" w:lineRule="auto"/>
              <w:rPr>
                <w:rFonts w:hint="default" w:ascii="Times New Roman" w:hAnsi="Times New Roman" w:cs="Times New Roman"/>
              </w:rPr>
            </w:pPr>
          </w:p>
          <w:p>
            <w:pPr>
              <w:pStyle w:val="9"/>
              <w:spacing w:line="318" w:lineRule="auto"/>
              <w:rPr>
                <w:rFonts w:hint="default" w:ascii="Times New Roman" w:hAnsi="Times New Roman" w:cs="Times New Roman"/>
              </w:rPr>
            </w:pPr>
          </w:p>
          <w:p>
            <w:pPr>
              <w:spacing w:before="52" w:line="361" w:lineRule="auto"/>
              <w:ind w:left="117" w:right="282" w:firstLine="6"/>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资金使用合规得满</w:t>
            </w:r>
            <w:r>
              <w:rPr>
                <w:rFonts w:hint="default" w:ascii="Times New Roman" w:hAnsi="Times New Roman" w:eastAsia="仿宋" w:cs="Times New Roman"/>
                <w:spacing w:val="-4"/>
                <w:sz w:val="16"/>
                <w:szCs w:val="16"/>
              </w:rPr>
              <w:t>分，不合规得零分。</w:t>
            </w:r>
          </w:p>
        </w:tc>
        <w:tc>
          <w:tcPr>
            <w:tcW w:w="3959" w:type="dxa"/>
            <w:vAlign w:val="top"/>
          </w:tcPr>
          <w:p>
            <w:pPr>
              <w:spacing w:before="76" w:line="348" w:lineRule="auto"/>
              <w:ind w:left="116" w:right="166"/>
              <w:jc w:val="both"/>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该项目资金支付依据财政预算批复，项目资金支出方向包含建设城乡环卫保洁工程量、园林绿化及公园管理面积、市政设施养护工程量内容，经评价组核实各项资金国库集中支付凭证可知，项目各分项支出用途与预算批复内容相符；资金支付前，经单位主管领导审批后进行支付，资金支付流程符合住房和城乡建设局财务制度，项目资金使用合规。综上所述，该指标</w:t>
            </w:r>
            <w:r>
              <w:rPr>
                <w:rFonts w:hint="default" w:ascii="Times New Roman" w:hAnsi="Times New Roman" w:eastAsia="仿宋" w:cs="Times New Roman"/>
                <w:spacing w:val="-7"/>
                <w:sz w:val="16"/>
                <w:szCs w:val="16"/>
              </w:rPr>
              <w:t>得4分。</w:t>
            </w:r>
          </w:p>
        </w:tc>
        <w:tc>
          <w:tcPr>
            <w:tcW w:w="708" w:type="dxa"/>
            <w:vAlign w:val="top"/>
          </w:tcPr>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spacing w:before="52" w:line="212" w:lineRule="exact"/>
              <w:ind w:left="272"/>
              <w:rPr>
                <w:rFonts w:hint="default" w:ascii="Times New Roman" w:hAnsi="Times New Roman" w:eastAsia="仿宋" w:cs="Times New Roman"/>
                <w:sz w:val="16"/>
                <w:szCs w:val="16"/>
              </w:rPr>
            </w:pPr>
            <w:r>
              <w:rPr>
                <w:rFonts w:hint="default" w:ascii="Times New Roman" w:hAnsi="Times New Roman" w:eastAsia="仿宋" w:cs="Times New Roman"/>
                <w:position w:val="1"/>
                <w:sz w:val="16"/>
                <w:szCs w:val="16"/>
              </w:rPr>
              <w:t>4</w:t>
            </w:r>
          </w:p>
        </w:tc>
        <w:tc>
          <w:tcPr>
            <w:tcW w:w="868" w:type="dxa"/>
            <w:vAlign w:val="top"/>
          </w:tcPr>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spacing w:before="52" w:line="242" w:lineRule="auto"/>
              <w:ind w:left="285"/>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25" w:hRule="atLeast"/>
        </w:trPr>
        <w:tc>
          <w:tcPr>
            <w:tcW w:w="952" w:type="dxa"/>
            <w:vAlign w:val="top"/>
          </w:tcPr>
          <w:p>
            <w:pPr>
              <w:pStyle w:val="9"/>
              <w:spacing w:line="279" w:lineRule="auto"/>
              <w:rPr>
                <w:rFonts w:hint="default" w:ascii="Times New Roman" w:hAnsi="Times New Roman" w:cs="Times New Roman"/>
              </w:rPr>
            </w:pPr>
          </w:p>
          <w:p>
            <w:pPr>
              <w:pStyle w:val="9"/>
              <w:spacing w:line="279" w:lineRule="auto"/>
              <w:rPr>
                <w:rFonts w:hint="default" w:ascii="Times New Roman" w:hAnsi="Times New Roman" w:cs="Times New Roman"/>
              </w:rPr>
            </w:pPr>
          </w:p>
          <w:p>
            <w:pPr>
              <w:pStyle w:val="9"/>
              <w:spacing w:line="279" w:lineRule="auto"/>
              <w:rPr>
                <w:rFonts w:hint="default" w:ascii="Times New Roman" w:hAnsi="Times New Roman" w:cs="Times New Roman"/>
              </w:rPr>
            </w:pPr>
          </w:p>
          <w:p>
            <w:pPr>
              <w:pStyle w:val="9"/>
              <w:spacing w:line="279" w:lineRule="auto"/>
              <w:rPr>
                <w:rFonts w:hint="default" w:ascii="Times New Roman" w:hAnsi="Times New Roman" w:cs="Times New Roman"/>
              </w:rPr>
            </w:pPr>
          </w:p>
          <w:p>
            <w:pPr>
              <w:spacing w:before="52" w:line="361" w:lineRule="auto"/>
              <w:ind w:left="117" w:right="210" w:hanging="9"/>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B项目过</w:t>
            </w:r>
            <w:r>
              <w:rPr>
                <w:rFonts w:hint="default" w:ascii="Times New Roman" w:hAnsi="Times New Roman" w:eastAsia="仿宋" w:cs="Times New Roman"/>
                <w:spacing w:val="-5"/>
                <w:sz w:val="16"/>
                <w:szCs w:val="16"/>
              </w:rPr>
              <w:t>程（16）</w:t>
            </w:r>
          </w:p>
        </w:tc>
        <w:tc>
          <w:tcPr>
            <w:tcW w:w="1331" w:type="dxa"/>
            <w:vAlign w:val="top"/>
          </w:tcPr>
          <w:p>
            <w:pPr>
              <w:pStyle w:val="9"/>
              <w:spacing w:line="278" w:lineRule="auto"/>
              <w:rPr>
                <w:rFonts w:hint="default" w:ascii="Times New Roman" w:hAnsi="Times New Roman" w:cs="Times New Roman"/>
              </w:rPr>
            </w:pPr>
          </w:p>
          <w:p>
            <w:pPr>
              <w:pStyle w:val="9"/>
              <w:spacing w:line="279" w:lineRule="auto"/>
              <w:rPr>
                <w:rFonts w:hint="default" w:ascii="Times New Roman" w:hAnsi="Times New Roman" w:cs="Times New Roman"/>
              </w:rPr>
            </w:pPr>
          </w:p>
          <w:p>
            <w:pPr>
              <w:pStyle w:val="9"/>
              <w:spacing w:line="279" w:lineRule="auto"/>
              <w:rPr>
                <w:rFonts w:hint="default" w:ascii="Times New Roman" w:hAnsi="Times New Roman" w:cs="Times New Roman"/>
              </w:rPr>
            </w:pPr>
          </w:p>
          <w:p>
            <w:pPr>
              <w:pStyle w:val="9"/>
              <w:spacing w:line="279" w:lineRule="auto"/>
              <w:rPr>
                <w:rFonts w:hint="default" w:ascii="Times New Roman" w:hAnsi="Times New Roman" w:cs="Times New Roman"/>
              </w:rPr>
            </w:pPr>
          </w:p>
          <w:p>
            <w:pPr>
              <w:spacing w:before="52" w:line="368" w:lineRule="auto"/>
              <w:ind w:left="113" w:right="380" w:hanging="9"/>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B2组织实施</w:t>
            </w:r>
            <w:r>
              <w:rPr>
                <w:rFonts w:hint="default" w:ascii="Times New Roman" w:hAnsi="Times New Roman" w:eastAsia="仿宋" w:cs="Times New Roman"/>
                <w:spacing w:val="-4"/>
                <w:sz w:val="16"/>
                <w:szCs w:val="16"/>
              </w:rPr>
              <w:t>（4）</w:t>
            </w:r>
          </w:p>
        </w:tc>
        <w:tc>
          <w:tcPr>
            <w:tcW w:w="1308" w:type="dxa"/>
            <w:vAlign w:val="top"/>
          </w:tcPr>
          <w:p>
            <w:pPr>
              <w:pStyle w:val="9"/>
              <w:spacing w:line="278" w:lineRule="auto"/>
              <w:rPr>
                <w:rFonts w:hint="default" w:ascii="Times New Roman" w:hAnsi="Times New Roman" w:cs="Times New Roman"/>
              </w:rPr>
            </w:pPr>
          </w:p>
          <w:p>
            <w:pPr>
              <w:pStyle w:val="9"/>
              <w:spacing w:line="279" w:lineRule="auto"/>
              <w:rPr>
                <w:rFonts w:hint="default" w:ascii="Times New Roman" w:hAnsi="Times New Roman" w:cs="Times New Roman"/>
              </w:rPr>
            </w:pPr>
          </w:p>
          <w:p>
            <w:pPr>
              <w:pStyle w:val="9"/>
              <w:spacing w:line="279" w:lineRule="auto"/>
              <w:rPr>
                <w:rFonts w:hint="default" w:ascii="Times New Roman" w:hAnsi="Times New Roman" w:cs="Times New Roman"/>
              </w:rPr>
            </w:pPr>
          </w:p>
          <w:p>
            <w:pPr>
              <w:pStyle w:val="9"/>
              <w:spacing w:line="279" w:lineRule="auto"/>
              <w:rPr>
                <w:rFonts w:hint="default" w:ascii="Times New Roman" w:hAnsi="Times New Roman" w:cs="Times New Roman"/>
              </w:rPr>
            </w:pPr>
          </w:p>
          <w:p>
            <w:pPr>
              <w:spacing w:before="52" w:line="360" w:lineRule="auto"/>
              <w:ind w:left="113" w:right="198" w:hanging="8"/>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B201管理制度健全性</w:t>
            </w:r>
          </w:p>
        </w:tc>
        <w:tc>
          <w:tcPr>
            <w:tcW w:w="756" w:type="dxa"/>
            <w:vAlign w:val="top"/>
          </w:tcPr>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5" w:lineRule="auto"/>
              <w:rPr>
                <w:rFonts w:hint="default" w:ascii="Times New Roman" w:hAnsi="Times New Roman" w:cs="Times New Roman"/>
              </w:rPr>
            </w:pPr>
          </w:p>
          <w:p>
            <w:pPr>
              <w:spacing w:before="52" w:line="211" w:lineRule="exact"/>
              <w:ind w:left="272"/>
              <w:rPr>
                <w:rFonts w:hint="default" w:ascii="Times New Roman" w:hAnsi="Times New Roman" w:eastAsia="仿宋" w:cs="Times New Roman"/>
                <w:sz w:val="16"/>
                <w:szCs w:val="16"/>
              </w:rPr>
            </w:pPr>
            <w:r>
              <w:rPr>
                <w:rFonts w:hint="default" w:ascii="Times New Roman" w:hAnsi="Times New Roman" w:eastAsia="仿宋" w:cs="Times New Roman"/>
                <w:position w:val="1"/>
                <w:sz w:val="16"/>
                <w:szCs w:val="16"/>
              </w:rPr>
              <w:t>2</w:t>
            </w:r>
          </w:p>
        </w:tc>
        <w:tc>
          <w:tcPr>
            <w:tcW w:w="2008" w:type="dxa"/>
            <w:vAlign w:val="top"/>
          </w:tcPr>
          <w:p>
            <w:pPr>
              <w:pStyle w:val="9"/>
              <w:spacing w:line="268"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spacing w:before="52" w:line="360" w:lineRule="auto"/>
              <w:ind w:left="114" w:right="137"/>
              <w:jc w:val="both"/>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项目实施单位的业务管理制度是否健全，用以反映和考核业务管理制度对项目顺利实施的保障情况。</w:t>
            </w:r>
          </w:p>
        </w:tc>
        <w:tc>
          <w:tcPr>
            <w:tcW w:w="760" w:type="dxa"/>
            <w:vAlign w:val="top"/>
          </w:tcPr>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5" w:lineRule="auto"/>
              <w:rPr>
                <w:rFonts w:hint="default" w:ascii="Times New Roman" w:hAnsi="Times New Roman" w:cs="Times New Roman"/>
              </w:rPr>
            </w:pPr>
          </w:p>
          <w:p>
            <w:pPr>
              <w:spacing w:before="52" w:line="224" w:lineRule="auto"/>
              <w:ind w:left="114"/>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健全</w:t>
            </w:r>
          </w:p>
        </w:tc>
        <w:tc>
          <w:tcPr>
            <w:tcW w:w="1011" w:type="dxa"/>
            <w:vAlign w:val="top"/>
          </w:tcPr>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spacing w:before="52"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通用标准</w:t>
            </w:r>
          </w:p>
        </w:tc>
        <w:tc>
          <w:tcPr>
            <w:tcW w:w="1811" w:type="dxa"/>
            <w:vAlign w:val="top"/>
          </w:tcPr>
          <w:p>
            <w:pPr>
              <w:spacing w:before="83" w:line="360" w:lineRule="auto"/>
              <w:ind w:left="116" w:right="258" w:hanging="6"/>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①是否已制定或具有</w:t>
            </w:r>
            <w:r>
              <w:rPr>
                <w:rFonts w:hint="default" w:ascii="Times New Roman" w:hAnsi="Times New Roman" w:eastAsia="仿宋" w:cs="Times New Roman"/>
                <w:spacing w:val="-2"/>
                <w:sz w:val="16"/>
                <w:szCs w:val="16"/>
              </w:rPr>
              <w:t>相应的财务和业务管</w:t>
            </w:r>
            <w:r>
              <w:rPr>
                <w:rFonts w:hint="default" w:ascii="Times New Roman" w:hAnsi="Times New Roman" w:eastAsia="仿宋" w:cs="Times New Roman"/>
                <w:spacing w:val="-3"/>
                <w:sz w:val="16"/>
                <w:szCs w:val="16"/>
              </w:rPr>
              <w:t>理制度;</w:t>
            </w:r>
          </w:p>
          <w:p>
            <w:pPr>
              <w:spacing w:before="2" w:line="359" w:lineRule="auto"/>
              <w:ind w:left="114" w:right="258" w:hanging="5"/>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②财务和业务管理制度是否合法、合规、</w:t>
            </w:r>
            <w:r>
              <w:rPr>
                <w:rFonts w:hint="default" w:ascii="Times New Roman" w:hAnsi="Times New Roman" w:eastAsia="仿宋" w:cs="Times New Roman"/>
                <w:spacing w:val="-3"/>
                <w:sz w:val="16"/>
                <w:szCs w:val="16"/>
              </w:rPr>
              <w:t>完整。</w:t>
            </w:r>
          </w:p>
          <w:p>
            <w:pPr>
              <w:spacing w:line="223" w:lineRule="auto"/>
              <w:ind w:left="131"/>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以上两项各占50%的权</w:t>
            </w:r>
          </w:p>
          <w:p>
            <w:pPr>
              <w:spacing w:before="117" w:line="224" w:lineRule="auto"/>
              <w:ind w:left="120"/>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重分，满足得分，否</w:t>
            </w:r>
          </w:p>
          <w:p>
            <w:pPr>
              <w:spacing w:before="118" w:line="224" w:lineRule="auto"/>
              <w:ind w:left="117"/>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则扣除对应分值。</w:t>
            </w:r>
          </w:p>
        </w:tc>
        <w:tc>
          <w:tcPr>
            <w:tcW w:w="3959" w:type="dxa"/>
            <w:vAlign w:val="top"/>
          </w:tcPr>
          <w:p>
            <w:pPr>
              <w:pStyle w:val="9"/>
              <w:spacing w:line="248" w:lineRule="auto"/>
              <w:rPr>
                <w:rFonts w:hint="default" w:ascii="Times New Roman" w:hAnsi="Times New Roman" w:cs="Times New Roman"/>
              </w:rPr>
            </w:pPr>
          </w:p>
          <w:p>
            <w:pPr>
              <w:pStyle w:val="9"/>
              <w:spacing w:line="249" w:lineRule="auto"/>
              <w:rPr>
                <w:rFonts w:hint="default" w:ascii="Times New Roman" w:hAnsi="Times New Roman" w:cs="Times New Roman"/>
              </w:rPr>
            </w:pPr>
          </w:p>
          <w:p>
            <w:pPr>
              <w:spacing w:before="52" w:line="360" w:lineRule="auto"/>
              <w:ind w:left="115" w:right="166" w:firstLine="8"/>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哈密市伊州区住建局作为本项目实施单位，已制定单位财务管理制度，明确了单位预算管理、收支管理、采购管理、资产、建设项目工作等方面相关要求，业务层面，项目依据相关文件、项目管理考核办法、业务管理制度合法、合规且完整健全。综上所述，该指</w:t>
            </w:r>
            <w:r>
              <w:rPr>
                <w:rFonts w:hint="default" w:ascii="Times New Roman" w:hAnsi="Times New Roman" w:eastAsia="仿宋" w:cs="Times New Roman"/>
                <w:spacing w:val="-6"/>
                <w:sz w:val="16"/>
                <w:szCs w:val="16"/>
              </w:rPr>
              <w:t>标得2分。</w:t>
            </w:r>
          </w:p>
        </w:tc>
        <w:tc>
          <w:tcPr>
            <w:tcW w:w="708" w:type="dxa"/>
            <w:vAlign w:val="top"/>
          </w:tcPr>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5" w:lineRule="auto"/>
              <w:rPr>
                <w:rFonts w:hint="default" w:ascii="Times New Roman" w:hAnsi="Times New Roman" w:cs="Times New Roman"/>
              </w:rPr>
            </w:pPr>
          </w:p>
          <w:p>
            <w:pPr>
              <w:spacing w:before="52" w:line="211" w:lineRule="exact"/>
              <w:ind w:left="275"/>
              <w:rPr>
                <w:rFonts w:hint="default" w:ascii="Times New Roman" w:hAnsi="Times New Roman" w:eastAsia="仿宋" w:cs="Times New Roman"/>
                <w:sz w:val="16"/>
                <w:szCs w:val="16"/>
              </w:rPr>
            </w:pPr>
            <w:r>
              <w:rPr>
                <w:rFonts w:hint="default" w:ascii="Times New Roman" w:hAnsi="Times New Roman" w:eastAsia="仿宋" w:cs="Times New Roman"/>
                <w:position w:val="1"/>
                <w:sz w:val="16"/>
                <w:szCs w:val="16"/>
              </w:rPr>
              <w:t>2</w:t>
            </w:r>
          </w:p>
        </w:tc>
        <w:tc>
          <w:tcPr>
            <w:tcW w:w="868" w:type="dxa"/>
            <w:vAlign w:val="top"/>
          </w:tcPr>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5" w:lineRule="auto"/>
              <w:rPr>
                <w:rFonts w:hint="default" w:ascii="Times New Roman" w:hAnsi="Times New Roman" w:cs="Times New Roman"/>
              </w:rPr>
            </w:pPr>
          </w:p>
          <w:p>
            <w:pPr>
              <w:spacing w:before="52" w:line="242" w:lineRule="auto"/>
              <w:ind w:left="285"/>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100%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10" w:type="default"/>
          <w:pgSz w:w="16839" w:h="11906"/>
          <w:pgMar w:top="1012" w:right="692" w:bottom="1256" w:left="668" w:header="0" w:footer="1003" w:gutter="0"/>
          <w:cols w:space="720" w:num="1"/>
        </w:sectPr>
      </w:pPr>
    </w:p>
    <w:p>
      <w:pPr>
        <w:spacing w:line="307" w:lineRule="auto"/>
        <w:rPr>
          <w:rFonts w:hint="default" w:ascii="Times New Roman" w:hAnsi="Times New Roman" w:cs="Times New Roman"/>
          <w:sz w:val="21"/>
        </w:rPr>
      </w:pPr>
    </w:p>
    <w:p>
      <w:pPr>
        <w:spacing w:before="78" w:line="222" w:lineRule="auto"/>
        <w:ind w:left="137" w:firstLine="466" w:firstLineChars="200"/>
        <w:rPr>
          <w:rFonts w:hint="default" w:ascii="Times New Roman" w:hAnsi="Times New Roman" w:eastAsia="仿宋" w:cs="Times New Roman"/>
          <w:sz w:val="24"/>
          <w:szCs w:val="24"/>
        </w:rPr>
      </w:pPr>
      <w:r>
        <w:rPr>
          <w:rFonts w:hint="default" w:ascii="Times New Roman" w:hAnsi="Times New Roman" w:eastAsia="仿宋" w:cs="Times New Roman"/>
          <w:b/>
          <w:bCs/>
          <w:spacing w:val="-4"/>
          <w:sz w:val="24"/>
          <w:szCs w:val="24"/>
        </w:rPr>
        <w:t>附件1：“市政、园林、环卫一体化”第三方服务采购项目绩效评价指标体系评</w:t>
      </w:r>
      <w:r>
        <w:rPr>
          <w:rFonts w:hint="default" w:ascii="Times New Roman" w:hAnsi="Times New Roman" w:eastAsia="仿宋" w:cs="Times New Roman"/>
          <w:b/>
          <w:bCs/>
          <w:spacing w:val="-5"/>
          <w:sz w:val="24"/>
          <w:szCs w:val="24"/>
        </w:rPr>
        <w:t>分表</w:t>
      </w:r>
    </w:p>
    <w:p>
      <w:pPr>
        <w:spacing w:line="160" w:lineRule="exact"/>
        <w:rPr>
          <w:rFonts w:hint="default" w:ascii="Times New Roman" w:hAnsi="Times New Roman" w:cs="Times New Roman"/>
        </w:rPr>
      </w:pPr>
    </w:p>
    <w:tbl>
      <w:tblPr>
        <w:tblStyle w:val="8"/>
        <w:tblW w:w="154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331"/>
        <w:gridCol w:w="1308"/>
        <w:gridCol w:w="756"/>
        <w:gridCol w:w="2008"/>
        <w:gridCol w:w="760"/>
        <w:gridCol w:w="1011"/>
        <w:gridCol w:w="1811"/>
        <w:gridCol w:w="3959"/>
        <w:gridCol w:w="708"/>
        <w:gridCol w:w="86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9" w:hRule="atLeast"/>
        </w:trPr>
        <w:tc>
          <w:tcPr>
            <w:tcW w:w="952" w:type="dxa"/>
            <w:vAlign w:val="top"/>
          </w:tcPr>
          <w:p>
            <w:pPr>
              <w:spacing w:before="96" w:line="222" w:lineRule="auto"/>
              <w:ind w:left="12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一级指标</w:t>
            </w:r>
          </w:p>
        </w:tc>
        <w:tc>
          <w:tcPr>
            <w:tcW w:w="1331" w:type="dxa"/>
            <w:vAlign w:val="top"/>
          </w:tcPr>
          <w:p>
            <w:pPr>
              <w:spacing w:before="96"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二级指标</w:t>
            </w:r>
          </w:p>
        </w:tc>
        <w:tc>
          <w:tcPr>
            <w:tcW w:w="1308" w:type="dxa"/>
            <w:vAlign w:val="top"/>
          </w:tcPr>
          <w:p>
            <w:pPr>
              <w:spacing w:before="96"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三级指标</w:t>
            </w:r>
          </w:p>
        </w:tc>
        <w:tc>
          <w:tcPr>
            <w:tcW w:w="756" w:type="dxa"/>
            <w:vAlign w:val="top"/>
          </w:tcPr>
          <w:p>
            <w:pPr>
              <w:spacing w:before="96" w:line="222" w:lineRule="auto"/>
              <w:ind w:left="203"/>
              <w:rPr>
                <w:rFonts w:hint="default" w:ascii="Times New Roman" w:hAnsi="Times New Roman" w:eastAsia="仿宋" w:cs="Times New Roman"/>
                <w:sz w:val="18"/>
                <w:szCs w:val="18"/>
              </w:rPr>
            </w:pPr>
            <w:r>
              <w:rPr>
                <w:rFonts w:hint="default" w:ascii="Times New Roman" w:hAnsi="Times New Roman" w:eastAsia="仿宋" w:cs="Times New Roman"/>
                <w:b/>
                <w:bCs/>
                <w:spacing w:val="-8"/>
                <w:sz w:val="18"/>
                <w:szCs w:val="18"/>
              </w:rPr>
              <w:t>权重</w:t>
            </w:r>
          </w:p>
        </w:tc>
        <w:tc>
          <w:tcPr>
            <w:tcW w:w="2008" w:type="dxa"/>
            <w:vAlign w:val="top"/>
          </w:tcPr>
          <w:p>
            <w:pPr>
              <w:spacing w:before="96" w:line="222" w:lineRule="auto"/>
              <w:ind w:left="478"/>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指标解释</w:t>
            </w:r>
          </w:p>
        </w:tc>
        <w:tc>
          <w:tcPr>
            <w:tcW w:w="760" w:type="dxa"/>
            <w:vAlign w:val="top"/>
          </w:tcPr>
          <w:p>
            <w:pPr>
              <w:spacing w:before="96" w:line="222" w:lineRule="auto"/>
              <w:ind w:left="115"/>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标杆值</w:t>
            </w:r>
          </w:p>
        </w:tc>
        <w:tc>
          <w:tcPr>
            <w:tcW w:w="1011" w:type="dxa"/>
            <w:vAlign w:val="top"/>
          </w:tcPr>
          <w:p>
            <w:pPr>
              <w:spacing w:before="96" w:line="222"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评分依据</w:t>
            </w:r>
          </w:p>
        </w:tc>
        <w:tc>
          <w:tcPr>
            <w:tcW w:w="1811" w:type="dxa"/>
            <w:vAlign w:val="top"/>
          </w:tcPr>
          <w:p>
            <w:pPr>
              <w:spacing w:before="96" w:line="222" w:lineRule="auto"/>
              <w:ind w:left="479"/>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评价标准</w:t>
            </w:r>
          </w:p>
        </w:tc>
        <w:tc>
          <w:tcPr>
            <w:tcW w:w="3959" w:type="dxa"/>
            <w:vAlign w:val="top"/>
          </w:tcPr>
          <w:p>
            <w:pPr>
              <w:spacing w:before="96" w:line="222" w:lineRule="auto"/>
              <w:ind w:left="1383"/>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评分过程</w:t>
            </w:r>
          </w:p>
        </w:tc>
        <w:tc>
          <w:tcPr>
            <w:tcW w:w="708" w:type="dxa"/>
            <w:vAlign w:val="top"/>
          </w:tcPr>
          <w:p>
            <w:pPr>
              <w:spacing w:before="96"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得分</w:t>
            </w:r>
          </w:p>
        </w:tc>
        <w:tc>
          <w:tcPr>
            <w:tcW w:w="868" w:type="dxa"/>
            <w:vAlign w:val="top"/>
          </w:tcPr>
          <w:p>
            <w:pPr>
              <w:spacing w:before="96"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619" w:hRule="atLeast"/>
        </w:trPr>
        <w:tc>
          <w:tcPr>
            <w:tcW w:w="952" w:type="dxa"/>
            <w:vAlign w:val="top"/>
          </w:tcPr>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spacing w:before="52" w:line="361" w:lineRule="auto"/>
              <w:ind w:left="117" w:right="210" w:hanging="9"/>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B项目过</w:t>
            </w:r>
            <w:r>
              <w:rPr>
                <w:rFonts w:hint="default" w:ascii="Times New Roman" w:hAnsi="Times New Roman" w:eastAsia="仿宋" w:cs="Times New Roman"/>
                <w:spacing w:val="-5"/>
                <w:sz w:val="16"/>
                <w:szCs w:val="16"/>
              </w:rPr>
              <w:t>程（16）</w:t>
            </w:r>
          </w:p>
        </w:tc>
        <w:tc>
          <w:tcPr>
            <w:tcW w:w="1331" w:type="dxa"/>
            <w:vAlign w:val="top"/>
          </w:tcPr>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spacing w:before="52" w:line="368" w:lineRule="auto"/>
              <w:ind w:left="113" w:right="380" w:hanging="9"/>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B2组织实施</w:t>
            </w:r>
            <w:r>
              <w:rPr>
                <w:rFonts w:hint="default" w:ascii="Times New Roman" w:hAnsi="Times New Roman" w:eastAsia="仿宋" w:cs="Times New Roman"/>
                <w:spacing w:val="-4"/>
                <w:sz w:val="16"/>
                <w:szCs w:val="16"/>
              </w:rPr>
              <w:t>（4）</w:t>
            </w:r>
          </w:p>
        </w:tc>
        <w:tc>
          <w:tcPr>
            <w:tcW w:w="1308" w:type="dxa"/>
            <w:vAlign w:val="top"/>
          </w:tcPr>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spacing w:before="52" w:line="360" w:lineRule="auto"/>
              <w:ind w:left="111" w:right="198" w:hanging="6"/>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B202制度执行</w:t>
            </w:r>
            <w:r>
              <w:rPr>
                <w:rFonts w:hint="default" w:ascii="Times New Roman" w:hAnsi="Times New Roman" w:eastAsia="仿宋" w:cs="Times New Roman"/>
                <w:spacing w:val="-3"/>
                <w:sz w:val="16"/>
                <w:szCs w:val="16"/>
              </w:rPr>
              <w:t>有效性</w:t>
            </w:r>
          </w:p>
        </w:tc>
        <w:tc>
          <w:tcPr>
            <w:tcW w:w="756" w:type="dxa"/>
            <w:vAlign w:val="top"/>
          </w:tcPr>
          <w:p>
            <w:pPr>
              <w:pStyle w:val="9"/>
              <w:spacing w:line="241" w:lineRule="auto"/>
              <w:rPr>
                <w:rFonts w:hint="default" w:ascii="Times New Roman" w:hAnsi="Times New Roman" w:cs="Times New Roman"/>
              </w:rPr>
            </w:pPr>
          </w:p>
          <w:p>
            <w:pPr>
              <w:pStyle w:val="9"/>
              <w:spacing w:line="241"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spacing w:before="52" w:line="211" w:lineRule="exact"/>
              <w:ind w:left="272"/>
              <w:rPr>
                <w:rFonts w:hint="default" w:ascii="Times New Roman" w:hAnsi="Times New Roman" w:eastAsia="仿宋" w:cs="Times New Roman"/>
                <w:sz w:val="16"/>
                <w:szCs w:val="16"/>
              </w:rPr>
            </w:pPr>
            <w:r>
              <w:rPr>
                <w:rFonts w:hint="default" w:ascii="Times New Roman" w:hAnsi="Times New Roman" w:eastAsia="仿宋" w:cs="Times New Roman"/>
                <w:position w:val="1"/>
                <w:sz w:val="16"/>
                <w:szCs w:val="16"/>
              </w:rPr>
              <w:t>2</w:t>
            </w:r>
          </w:p>
        </w:tc>
        <w:tc>
          <w:tcPr>
            <w:tcW w:w="2008" w:type="dxa"/>
            <w:vAlign w:val="top"/>
          </w:tcPr>
          <w:p>
            <w:pPr>
              <w:pStyle w:val="9"/>
              <w:spacing w:line="243" w:lineRule="auto"/>
              <w:rPr>
                <w:rFonts w:hint="default" w:ascii="Times New Roman" w:hAnsi="Times New Roman" w:cs="Times New Roman"/>
              </w:rPr>
            </w:pPr>
          </w:p>
          <w:p>
            <w:pPr>
              <w:pStyle w:val="9"/>
              <w:spacing w:line="244" w:lineRule="auto"/>
              <w:rPr>
                <w:rFonts w:hint="default" w:ascii="Times New Roman" w:hAnsi="Times New Roman" w:cs="Times New Roman"/>
              </w:rPr>
            </w:pPr>
          </w:p>
          <w:p>
            <w:pPr>
              <w:pStyle w:val="9"/>
              <w:spacing w:line="244" w:lineRule="auto"/>
              <w:rPr>
                <w:rFonts w:hint="default" w:ascii="Times New Roman" w:hAnsi="Times New Roman" w:cs="Times New Roman"/>
              </w:rPr>
            </w:pPr>
          </w:p>
          <w:p>
            <w:pPr>
              <w:pStyle w:val="9"/>
              <w:spacing w:line="244" w:lineRule="auto"/>
              <w:rPr>
                <w:rFonts w:hint="default" w:ascii="Times New Roman" w:hAnsi="Times New Roman" w:cs="Times New Roman"/>
              </w:rPr>
            </w:pPr>
          </w:p>
          <w:p>
            <w:pPr>
              <w:pStyle w:val="9"/>
              <w:spacing w:line="244" w:lineRule="auto"/>
              <w:rPr>
                <w:rFonts w:hint="default" w:ascii="Times New Roman" w:hAnsi="Times New Roman" w:cs="Times New Roman"/>
              </w:rPr>
            </w:pPr>
          </w:p>
          <w:p>
            <w:pPr>
              <w:pStyle w:val="9"/>
              <w:spacing w:line="244" w:lineRule="auto"/>
              <w:rPr>
                <w:rFonts w:hint="default" w:ascii="Times New Roman" w:hAnsi="Times New Roman" w:cs="Times New Roman"/>
              </w:rPr>
            </w:pPr>
          </w:p>
          <w:p>
            <w:pPr>
              <w:pStyle w:val="9"/>
              <w:spacing w:line="244" w:lineRule="auto"/>
              <w:rPr>
                <w:rFonts w:hint="default" w:ascii="Times New Roman" w:hAnsi="Times New Roman" w:cs="Times New Roman"/>
              </w:rPr>
            </w:pPr>
          </w:p>
          <w:p>
            <w:pPr>
              <w:pStyle w:val="9"/>
              <w:spacing w:line="244" w:lineRule="auto"/>
              <w:rPr>
                <w:rFonts w:hint="default" w:ascii="Times New Roman" w:hAnsi="Times New Roman" w:cs="Times New Roman"/>
              </w:rPr>
            </w:pPr>
          </w:p>
          <w:p>
            <w:pPr>
              <w:pStyle w:val="9"/>
              <w:spacing w:line="244" w:lineRule="auto"/>
              <w:rPr>
                <w:rFonts w:hint="default" w:ascii="Times New Roman" w:hAnsi="Times New Roman" w:cs="Times New Roman"/>
              </w:rPr>
            </w:pPr>
          </w:p>
          <w:p>
            <w:pPr>
              <w:spacing w:before="52" w:line="360" w:lineRule="auto"/>
              <w:ind w:left="113" w:right="137" w:firstLine="1"/>
              <w:jc w:val="both"/>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项目实施是否符合相关业务管理规定,用以反映和考核业务管理制度的有效</w:t>
            </w:r>
            <w:r>
              <w:rPr>
                <w:rFonts w:hint="default" w:ascii="Times New Roman" w:hAnsi="Times New Roman" w:eastAsia="仿宋" w:cs="Times New Roman"/>
                <w:spacing w:val="-2"/>
                <w:sz w:val="16"/>
                <w:szCs w:val="16"/>
              </w:rPr>
              <w:t>执行情况。</w:t>
            </w:r>
          </w:p>
        </w:tc>
        <w:tc>
          <w:tcPr>
            <w:tcW w:w="760" w:type="dxa"/>
            <w:vAlign w:val="top"/>
          </w:tcPr>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spacing w:before="52" w:line="361" w:lineRule="auto"/>
              <w:ind w:left="113" w:right="170" w:firstLine="1"/>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执行且有效</w:t>
            </w:r>
          </w:p>
        </w:tc>
        <w:tc>
          <w:tcPr>
            <w:tcW w:w="1011" w:type="dxa"/>
            <w:vAlign w:val="top"/>
          </w:tcPr>
          <w:p>
            <w:pPr>
              <w:pStyle w:val="9"/>
              <w:spacing w:line="241" w:lineRule="auto"/>
              <w:rPr>
                <w:rFonts w:hint="default" w:ascii="Times New Roman" w:hAnsi="Times New Roman" w:cs="Times New Roman"/>
              </w:rPr>
            </w:pPr>
          </w:p>
          <w:p>
            <w:pPr>
              <w:pStyle w:val="9"/>
              <w:spacing w:line="241" w:lineRule="auto"/>
              <w:rPr>
                <w:rFonts w:hint="default" w:ascii="Times New Roman" w:hAnsi="Times New Roman" w:cs="Times New Roman"/>
              </w:rPr>
            </w:pPr>
          </w:p>
          <w:p>
            <w:pPr>
              <w:pStyle w:val="9"/>
              <w:spacing w:line="241"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spacing w:before="52"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通用标准</w:t>
            </w:r>
          </w:p>
        </w:tc>
        <w:tc>
          <w:tcPr>
            <w:tcW w:w="1811" w:type="dxa"/>
            <w:vAlign w:val="top"/>
          </w:tcPr>
          <w:p>
            <w:pPr>
              <w:spacing w:before="76" w:line="360" w:lineRule="auto"/>
              <w:ind w:left="120" w:right="258" w:hanging="10"/>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①是否遵守相关法律</w:t>
            </w:r>
            <w:r>
              <w:rPr>
                <w:rFonts w:hint="default" w:ascii="Times New Roman" w:hAnsi="Times New Roman" w:eastAsia="仿宋" w:cs="Times New Roman"/>
                <w:spacing w:val="-2"/>
                <w:sz w:val="16"/>
                <w:szCs w:val="16"/>
              </w:rPr>
              <w:t>法规和相关管理规</w:t>
            </w:r>
          </w:p>
          <w:p>
            <w:pPr>
              <w:spacing w:line="223" w:lineRule="auto"/>
              <w:ind w:left="118"/>
              <w:rPr>
                <w:rFonts w:hint="default" w:ascii="Times New Roman" w:hAnsi="Times New Roman" w:eastAsia="仿宋" w:cs="Times New Roman"/>
                <w:sz w:val="16"/>
                <w:szCs w:val="16"/>
              </w:rPr>
            </w:pPr>
            <w:r>
              <w:rPr>
                <w:rFonts w:hint="default" w:ascii="Times New Roman" w:hAnsi="Times New Roman" w:eastAsia="仿宋" w:cs="Times New Roman"/>
                <w:spacing w:val="-7"/>
                <w:sz w:val="16"/>
                <w:szCs w:val="16"/>
              </w:rPr>
              <w:t>定；</w:t>
            </w:r>
          </w:p>
          <w:p>
            <w:pPr>
              <w:spacing w:before="118" w:line="360" w:lineRule="auto"/>
              <w:ind w:left="114" w:right="258" w:hanging="5"/>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②项目调整及支出调</w:t>
            </w:r>
            <w:r>
              <w:rPr>
                <w:rFonts w:hint="default" w:ascii="Times New Roman" w:hAnsi="Times New Roman" w:eastAsia="仿宋" w:cs="Times New Roman"/>
                <w:spacing w:val="-2"/>
                <w:sz w:val="16"/>
                <w:szCs w:val="16"/>
              </w:rPr>
              <w:t>整手续是否完备;</w:t>
            </w:r>
          </w:p>
          <w:p>
            <w:pPr>
              <w:spacing w:line="360" w:lineRule="auto"/>
              <w:ind w:left="114" w:right="258" w:hanging="5"/>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③项目合同书、验收</w:t>
            </w:r>
            <w:r>
              <w:rPr>
                <w:rFonts w:hint="default" w:ascii="Times New Roman" w:hAnsi="Times New Roman" w:eastAsia="仿宋" w:cs="Times New Roman"/>
                <w:spacing w:val="-2"/>
                <w:sz w:val="16"/>
                <w:szCs w:val="16"/>
              </w:rPr>
              <w:t>报告、技术鉴定等资料是否齐全并及时归档,档案管理是否规范，是否按类别进行分类归档;</w:t>
            </w:r>
          </w:p>
          <w:p>
            <w:pPr>
              <w:spacing w:before="2" w:line="359" w:lineRule="auto"/>
              <w:ind w:left="114" w:right="258" w:hanging="5"/>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④项目实施的人员条</w:t>
            </w:r>
            <w:r>
              <w:rPr>
                <w:rFonts w:hint="default" w:ascii="Times New Roman" w:hAnsi="Times New Roman" w:eastAsia="仿宋" w:cs="Times New Roman"/>
                <w:spacing w:val="-2"/>
                <w:sz w:val="16"/>
                <w:szCs w:val="16"/>
              </w:rPr>
              <w:t>件、场地设备、信息支撑等是否落实到</w:t>
            </w:r>
          </w:p>
          <w:p>
            <w:pPr>
              <w:spacing w:line="222" w:lineRule="auto"/>
              <w:ind w:left="116"/>
              <w:rPr>
                <w:rFonts w:hint="default" w:ascii="Times New Roman" w:hAnsi="Times New Roman" w:eastAsia="仿宋" w:cs="Times New Roman"/>
                <w:sz w:val="16"/>
                <w:szCs w:val="16"/>
              </w:rPr>
            </w:pPr>
            <w:r>
              <w:rPr>
                <w:rFonts w:hint="default" w:ascii="Times New Roman" w:hAnsi="Times New Roman" w:eastAsia="仿宋" w:cs="Times New Roman"/>
                <w:spacing w:val="-6"/>
                <w:sz w:val="16"/>
                <w:szCs w:val="16"/>
              </w:rPr>
              <w:t>位。</w:t>
            </w:r>
          </w:p>
          <w:p>
            <w:pPr>
              <w:spacing w:before="119" w:line="224" w:lineRule="auto"/>
              <w:ind w:left="131"/>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以上四项各占25%的权</w:t>
            </w:r>
          </w:p>
          <w:p>
            <w:pPr>
              <w:spacing w:before="118" w:line="224" w:lineRule="auto"/>
              <w:ind w:left="120"/>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重分，满足得分，否</w:t>
            </w:r>
          </w:p>
          <w:p>
            <w:pPr>
              <w:spacing w:before="118" w:line="224" w:lineRule="auto"/>
              <w:ind w:left="117"/>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则扣除对应分值。</w:t>
            </w:r>
          </w:p>
        </w:tc>
        <w:tc>
          <w:tcPr>
            <w:tcW w:w="3959" w:type="dxa"/>
            <w:vAlign w:val="top"/>
          </w:tcPr>
          <w:p>
            <w:pPr>
              <w:pStyle w:val="9"/>
              <w:spacing w:line="318" w:lineRule="auto"/>
              <w:rPr>
                <w:rFonts w:hint="default" w:ascii="Times New Roman" w:hAnsi="Times New Roman" w:cs="Times New Roman"/>
              </w:rPr>
            </w:pPr>
          </w:p>
          <w:p>
            <w:pPr>
              <w:pStyle w:val="9"/>
              <w:spacing w:line="318" w:lineRule="auto"/>
              <w:rPr>
                <w:rFonts w:hint="default" w:ascii="Times New Roman" w:hAnsi="Times New Roman" w:cs="Times New Roman"/>
              </w:rPr>
            </w:pPr>
          </w:p>
          <w:p>
            <w:pPr>
              <w:pStyle w:val="9"/>
              <w:spacing w:line="318" w:lineRule="auto"/>
              <w:rPr>
                <w:rFonts w:hint="default" w:ascii="Times New Roman" w:hAnsi="Times New Roman" w:cs="Times New Roman"/>
              </w:rPr>
            </w:pPr>
          </w:p>
          <w:p>
            <w:pPr>
              <w:spacing w:before="52" w:line="360" w:lineRule="auto"/>
              <w:ind w:left="115" w:right="166"/>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该项目经费支出按照区住建局项目管理制度、一体化项目考核制度进行审批，审批文件齐全，项目涉及预算调整手续齐全完备，严格按照财政要求进行支出调整。项目最初是由哈密市伊州区城市管理执法局牵头与哈密市城市建设发展有限公司签订合同，因2025年该部门单位机构改革并撤销，项目由区住建局重新签订变更合同，并将项目分配给伊州区城市公共事业服务中心监督考核管理。但项目前期资料如项目可</w:t>
            </w:r>
          </w:p>
          <w:p>
            <w:pPr>
              <w:spacing w:before="1" w:line="360" w:lineRule="auto"/>
              <w:ind w:left="115" w:right="166"/>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研、项目资金下达文件、项目前期批复等文件保存不当，导致项目资料存在缺失、资料不全的情况，故项目档案归档不及时、档案管理不规范。综上所述，该</w:t>
            </w:r>
            <w:r>
              <w:rPr>
                <w:rFonts w:hint="default" w:ascii="Times New Roman" w:hAnsi="Times New Roman" w:eastAsia="仿宋" w:cs="Times New Roman"/>
                <w:spacing w:val="-7"/>
                <w:sz w:val="16"/>
                <w:szCs w:val="16"/>
              </w:rPr>
              <w:t>指标扣1分，得1分。</w:t>
            </w:r>
          </w:p>
        </w:tc>
        <w:tc>
          <w:tcPr>
            <w:tcW w:w="708" w:type="dxa"/>
            <w:vAlign w:val="top"/>
          </w:tcPr>
          <w:p>
            <w:pPr>
              <w:pStyle w:val="9"/>
              <w:spacing w:line="241" w:lineRule="auto"/>
              <w:rPr>
                <w:rFonts w:hint="default" w:ascii="Times New Roman" w:hAnsi="Times New Roman" w:cs="Times New Roman"/>
              </w:rPr>
            </w:pPr>
          </w:p>
          <w:p>
            <w:pPr>
              <w:pStyle w:val="9"/>
              <w:spacing w:line="241"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spacing w:before="52" w:line="211" w:lineRule="exact"/>
              <w:ind w:left="285"/>
              <w:rPr>
                <w:rFonts w:hint="default" w:ascii="Times New Roman" w:hAnsi="Times New Roman" w:eastAsia="仿宋" w:cs="Times New Roman"/>
                <w:sz w:val="16"/>
                <w:szCs w:val="16"/>
              </w:rPr>
            </w:pPr>
            <w:r>
              <w:rPr>
                <w:rFonts w:hint="default" w:ascii="Times New Roman" w:hAnsi="Times New Roman" w:eastAsia="仿宋" w:cs="Times New Roman"/>
                <w:position w:val="1"/>
                <w:sz w:val="16"/>
                <w:szCs w:val="16"/>
              </w:rPr>
              <w:t>1</w:t>
            </w:r>
          </w:p>
        </w:tc>
        <w:tc>
          <w:tcPr>
            <w:tcW w:w="868" w:type="dxa"/>
            <w:vAlign w:val="top"/>
          </w:tcPr>
          <w:p>
            <w:pPr>
              <w:pStyle w:val="9"/>
              <w:spacing w:line="241" w:lineRule="auto"/>
              <w:rPr>
                <w:rFonts w:hint="default" w:ascii="Times New Roman" w:hAnsi="Times New Roman" w:cs="Times New Roman"/>
              </w:rPr>
            </w:pPr>
          </w:p>
          <w:p>
            <w:pPr>
              <w:pStyle w:val="9"/>
              <w:spacing w:line="241"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spacing w:before="52" w:line="242" w:lineRule="auto"/>
              <w:ind w:left="276"/>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50%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11" w:type="default"/>
          <w:pgSz w:w="16839" w:h="11906"/>
          <w:pgMar w:top="1012" w:right="692" w:bottom="1256" w:left="668" w:header="0" w:footer="1003" w:gutter="0"/>
          <w:cols w:space="720" w:num="1"/>
        </w:sectPr>
      </w:pPr>
    </w:p>
    <w:p>
      <w:pPr>
        <w:spacing w:line="307" w:lineRule="auto"/>
        <w:rPr>
          <w:rFonts w:hint="default" w:ascii="Times New Roman" w:hAnsi="Times New Roman" w:cs="Times New Roman"/>
          <w:sz w:val="21"/>
        </w:rPr>
      </w:pPr>
    </w:p>
    <w:p>
      <w:pPr>
        <w:spacing w:before="78" w:line="222" w:lineRule="auto"/>
        <w:ind w:left="137" w:firstLine="466" w:firstLineChars="200"/>
        <w:rPr>
          <w:rFonts w:hint="default" w:ascii="Times New Roman" w:hAnsi="Times New Roman" w:eastAsia="仿宋" w:cs="Times New Roman"/>
          <w:sz w:val="24"/>
          <w:szCs w:val="24"/>
        </w:rPr>
      </w:pPr>
      <w:r>
        <w:rPr>
          <w:rFonts w:hint="default" w:ascii="Times New Roman" w:hAnsi="Times New Roman" w:eastAsia="仿宋" w:cs="Times New Roman"/>
          <w:b/>
          <w:bCs/>
          <w:spacing w:val="-4"/>
          <w:sz w:val="24"/>
          <w:szCs w:val="24"/>
        </w:rPr>
        <w:t>附件1：“市政、园林、环卫一体化”第三方服务采购项目绩效评价指标体系评</w:t>
      </w:r>
      <w:r>
        <w:rPr>
          <w:rFonts w:hint="default" w:ascii="Times New Roman" w:hAnsi="Times New Roman" w:eastAsia="仿宋" w:cs="Times New Roman"/>
          <w:b/>
          <w:bCs/>
          <w:spacing w:val="-5"/>
          <w:sz w:val="24"/>
          <w:szCs w:val="24"/>
        </w:rPr>
        <w:t>分表</w:t>
      </w:r>
    </w:p>
    <w:p>
      <w:pPr>
        <w:spacing w:line="160" w:lineRule="exact"/>
        <w:rPr>
          <w:rFonts w:hint="default" w:ascii="Times New Roman" w:hAnsi="Times New Roman" w:cs="Times New Roman"/>
        </w:rPr>
      </w:pPr>
    </w:p>
    <w:tbl>
      <w:tblPr>
        <w:tblStyle w:val="8"/>
        <w:tblW w:w="154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331"/>
        <w:gridCol w:w="1308"/>
        <w:gridCol w:w="756"/>
        <w:gridCol w:w="2008"/>
        <w:gridCol w:w="760"/>
        <w:gridCol w:w="1011"/>
        <w:gridCol w:w="1811"/>
        <w:gridCol w:w="3959"/>
        <w:gridCol w:w="708"/>
        <w:gridCol w:w="86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9" w:hRule="atLeast"/>
        </w:trPr>
        <w:tc>
          <w:tcPr>
            <w:tcW w:w="952" w:type="dxa"/>
            <w:vAlign w:val="top"/>
          </w:tcPr>
          <w:p>
            <w:pPr>
              <w:spacing w:before="96" w:line="222" w:lineRule="auto"/>
              <w:ind w:left="12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一级指标</w:t>
            </w:r>
          </w:p>
        </w:tc>
        <w:tc>
          <w:tcPr>
            <w:tcW w:w="1331" w:type="dxa"/>
            <w:vAlign w:val="top"/>
          </w:tcPr>
          <w:p>
            <w:pPr>
              <w:spacing w:before="96"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二级指标</w:t>
            </w:r>
          </w:p>
        </w:tc>
        <w:tc>
          <w:tcPr>
            <w:tcW w:w="1308" w:type="dxa"/>
            <w:vAlign w:val="top"/>
          </w:tcPr>
          <w:p>
            <w:pPr>
              <w:spacing w:before="96"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三级指标</w:t>
            </w:r>
          </w:p>
        </w:tc>
        <w:tc>
          <w:tcPr>
            <w:tcW w:w="756" w:type="dxa"/>
            <w:vAlign w:val="top"/>
          </w:tcPr>
          <w:p>
            <w:pPr>
              <w:spacing w:before="96" w:line="222" w:lineRule="auto"/>
              <w:ind w:left="203"/>
              <w:rPr>
                <w:rFonts w:hint="default" w:ascii="Times New Roman" w:hAnsi="Times New Roman" w:eastAsia="仿宋" w:cs="Times New Roman"/>
                <w:sz w:val="18"/>
                <w:szCs w:val="18"/>
              </w:rPr>
            </w:pPr>
            <w:r>
              <w:rPr>
                <w:rFonts w:hint="default" w:ascii="Times New Roman" w:hAnsi="Times New Roman" w:eastAsia="仿宋" w:cs="Times New Roman"/>
                <w:b/>
                <w:bCs/>
                <w:spacing w:val="-8"/>
                <w:sz w:val="18"/>
                <w:szCs w:val="18"/>
              </w:rPr>
              <w:t>权重</w:t>
            </w:r>
          </w:p>
        </w:tc>
        <w:tc>
          <w:tcPr>
            <w:tcW w:w="2008" w:type="dxa"/>
            <w:vAlign w:val="top"/>
          </w:tcPr>
          <w:p>
            <w:pPr>
              <w:spacing w:before="96" w:line="222" w:lineRule="auto"/>
              <w:ind w:left="478"/>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指标解释</w:t>
            </w:r>
          </w:p>
        </w:tc>
        <w:tc>
          <w:tcPr>
            <w:tcW w:w="760" w:type="dxa"/>
            <w:vAlign w:val="top"/>
          </w:tcPr>
          <w:p>
            <w:pPr>
              <w:spacing w:before="96" w:line="222" w:lineRule="auto"/>
              <w:ind w:left="115"/>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标杆值</w:t>
            </w:r>
          </w:p>
        </w:tc>
        <w:tc>
          <w:tcPr>
            <w:tcW w:w="1011" w:type="dxa"/>
            <w:vAlign w:val="top"/>
          </w:tcPr>
          <w:p>
            <w:pPr>
              <w:spacing w:before="96" w:line="222"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评分依据</w:t>
            </w:r>
          </w:p>
        </w:tc>
        <w:tc>
          <w:tcPr>
            <w:tcW w:w="1811" w:type="dxa"/>
            <w:vAlign w:val="top"/>
          </w:tcPr>
          <w:p>
            <w:pPr>
              <w:spacing w:before="96" w:line="222" w:lineRule="auto"/>
              <w:ind w:left="479"/>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评价标准</w:t>
            </w:r>
          </w:p>
        </w:tc>
        <w:tc>
          <w:tcPr>
            <w:tcW w:w="3959" w:type="dxa"/>
            <w:vAlign w:val="top"/>
          </w:tcPr>
          <w:p>
            <w:pPr>
              <w:spacing w:before="96" w:line="222" w:lineRule="auto"/>
              <w:ind w:left="1383"/>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评分过程</w:t>
            </w:r>
          </w:p>
        </w:tc>
        <w:tc>
          <w:tcPr>
            <w:tcW w:w="708" w:type="dxa"/>
            <w:vAlign w:val="top"/>
          </w:tcPr>
          <w:p>
            <w:pPr>
              <w:spacing w:before="96"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得分</w:t>
            </w:r>
          </w:p>
        </w:tc>
        <w:tc>
          <w:tcPr>
            <w:tcW w:w="868" w:type="dxa"/>
            <w:vAlign w:val="top"/>
          </w:tcPr>
          <w:p>
            <w:pPr>
              <w:spacing w:before="96"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434" w:hRule="atLeast"/>
        </w:trPr>
        <w:tc>
          <w:tcPr>
            <w:tcW w:w="952" w:type="dxa"/>
            <w:vMerge w:val="restart"/>
            <w:tcBorders>
              <w:bottom w:val="nil"/>
            </w:tcBorders>
            <w:vAlign w:val="top"/>
          </w:tcPr>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7" w:lineRule="auto"/>
              <w:rPr>
                <w:rFonts w:hint="default" w:ascii="Times New Roman" w:hAnsi="Times New Roman" w:cs="Times New Roman"/>
              </w:rPr>
            </w:pPr>
          </w:p>
          <w:p>
            <w:pPr>
              <w:pStyle w:val="9"/>
              <w:spacing w:line="257" w:lineRule="auto"/>
              <w:rPr>
                <w:rFonts w:hint="default" w:ascii="Times New Roman" w:hAnsi="Times New Roman" w:cs="Times New Roman"/>
              </w:rPr>
            </w:pPr>
          </w:p>
          <w:p>
            <w:pPr>
              <w:pStyle w:val="9"/>
              <w:spacing w:line="257" w:lineRule="auto"/>
              <w:rPr>
                <w:rFonts w:hint="default" w:ascii="Times New Roman" w:hAnsi="Times New Roman" w:cs="Times New Roman"/>
              </w:rPr>
            </w:pPr>
          </w:p>
          <w:p>
            <w:pPr>
              <w:pStyle w:val="9"/>
              <w:spacing w:line="257" w:lineRule="auto"/>
              <w:rPr>
                <w:rFonts w:hint="default" w:ascii="Times New Roman" w:hAnsi="Times New Roman" w:cs="Times New Roman"/>
              </w:rPr>
            </w:pPr>
          </w:p>
          <w:p>
            <w:pPr>
              <w:spacing w:before="52" w:line="363" w:lineRule="auto"/>
              <w:ind w:left="133" w:right="210" w:hanging="22"/>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C项目产</w:t>
            </w:r>
            <w:r>
              <w:rPr>
                <w:rFonts w:hint="default" w:ascii="Times New Roman" w:hAnsi="Times New Roman" w:eastAsia="仿宋" w:cs="Times New Roman"/>
                <w:spacing w:val="-8"/>
                <w:sz w:val="16"/>
                <w:szCs w:val="16"/>
              </w:rPr>
              <w:t>出（40）</w:t>
            </w:r>
          </w:p>
        </w:tc>
        <w:tc>
          <w:tcPr>
            <w:tcW w:w="1331" w:type="dxa"/>
            <w:vMerge w:val="restart"/>
            <w:tcBorders>
              <w:bottom w:val="nil"/>
            </w:tcBorders>
            <w:vAlign w:val="top"/>
          </w:tcPr>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7" w:lineRule="auto"/>
              <w:rPr>
                <w:rFonts w:hint="default" w:ascii="Times New Roman" w:hAnsi="Times New Roman" w:cs="Times New Roman"/>
              </w:rPr>
            </w:pPr>
          </w:p>
          <w:p>
            <w:pPr>
              <w:pStyle w:val="9"/>
              <w:spacing w:line="257" w:lineRule="auto"/>
              <w:rPr>
                <w:rFonts w:hint="default" w:ascii="Times New Roman" w:hAnsi="Times New Roman" w:cs="Times New Roman"/>
              </w:rPr>
            </w:pPr>
          </w:p>
          <w:p>
            <w:pPr>
              <w:pStyle w:val="9"/>
              <w:spacing w:line="257" w:lineRule="auto"/>
              <w:rPr>
                <w:rFonts w:hint="default" w:ascii="Times New Roman" w:hAnsi="Times New Roman" w:cs="Times New Roman"/>
              </w:rPr>
            </w:pPr>
          </w:p>
          <w:p>
            <w:pPr>
              <w:spacing w:before="52" w:line="368" w:lineRule="auto"/>
              <w:ind w:left="113" w:right="380" w:hanging="6"/>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C1产出数量（22）</w:t>
            </w:r>
          </w:p>
        </w:tc>
        <w:tc>
          <w:tcPr>
            <w:tcW w:w="1308" w:type="dxa"/>
            <w:vAlign w:val="top"/>
          </w:tcPr>
          <w:p>
            <w:pPr>
              <w:pStyle w:val="9"/>
              <w:spacing w:line="252"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spacing w:before="52" w:line="361" w:lineRule="auto"/>
              <w:ind w:left="115" w:right="198" w:hanging="7"/>
              <w:jc w:val="both"/>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C101城区及国</w:t>
            </w:r>
            <w:r>
              <w:rPr>
                <w:rFonts w:hint="default" w:ascii="Times New Roman" w:hAnsi="Times New Roman" w:eastAsia="仿宋" w:cs="Times New Roman"/>
                <w:spacing w:val="-2"/>
                <w:sz w:val="16"/>
                <w:szCs w:val="16"/>
              </w:rPr>
              <w:t>省道路保洁面</w:t>
            </w:r>
            <w:r>
              <w:rPr>
                <w:rFonts w:hint="default" w:ascii="Times New Roman" w:hAnsi="Times New Roman" w:eastAsia="仿宋" w:cs="Times New Roman"/>
                <w:sz w:val="16"/>
                <w:szCs w:val="16"/>
              </w:rPr>
              <w:t>积</w:t>
            </w:r>
          </w:p>
        </w:tc>
        <w:tc>
          <w:tcPr>
            <w:tcW w:w="756" w:type="dxa"/>
            <w:vAlign w:val="top"/>
          </w:tcPr>
          <w:p>
            <w:pPr>
              <w:pStyle w:val="9"/>
              <w:spacing w:line="262"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pStyle w:val="9"/>
              <w:spacing w:line="263" w:lineRule="auto"/>
              <w:rPr>
                <w:rFonts w:hint="default" w:ascii="Times New Roman" w:hAnsi="Times New Roman" w:cs="Times New Roman"/>
              </w:rPr>
            </w:pPr>
          </w:p>
          <w:p>
            <w:pPr>
              <w:pStyle w:val="9"/>
              <w:spacing w:line="263" w:lineRule="auto"/>
              <w:rPr>
                <w:rFonts w:hint="default" w:ascii="Times New Roman" w:hAnsi="Times New Roman" w:cs="Times New Roman"/>
              </w:rPr>
            </w:pPr>
          </w:p>
          <w:p>
            <w:pPr>
              <w:pStyle w:val="9"/>
              <w:spacing w:line="263" w:lineRule="auto"/>
              <w:rPr>
                <w:rFonts w:hint="default" w:ascii="Times New Roman" w:hAnsi="Times New Roman" w:cs="Times New Roman"/>
              </w:rPr>
            </w:pPr>
          </w:p>
          <w:p>
            <w:pPr>
              <w:spacing w:before="52" w:line="242" w:lineRule="auto"/>
              <w:ind w:left="271"/>
              <w:rPr>
                <w:rFonts w:hint="default" w:ascii="Times New Roman" w:hAnsi="Times New Roman" w:eastAsia="仿宋" w:cs="Times New Roman"/>
                <w:sz w:val="16"/>
                <w:szCs w:val="16"/>
              </w:rPr>
            </w:pPr>
            <w:r>
              <w:rPr>
                <w:rFonts w:hint="default" w:ascii="Times New Roman" w:hAnsi="Times New Roman" w:eastAsia="仿宋" w:cs="Times New Roman"/>
                <w:sz w:val="16"/>
                <w:szCs w:val="16"/>
              </w:rPr>
              <w:t>6</w:t>
            </w:r>
          </w:p>
        </w:tc>
        <w:tc>
          <w:tcPr>
            <w:tcW w:w="2008" w:type="dxa"/>
            <w:vAlign w:val="top"/>
          </w:tcPr>
          <w:p>
            <w:pPr>
              <w:pStyle w:val="9"/>
              <w:spacing w:line="252" w:lineRule="auto"/>
              <w:rPr>
                <w:rFonts w:hint="default" w:ascii="Times New Roman" w:hAnsi="Times New Roman" w:cs="Times New Roman"/>
              </w:rPr>
            </w:pPr>
          </w:p>
          <w:p>
            <w:pPr>
              <w:pStyle w:val="9"/>
              <w:spacing w:line="252"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spacing w:before="52" w:line="361" w:lineRule="auto"/>
              <w:ind w:left="117" w:right="137" w:hanging="2"/>
              <w:jc w:val="both"/>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考察2025年本项目符合</w:t>
            </w:r>
            <w:r>
              <w:rPr>
                <w:rFonts w:hint="default" w:ascii="Times New Roman" w:hAnsi="Times New Roman" w:eastAsia="仿宋" w:cs="Times New Roman"/>
                <w:spacing w:val="-2"/>
                <w:sz w:val="16"/>
                <w:szCs w:val="16"/>
              </w:rPr>
              <w:t>城区及国省道路保洁面积</w:t>
            </w:r>
            <w:r>
              <w:rPr>
                <w:rFonts w:hint="default" w:ascii="Times New Roman" w:hAnsi="Times New Roman" w:eastAsia="仿宋" w:cs="Times New Roman"/>
                <w:spacing w:val="-4"/>
                <w:sz w:val="16"/>
                <w:szCs w:val="16"/>
              </w:rPr>
              <w:t>的情况。</w:t>
            </w:r>
          </w:p>
        </w:tc>
        <w:tc>
          <w:tcPr>
            <w:tcW w:w="760" w:type="dxa"/>
            <w:vAlign w:val="top"/>
          </w:tcPr>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spacing w:before="52" w:line="242" w:lineRule="auto"/>
              <w:ind w:left="122"/>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126290</w:t>
            </w:r>
          </w:p>
          <w:p>
            <w:pPr>
              <w:spacing w:before="101" w:line="361" w:lineRule="auto"/>
              <w:ind w:left="114" w:right="170" w:hanging="3"/>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03.66</w:t>
            </w:r>
            <w:r>
              <w:rPr>
                <w:rFonts w:hint="default" w:ascii="Times New Roman" w:hAnsi="Times New Roman" w:eastAsia="仿宋" w:cs="Times New Roman"/>
                <w:spacing w:val="-4"/>
                <w:sz w:val="16"/>
                <w:szCs w:val="16"/>
              </w:rPr>
              <w:t>平方米</w:t>
            </w:r>
          </w:p>
        </w:tc>
        <w:tc>
          <w:tcPr>
            <w:tcW w:w="1011" w:type="dxa"/>
            <w:vAlign w:val="top"/>
          </w:tcPr>
          <w:p>
            <w:pPr>
              <w:pStyle w:val="9"/>
              <w:spacing w:line="262"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pStyle w:val="9"/>
              <w:spacing w:line="263" w:lineRule="auto"/>
              <w:rPr>
                <w:rFonts w:hint="default" w:ascii="Times New Roman" w:hAnsi="Times New Roman" w:cs="Times New Roman"/>
              </w:rPr>
            </w:pPr>
          </w:p>
          <w:p>
            <w:pPr>
              <w:pStyle w:val="9"/>
              <w:spacing w:line="263" w:lineRule="auto"/>
              <w:rPr>
                <w:rFonts w:hint="default" w:ascii="Times New Roman" w:hAnsi="Times New Roman" w:cs="Times New Roman"/>
              </w:rPr>
            </w:pPr>
          </w:p>
          <w:p>
            <w:pPr>
              <w:spacing w:before="52"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计划标准</w:t>
            </w:r>
          </w:p>
        </w:tc>
        <w:tc>
          <w:tcPr>
            <w:tcW w:w="1811" w:type="dxa"/>
            <w:vAlign w:val="top"/>
          </w:tcPr>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spacing w:before="52" w:line="224" w:lineRule="auto"/>
              <w:ind w:left="117"/>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达到目标值得满分，</w:t>
            </w:r>
          </w:p>
          <w:p>
            <w:pPr>
              <w:spacing w:before="118" w:line="365" w:lineRule="auto"/>
              <w:ind w:left="113" w:right="220" w:firstLine="1"/>
              <w:jc w:val="both"/>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低于则每降低1%扣除</w:t>
            </w:r>
            <w:r>
              <w:rPr>
                <w:rFonts w:hint="default" w:ascii="Times New Roman" w:hAnsi="Times New Roman" w:eastAsia="仿宋" w:cs="Times New Roman"/>
                <w:spacing w:val="-1"/>
                <w:sz w:val="16"/>
                <w:szCs w:val="16"/>
              </w:rPr>
              <w:t>5%的权重分，扣完为</w:t>
            </w:r>
            <w:r>
              <w:rPr>
                <w:rFonts w:hint="default" w:ascii="Times New Roman" w:hAnsi="Times New Roman" w:eastAsia="仿宋" w:cs="Times New Roman"/>
                <w:spacing w:val="-4"/>
                <w:sz w:val="16"/>
                <w:szCs w:val="16"/>
              </w:rPr>
              <w:t>止。</w:t>
            </w:r>
          </w:p>
        </w:tc>
        <w:tc>
          <w:tcPr>
            <w:tcW w:w="3959" w:type="dxa"/>
            <w:vAlign w:val="top"/>
          </w:tcPr>
          <w:p>
            <w:pPr>
              <w:spacing w:before="76" w:line="360" w:lineRule="auto"/>
              <w:ind w:left="115" w:right="166"/>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经评价组核实，“市政、园林、环卫一体化”第三方服务采购项目，城区及国省道路保洁面积应完成</w:t>
            </w:r>
          </w:p>
          <w:p>
            <w:pPr>
              <w:spacing w:line="360" w:lineRule="auto"/>
              <w:ind w:left="117" w:right="204" w:firstLine="6"/>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12629003.66平方米，具体涉及区域如下：一级道路</w:t>
            </w:r>
            <w:r>
              <w:rPr>
                <w:rFonts w:hint="default" w:ascii="Times New Roman" w:hAnsi="Times New Roman" w:eastAsia="仿宋" w:cs="Times New Roman"/>
                <w:spacing w:val="-3"/>
                <w:sz w:val="16"/>
                <w:szCs w:val="16"/>
              </w:rPr>
              <w:t>保洁面积1997482.06㎡、二级道路保洁面积</w:t>
            </w:r>
          </w:p>
          <w:p>
            <w:pPr>
              <w:spacing w:line="346" w:lineRule="auto"/>
              <w:ind w:left="116" w:right="151" w:hanging="6"/>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4745487.26㎡、三级道路保洁面积3282126.396㎡、</w:t>
            </w:r>
            <w:r>
              <w:rPr>
                <w:rFonts w:hint="default" w:ascii="Times New Roman" w:hAnsi="Times New Roman" w:eastAsia="仿宋" w:cs="Times New Roman"/>
                <w:spacing w:val="-2"/>
                <w:sz w:val="16"/>
                <w:szCs w:val="16"/>
              </w:rPr>
              <w:t>四级道路保洁面积2585307.94㎡、</w:t>
            </w:r>
            <w:r>
              <w:rPr>
                <w:rFonts w:hint="default" w:ascii="Times New Roman" w:hAnsi="Times New Roman" w:eastAsia="仿宋" w:cs="Times New Roman"/>
                <w:spacing w:val="-3"/>
                <w:sz w:val="16"/>
                <w:szCs w:val="16"/>
              </w:rPr>
              <w:t>四级国道保洁面积18600㎡。目前，根据区住建局提供的项目实施方</w:t>
            </w:r>
            <w:r>
              <w:rPr>
                <w:rFonts w:hint="default" w:ascii="Times New Roman" w:hAnsi="Times New Roman" w:eastAsia="仿宋" w:cs="Times New Roman"/>
                <w:spacing w:val="-1"/>
                <w:sz w:val="16"/>
                <w:szCs w:val="16"/>
              </w:rPr>
              <w:t>案及每月考核数据，上述城区级国省道路保洁面积已实际完成，与“市政、园林、环卫一体化”第三方服</w:t>
            </w:r>
            <w:r>
              <w:rPr>
                <w:rFonts w:hint="default" w:ascii="Times New Roman" w:hAnsi="Times New Roman" w:eastAsia="仿宋" w:cs="Times New Roman"/>
                <w:spacing w:val="1"/>
                <w:sz w:val="16"/>
                <w:szCs w:val="16"/>
              </w:rPr>
              <w:t>务采购项目合同协议书要求一致。综上，该指标得6</w:t>
            </w:r>
            <w:r>
              <w:rPr>
                <w:rFonts w:hint="default" w:ascii="Times New Roman" w:hAnsi="Times New Roman" w:eastAsia="仿宋" w:cs="Times New Roman"/>
                <w:spacing w:val="-6"/>
                <w:sz w:val="16"/>
                <w:szCs w:val="16"/>
              </w:rPr>
              <w:t>分。</w:t>
            </w:r>
          </w:p>
        </w:tc>
        <w:tc>
          <w:tcPr>
            <w:tcW w:w="708" w:type="dxa"/>
            <w:vAlign w:val="top"/>
          </w:tcPr>
          <w:p>
            <w:pPr>
              <w:pStyle w:val="9"/>
              <w:spacing w:line="262"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pStyle w:val="9"/>
              <w:spacing w:line="263" w:lineRule="auto"/>
              <w:rPr>
                <w:rFonts w:hint="default" w:ascii="Times New Roman" w:hAnsi="Times New Roman" w:cs="Times New Roman"/>
              </w:rPr>
            </w:pPr>
          </w:p>
          <w:p>
            <w:pPr>
              <w:pStyle w:val="9"/>
              <w:spacing w:line="263" w:lineRule="auto"/>
              <w:rPr>
                <w:rFonts w:hint="default" w:ascii="Times New Roman" w:hAnsi="Times New Roman" w:cs="Times New Roman"/>
              </w:rPr>
            </w:pPr>
          </w:p>
          <w:p>
            <w:pPr>
              <w:pStyle w:val="9"/>
              <w:spacing w:line="263" w:lineRule="auto"/>
              <w:rPr>
                <w:rFonts w:hint="default" w:ascii="Times New Roman" w:hAnsi="Times New Roman" w:cs="Times New Roman"/>
              </w:rPr>
            </w:pPr>
          </w:p>
          <w:p>
            <w:pPr>
              <w:spacing w:before="52" w:line="242" w:lineRule="auto"/>
              <w:ind w:left="274"/>
              <w:rPr>
                <w:rFonts w:hint="default" w:ascii="Times New Roman" w:hAnsi="Times New Roman" w:eastAsia="仿宋" w:cs="Times New Roman"/>
                <w:sz w:val="16"/>
                <w:szCs w:val="16"/>
              </w:rPr>
            </w:pPr>
            <w:r>
              <w:rPr>
                <w:rFonts w:hint="default" w:ascii="Times New Roman" w:hAnsi="Times New Roman" w:eastAsia="仿宋" w:cs="Times New Roman"/>
                <w:sz w:val="16"/>
                <w:szCs w:val="16"/>
              </w:rPr>
              <w:t>6</w:t>
            </w:r>
          </w:p>
        </w:tc>
        <w:tc>
          <w:tcPr>
            <w:tcW w:w="868" w:type="dxa"/>
            <w:vAlign w:val="top"/>
          </w:tcPr>
          <w:p>
            <w:pPr>
              <w:pStyle w:val="9"/>
              <w:spacing w:line="262"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pStyle w:val="9"/>
              <w:spacing w:line="263" w:lineRule="auto"/>
              <w:rPr>
                <w:rFonts w:hint="default" w:ascii="Times New Roman" w:hAnsi="Times New Roman" w:cs="Times New Roman"/>
              </w:rPr>
            </w:pPr>
          </w:p>
          <w:p>
            <w:pPr>
              <w:pStyle w:val="9"/>
              <w:spacing w:line="263" w:lineRule="auto"/>
              <w:rPr>
                <w:rFonts w:hint="default" w:ascii="Times New Roman" w:hAnsi="Times New Roman" w:cs="Times New Roman"/>
              </w:rPr>
            </w:pPr>
          </w:p>
          <w:p>
            <w:pPr>
              <w:pStyle w:val="9"/>
              <w:spacing w:line="263" w:lineRule="auto"/>
              <w:rPr>
                <w:rFonts w:hint="default" w:ascii="Times New Roman" w:hAnsi="Times New Roman" w:cs="Times New Roman"/>
              </w:rPr>
            </w:pPr>
          </w:p>
          <w:p>
            <w:pPr>
              <w:spacing w:before="52" w:line="242" w:lineRule="auto"/>
              <w:ind w:left="285"/>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26" w:hRule="atLeast"/>
        </w:trPr>
        <w:tc>
          <w:tcPr>
            <w:tcW w:w="952" w:type="dxa"/>
            <w:vMerge w:val="continue"/>
            <w:tcBorders>
              <w:top w:val="nil"/>
            </w:tcBorders>
            <w:vAlign w:val="top"/>
          </w:tcPr>
          <w:p>
            <w:pPr>
              <w:pStyle w:val="9"/>
              <w:rPr>
                <w:rFonts w:hint="default" w:ascii="Times New Roman" w:hAnsi="Times New Roman" w:cs="Times New Roman"/>
              </w:rPr>
            </w:pPr>
          </w:p>
        </w:tc>
        <w:tc>
          <w:tcPr>
            <w:tcW w:w="1331" w:type="dxa"/>
            <w:vMerge w:val="continue"/>
            <w:tcBorders>
              <w:top w:val="nil"/>
            </w:tcBorders>
            <w:vAlign w:val="top"/>
          </w:tcPr>
          <w:p>
            <w:pPr>
              <w:pStyle w:val="9"/>
              <w:rPr>
                <w:rFonts w:hint="default" w:ascii="Times New Roman" w:hAnsi="Times New Roman" w:cs="Times New Roman"/>
              </w:rPr>
            </w:pPr>
          </w:p>
        </w:tc>
        <w:tc>
          <w:tcPr>
            <w:tcW w:w="1308" w:type="dxa"/>
            <w:vAlign w:val="top"/>
          </w:tcPr>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spacing w:before="52" w:line="359" w:lineRule="auto"/>
              <w:ind w:left="135" w:right="198" w:hanging="27"/>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C102垃圾清运</w:t>
            </w:r>
            <w:r>
              <w:rPr>
                <w:rFonts w:hint="default" w:ascii="Times New Roman" w:hAnsi="Times New Roman" w:eastAsia="仿宋" w:cs="Times New Roman"/>
                <w:spacing w:val="-10"/>
                <w:sz w:val="16"/>
                <w:szCs w:val="16"/>
              </w:rPr>
              <w:t>中转站</w:t>
            </w:r>
          </w:p>
        </w:tc>
        <w:tc>
          <w:tcPr>
            <w:tcW w:w="756" w:type="dxa"/>
            <w:vAlign w:val="top"/>
          </w:tcPr>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spacing w:before="52" w:line="242" w:lineRule="auto"/>
              <w:ind w:left="274"/>
              <w:rPr>
                <w:rFonts w:hint="default" w:ascii="Times New Roman" w:hAnsi="Times New Roman" w:eastAsia="仿宋" w:cs="Times New Roman"/>
                <w:sz w:val="16"/>
                <w:szCs w:val="16"/>
              </w:rPr>
            </w:pPr>
            <w:r>
              <w:rPr>
                <w:rFonts w:hint="default" w:ascii="Times New Roman" w:hAnsi="Times New Roman" w:eastAsia="仿宋" w:cs="Times New Roman"/>
                <w:sz w:val="16"/>
                <w:szCs w:val="16"/>
              </w:rPr>
              <w:t>7</w:t>
            </w:r>
          </w:p>
        </w:tc>
        <w:tc>
          <w:tcPr>
            <w:tcW w:w="2008" w:type="dxa"/>
            <w:vAlign w:val="top"/>
          </w:tcPr>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spacing w:before="52" w:line="359" w:lineRule="auto"/>
              <w:ind w:left="115" w:right="159"/>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考察2025年本项目符合</w:t>
            </w:r>
            <w:r>
              <w:rPr>
                <w:rFonts w:hint="default" w:ascii="Times New Roman" w:hAnsi="Times New Roman" w:eastAsia="仿宋" w:cs="Times New Roman"/>
                <w:spacing w:val="-3"/>
                <w:sz w:val="16"/>
                <w:szCs w:val="16"/>
              </w:rPr>
              <w:t>垃圾清运中转站的情况。</w:t>
            </w:r>
          </w:p>
        </w:tc>
        <w:tc>
          <w:tcPr>
            <w:tcW w:w="760" w:type="dxa"/>
            <w:vAlign w:val="top"/>
          </w:tcPr>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spacing w:before="52" w:line="229" w:lineRule="auto"/>
              <w:ind w:left="109"/>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4座</w:t>
            </w:r>
          </w:p>
        </w:tc>
        <w:tc>
          <w:tcPr>
            <w:tcW w:w="1011" w:type="dxa"/>
            <w:vAlign w:val="top"/>
          </w:tcPr>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spacing w:before="52"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计划标准</w:t>
            </w:r>
          </w:p>
        </w:tc>
        <w:tc>
          <w:tcPr>
            <w:tcW w:w="1811" w:type="dxa"/>
            <w:vAlign w:val="top"/>
          </w:tcPr>
          <w:p>
            <w:pPr>
              <w:pStyle w:val="9"/>
              <w:spacing w:line="318" w:lineRule="auto"/>
              <w:rPr>
                <w:rFonts w:hint="default" w:ascii="Times New Roman" w:hAnsi="Times New Roman" w:cs="Times New Roman"/>
              </w:rPr>
            </w:pPr>
          </w:p>
          <w:p>
            <w:pPr>
              <w:pStyle w:val="9"/>
              <w:spacing w:line="319" w:lineRule="auto"/>
              <w:rPr>
                <w:rFonts w:hint="default" w:ascii="Times New Roman" w:hAnsi="Times New Roman" w:cs="Times New Roman"/>
              </w:rPr>
            </w:pPr>
          </w:p>
          <w:p>
            <w:pPr>
              <w:pStyle w:val="9"/>
              <w:spacing w:line="319" w:lineRule="auto"/>
              <w:rPr>
                <w:rFonts w:hint="default" w:ascii="Times New Roman" w:hAnsi="Times New Roman" w:cs="Times New Roman"/>
              </w:rPr>
            </w:pPr>
          </w:p>
          <w:p>
            <w:pPr>
              <w:spacing w:before="52" w:line="224" w:lineRule="auto"/>
              <w:ind w:left="117"/>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达到目标值得满分，</w:t>
            </w:r>
          </w:p>
          <w:p>
            <w:pPr>
              <w:spacing w:before="118" w:line="361" w:lineRule="auto"/>
              <w:ind w:left="120" w:right="138" w:hanging="5"/>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低于则每降低1座扣</w:t>
            </w:r>
            <w:r>
              <w:rPr>
                <w:rFonts w:hint="default" w:ascii="Times New Roman" w:hAnsi="Times New Roman" w:eastAsia="仿宋" w:cs="Times New Roman"/>
                <w:spacing w:val="-3"/>
                <w:sz w:val="16"/>
                <w:szCs w:val="16"/>
              </w:rPr>
              <w:t>除25%的权重分，扣完</w:t>
            </w:r>
            <w:r>
              <w:rPr>
                <w:rFonts w:hint="default" w:ascii="Times New Roman" w:hAnsi="Times New Roman" w:eastAsia="仿宋" w:cs="Times New Roman"/>
                <w:spacing w:val="-5"/>
                <w:sz w:val="16"/>
                <w:szCs w:val="16"/>
              </w:rPr>
              <w:t>为止。</w:t>
            </w:r>
          </w:p>
        </w:tc>
        <w:tc>
          <w:tcPr>
            <w:tcW w:w="3959" w:type="dxa"/>
            <w:vAlign w:val="top"/>
          </w:tcPr>
          <w:p>
            <w:pPr>
              <w:spacing w:before="78"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经评价组现场调研核实，“市政、园林、环卫一体</w:t>
            </w:r>
          </w:p>
          <w:p>
            <w:pPr>
              <w:spacing w:before="117" w:line="360" w:lineRule="auto"/>
              <w:ind w:left="116" w:right="166"/>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化”第三方服务采购项目合同中涉及4个垃圾清运中</w:t>
            </w:r>
            <w:r>
              <w:rPr>
                <w:rFonts w:hint="default" w:ascii="Times New Roman" w:hAnsi="Times New Roman" w:eastAsia="仿宋" w:cs="Times New Roman"/>
                <w:spacing w:val="-1"/>
                <w:sz w:val="16"/>
                <w:szCs w:val="16"/>
              </w:rPr>
              <w:t>转站，包含：育英路转运站、西戈壁转运站、波尔多转运站和创业路转运站。但是根据区住建局提供的项目实施方案、每月考核数据及评价组现场调研情况可</w:t>
            </w:r>
            <w:r>
              <w:rPr>
                <w:rFonts w:hint="default" w:ascii="Times New Roman" w:hAnsi="Times New Roman" w:eastAsia="仿宋" w:cs="Times New Roman"/>
                <w:spacing w:val="-2"/>
                <w:sz w:val="16"/>
                <w:szCs w:val="16"/>
              </w:rPr>
              <w:t>知，上述4座垃圾清运中转站，育英路转运站和西戈</w:t>
            </w:r>
            <w:r>
              <w:rPr>
                <w:rFonts w:hint="default" w:ascii="Times New Roman" w:hAnsi="Times New Roman" w:eastAsia="仿宋" w:cs="Times New Roman"/>
                <w:spacing w:val="-1"/>
                <w:sz w:val="16"/>
                <w:szCs w:val="16"/>
              </w:rPr>
              <w:t>壁转运站投入使用，波尔多转运站和创业路转运站并未投入使用，导致实际使用的垃圾清运中转站数量与</w:t>
            </w:r>
            <w:r>
              <w:rPr>
                <w:rFonts w:hint="default" w:ascii="Times New Roman" w:hAnsi="Times New Roman" w:eastAsia="仿宋" w:cs="Times New Roman"/>
                <w:spacing w:val="1"/>
                <w:sz w:val="16"/>
                <w:szCs w:val="16"/>
              </w:rPr>
              <w:t>实施方案中存在不符的情况。综上，指标扣除3.5</w:t>
            </w:r>
          </w:p>
          <w:p>
            <w:pPr>
              <w:spacing w:line="224" w:lineRule="auto"/>
              <w:ind w:left="118"/>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分，得3.5分。</w:t>
            </w:r>
          </w:p>
        </w:tc>
        <w:tc>
          <w:tcPr>
            <w:tcW w:w="708" w:type="dxa"/>
            <w:vAlign w:val="top"/>
          </w:tcPr>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spacing w:before="52" w:line="242" w:lineRule="auto"/>
              <w:ind w:left="276"/>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3.5</w:t>
            </w:r>
          </w:p>
        </w:tc>
        <w:tc>
          <w:tcPr>
            <w:tcW w:w="868" w:type="dxa"/>
            <w:vAlign w:val="top"/>
          </w:tcPr>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spacing w:before="52" w:line="242" w:lineRule="auto"/>
              <w:ind w:left="285"/>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100%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12" w:type="default"/>
          <w:pgSz w:w="16839" w:h="11906"/>
          <w:pgMar w:top="1012" w:right="692" w:bottom="1256" w:left="668" w:header="0" w:footer="1003" w:gutter="0"/>
          <w:cols w:space="720" w:num="1"/>
        </w:sectPr>
      </w:pPr>
    </w:p>
    <w:p>
      <w:pPr>
        <w:spacing w:line="307" w:lineRule="auto"/>
        <w:rPr>
          <w:rFonts w:hint="default" w:ascii="Times New Roman" w:hAnsi="Times New Roman" w:cs="Times New Roman"/>
          <w:sz w:val="21"/>
        </w:rPr>
      </w:pPr>
    </w:p>
    <w:p>
      <w:pPr>
        <w:spacing w:before="78" w:line="222" w:lineRule="auto"/>
        <w:ind w:left="137" w:firstLine="466" w:firstLineChars="200"/>
        <w:rPr>
          <w:rFonts w:hint="default" w:ascii="Times New Roman" w:hAnsi="Times New Roman" w:eastAsia="仿宋" w:cs="Times New Roman"/>
          <w:sz w:val="24"/>
          <w:szCs w:val="24"/>
        </w:rPr>
      </w:pPr>
      <w:r>
        <w:rPr>
          <w:rFonts w:hint="default" w:ascii="Times New Roman" w:hAnsi="Times New Roman" w:eastAsia="仿宋" w:cs="Times New Roman"/>
          <w:b/>
          <w:bCs/>
          <w:spacing w:val="-4"/>
          <w:sz w:val="24"/>
          <w:szCs w:val="24"/>
        </w:rPr>
        <w:t>附件1：“市政、园林、环卫一体化”第三方服务采购项目绩效评价指标体系评</w:t>
      </w:r>
      <w:r>
        <w:rPr>
          <w:rFonts w:hint="default" w:ascii="Times New Roman" w:hAnsi="Times New Roman" w:eastAsia="仿宋" w:cs="Times New Roman"/>
          <w:b/>
          <w:bCs/>
          <w:spacing w:val="-5"/>
          <w:sz w:val="24"/>
          <w:szCs w:val="24"/>
        </w:rPr>
        <w:t>分表</w:t>
      </w:r>
    </w:p>
    <w:p>
      <w:pPr>
        <w:spacing w:line="160" w:lineRule="exact"/>
        <w:rPr>
          <w:rFonts w:hint="default" w:ascii="Times New Roman" w:hAnsi="Times New Roman" w:cs="Times New Roman"/>
        </w:rPr>
      </w:pPr>
    </w:p>
    <w:tbl>
      <w:tblPr>
        <w:tblStyle w:val="8"/>
        <w:tblW w:w="154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331"/>
        <w:gridCol w:w="1308"/>
        <w:gridCol w:w="756"/>
        <w:gridCol w:w="2008"/>
        <w:gridCol w:w="760"/>
        <w:gridCol w:w="1011"/>
        <w:gridCol w:w="1811"/>
        <w:gridCol w:w="3959"/>
        <w:gridCol w:w="708"/>
        <w:gridCol w:w="86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9" w:hRule="atLeast"/>
        </w:trPr>
        <w:tc>
          <w:tcPr>
            <w:tcW w:w="952" w:type="dxa"/>
            <w:vAlign w:val="top"/>
          </w:tcPr>
          <w:p>
            <w:pPr>
              <w:spacing w:before="96" w:line="222" w:lineRule="auto"/>
              <w:ind w:left="12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一级指标</w:t>
            </w:r>
          </w:p>
        </w:tc>
        <w:tc>
          <w:tcPr>
            <w:tcW w:w="1331" w:type="dxa"/>
            <w:vAlign w:val="top"/>
          </w:tcPr>
          <w:p>
            <w:pPr>
              <w:spacing w:before="96"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二级指标</w:t>
            </w:r>
          </w:p>
        </w:tc>
        <w:tc>
          <w:tcPr>
            <w:tcW w:w="1308" w:type="dxa"/>
            <w:vAlign w:val="top"/>
          </w:tcPr>
          <w:p>
            <w:pPr>
              <w:spacing w:before="96"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三级指标</w:t>
            </w:r>
          </w:p>
        </w:tc>
        <w:tc>
          <w:tcPr>
            <w:tcW w:w="756" w:type="dxa"/>
            <w:vAlign w:val="top"/>
          </w:tcPr>
          <w:p>
            <w:pPr>
              <w:spacing w:before="96" w:line="222" w:lineRule="auto"/>
              <w:ind w:left="203"/>
              <w:rPr>
                <w:rFonts w:hint="default" w:ascii="Times New Roman" w:hAnsi="Times New Roman" w:eastAsia="仿宋" w:cs="Times New Roman"/>
                <w:sz w:val="18"/>
                <w:szCs w:val="18"/>
              </w:rPr>
            </w:pPr>
            <w:r>
              <w:rPr>
                <w:rFonts w:hint="default" w:ascii="Times New Roman" w:hAnsi="Times New Roman" w:eastAsia="仿宋" w:cs="Times New Roman"/>
                <w:b/>
                <w:bCs/>
                <w:spacing w:val="-8"/>
                <w:sz w:val="18"/>
                <w:szCs w:val="18"/>
              </w:rPr>
              <w:t>权重</w:t>
            </w:r>
          </w:p>
        </w:tc>
        <w:tc>
          <w:tcPr>
            <w:tcW w:w="2008" w:type="dxa"/>
            <w:vAlign w:val="top"/>
          </w:tcPr>
          <w:p>
            <w:pPr>
              <w:spacing w:before="96" w:line="222" w:lineRule="auto"/>
              <w:ind w:left="478"/>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指标解释</w:t>
            </w:r>
          </w:p>
        </w:tc>
        <w:tc>
          <w:tcPr>
            <w:tcW w:w="760" w:type="dxa"/>
            <w:vAlign w:val="top"/>
          </w:tcPr>
          <w:p>
            <w:pPr>
              <w:spacing w:before="96" w:line="222" w:lineRule="auto"/>
              <w:ind w:left="115"/>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标杆值</w:t>
            </w:r>
          </w:p>
        </w:tc>
        <w:tc>
          <w:tcPr>
            <w:tcW w:w="1011" w:type="dxa"/>
            <w:vAlign w:val="top"/>
          </w:tcPr>
          <w:p>
            <w:pPr>
              <w:spacing w:before="96" w:line="222"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评分依据</w:t>
            </w:r>
          </w:p>
        </w:tc>
        <w:tc>
          <w:tcPr>
            <w:tcW w:w="1811" w:type="dxa"/>
            <w:vAlign w:val="top"/>
          </w:tcPr>
          <w:p>
            <w:pPr>
              <w:spacing w:before="96" w:line="222" w:lineRule="auto"/>
              <w:ind w:left="479"/>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评价标准</w:t>
            </w:r>
          </w:p>
        </w:tc>
        <w:tc>
          <w:tcPr>
            <w:tcW w:w="3959" w:type="dxa"/>
            <w:vAlign w:val="top"/>
          </w:tcPr>
          <w:p>
            <w:pPr>
              <w:spacing w:before="96" w:line="222" w:lineRule="auto"/>
              <w:ind w:left="1383"/>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评分过程</w:t>
            </w:r>
          </w:p>
        </w:tc>
        <w:tc>
          <w:tcPr>
            <w:tcW w:w="708" w:type="dxa"/>
            <w:vAlign w:val="top"/>
          </w:tcPr>
          <w:p>
            <w:pPr>
              <w:spacing w:before="96"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得分</w:t>
            </w:r>
          </w:p>
        </w:tc>
        <w:tc>
          <w:tcPr>
            <w:tcW w:w="868" w:type="dxa"/>
            <w:vAlign w:val="top"/>
          </w:tcPr>
          <w:p>
            <w:pPr>
              <w:spacing w:before="96"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22" w:hRule="atLeast"/>
        </w:trPr>
        <w:tc>
          <w:tcPr>
            <w:tcW w:w="952" w:type="dxa"/>
            <w:vMerge w:val="restart"/>
            <w:tcBorders>
              <w:bottom w:val="nil"/>
            </w:tcBorders>
            <w:vAlign w:val="top"/>
          </w:tcPr>
          <w:p>
            <w:pPr>
              <w:pStyle w:val="9"/>
              <w:spacing w:line="245" w:lineRule="auto"/>
              <w:rPr>
                <w:rFonts w:hint="default" w:ascii="Times New Roman" w:hAnsi="Times New Roman" w:cs="Times New Roman"/>
              </w:rPr>
            </w:pPr>
          </w:p>
          <w:p>
            <w:pPr>
              <w:pStyle w:val="9"/>
              <w:spacing w:line="245" w:lineRule="auto"/>
              <w:rPr>
                <w:rFonts w:hint="default" w:ascii="Times New Roman" w:hAnsi="Times New Roman" w:cs="Times New Roman"/>
              </w:rPr>
            </w:pPr>
          </w:p>
          <w:p>
            <w:pPr>
              <w:pStyle w:val="9"/>
              <w:spacing w:line="245" w:lineRule="auto"/>
              <w:rPr>
                <w:rFonts w:hint="default" w:ascii="Times New Roman" w:hAnsi="Times New Roman" w:cs="Times New Roman"/>
              </w:rPr>
            </w:pPr>
          </w:p>
          <w:p>
            <w:pPr>
              <w:pStyle w:val="9"/>
              <w:spacing w:line="245" w:lineRule="auto"/>
              <w:rPr>
                <w:rFonts w:hint="default" w:ascii="Times New Roman" w:hAnsi="Times New Roman" w:cs="Times New Roman"/>
              </w:rPr>
            </w:pPr>
          </w:p>
          <w:p>
            <w:pPr>
              <w:pStyle w:val="9"/>
              <w:spacing w:line="245" w:lineRule="auto"/>
              <w:rPr>
                <w:rFonts w:hint="default" w:ascii="Times New Roman" w:hAnsi="Times New Roman" w:cs="Times New Roman"/>
              </w:rPr>
            </w:pPr>
          </w:p>
          <w:p>
            <w:pPr>
              <w:pStyle w:val="9"/>
              <w:spacing w:line="246" w:lineRule="auto"/>
              <w:rPr>
                <w:rFonts w:hint="default" w:ascii="Times New Roman" w:hAnsi="Times New Roman" w:cs="Times New Roman"/>
              </w:rPr>
            </w:pPr>
          </w:p>
          <w:p>
            <w:pPr>
              <w:pStyle w:val="9"/>
              <w:spacing w:line="246" w:lineRule="auto"/>
              <w:rPr>
                <w:rFonts w:hint="default" w:ascii="Times New Roman" w:hAnsi="Times New Roman" w:cs="Times New Roman"/>
              </w:rPr>
            </w:pPr>
          </w:p>
          <w:p>
            <w:pPr>
              <w:pStyle w:val="9"/>
              <w:spacing w:line="246" w:lineRule="auto"/>
              <w:rPr>
                <w:rFonts w:hint="default" w:ascii="Times New Roman" w:hAnsi="Times New Roman" w:cs="Times New Roman"/>
              </w:rPr>
            </w:pPr>
          </w:p>
          <w:p>
            <w:pPr>
              <w:pStyle w:val="9"/>
              <w:spacing w:line="246" w:lineRule="auto"/>
              <w:rPr>
                <w:rFonts w:hint="default" w:ascii="Times New Roman" w:hAnsi="Times New Roman" w:cs="Times New Roman"/>
              </w:rPr>
            </w:pPr>
          </w:p>
          <w:p>
            <w:pPr>
              <w:pStyle w:val="9"/>
              <w:spacing w:line="246" w:lineRule="auto"/>
              <w:rPr>
                <w:rFonts w:hint="default" w:ascii="Times New Roman" w:hAnsi="Times New Roman" w:cs="Times New Roman"/>
              </w:rPr>
            </w:pPr>
          </w:p>
          <w:p>
            <w:pPr>
              <w:spacing w:before="52" w:line="363" w:lineRule="auto"/>
              <w:ind w:left="133" w:right="210" w:hanging="22"/>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C项目产</w:t>
            </w:r>
            <w:r>
              <w:rPr>
                <w:rFonts w:hint="default" w:ascii="Times New Roman" w:hAnsi="Times New Roman" w:eastAsia="仿宋" w:cs="Times New Roman"/>
                <w:spacing w:val="-8"/>
                <w:sz w:val="16"/>
                <w:szCs w:val="16"/>
              </w:rPr>
              <w:t>出（40）</w:t>
            </w:r>
          </w:p>
        </w:tc>
        <w:tc>
          <w:tcPr>
            <w:tcW w:w="1331" w:type="dxa"/>
            <w:vMerge w:val="restart"/>
            <w:tcBorders>
              <w:bottom w:val="nil"/>
            </w:tcBorders>
            <w:vAlign w:val="top"/>
          </w:tcPr>
          <w:p>
            <w:pPr>
              <w:pStyle w:val="9"/>
              <w:spacing w:line="245" w:lineRule="auto"/>
              <w:rPr>
                <w:rFonts w:hint="default" w:ascii="Times New Roman" w:hAnsi="Times New Roman" w:cs="Times New Roman"/>
              </w:rPr>
            </w:pPr>
          </w:p>
          <w:p>
            <w:pPr>
              <w:pStyle w:val="9"/>
              <w:spacing w:line="245" w:lineRule="auto"/>
              <w:rPr>
                <w:rFonts w:hint="default" w:ascii="Times New Roman" w:hAnsi="Times New Roman" w:cs="Times New Roman"/>
              </w:rPr>
            </w:pPr>
          </w:p>
          <w:p>
            <w:pPr>
              <w:pStyle w:val="9"/>
              <w:spacing w:line="245" w:lineRule="auto"/>
              <w:rPr>
                <w:rFonts w:hint="default" w:ascii="Times New Roman" w:hAnsi="Times New Roman" w:cs="Times New Roman"/>
              </w:rPr>
            </w:pPr>
          </w:p>
          <w:p>
            <w:pPr>
              <w:pStyle w:val="9"/>
              <w:spacing w:line="245" w:lineRule="auto"/>
              <w:rPr>
                <w:rFonts w:hint="default" w:ascii="Times New Roman" w:hAnsi="Times New Roman" w:cs="Times New Roman"/>
              </w:rPr>
            </w:pPr>
          </w:p>
          <w:p>
            <w:pPr>
              <w:pStyle w:val="9"/>
              <w:spacing w:line="245" w:lineRule="auto"/>
              <w:rPr>
                <w:rFonts w:hint="default" w:ascii="Times New Roman" w:hAnsi="Times New Roman" w:cs="Times New Roman"/>
              </w:rPr>
            </w:pPr>
          </w:p>
          <w:p>
            <w:pPr>
              <w:pStyle w:val="9"/>
              <w:spacing w:line="245" w:lineRule="auto"/>
              <w:rPr>
                <w:rFonts w:hint="default" w:ascii="Times New Roman" w:hAnsi="Times New Roman" w:cs="Times New Roman"/>
              </w:rPr>
            </w:pPr>
          </w:p>
          <w:p>
            <w:pPr>
              <w:pStyle w:val="9"/>
              <w:spacing w:line="246" w:lineRule="auto"/>
              <w:rPr>
                <w:rFonts w:hint="default" w:ascii="Times New Roman" w:hAnsi="Times New Roman" w:cs="Times New Roman"/>
              </w:rPr>
            </w:pPr>
          </w:p>
          <w:p>
            <w:pPr>
              <w:pStyle w:val="9"/>
              <w:spacing w:line="246" w:lineRule="auto"/>
              <w:rPr>
                <w:rFonts w:hint="default" w:ascii="Times New Roman" w:hAnsi="Times New Roman" w:cs="Times New Roman"/>
              </w:rPr>
            </w:pPr>
          </w:p>
          <w:p>
            <w:pPr>
              <w:pStyle w:val="9"/>
              <w:spacing w:line="246" w:lineRule="auto"/>
              <w:rPr>
                <w:rFonts w:hint="default" w:ascii="Times New Roman" w:hAnsi="Times New Roman" w:cs="Times New Roman"/>
              </w:rPr>
            </w:pPr>
          </w:p>
          <w:p>
            <w:pPr>
              <w:pStyle w:val="9"/>
              <w:spacing w:line="246" w:lineRule="auto"/>
              <w:rPr>
                <w:rFonts w:hint="default" w:ascii="Times New Roman" w:hAnsi="Times New Roman" w:cs="Times New Roman"/>
              </w:rPr>
            </w:pPr>
          </w:p>
          <w:p>
            <w:pPr>
              <w:spacing w:before="52" w:line="368" w:lineRule="auto"/>
              <w:ind w:left="113" w:right="380" w:hanging="6"/>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C1产出数量（22）</w:t>
            </w:r>
          </w:p>
        </w:tc>
        <w:tc>
          <w:tcPr>
            <w:tcW w:w="1308" w:type="dxa"/>
            <w:vAlign w:val="top"/>
          </w:tcPr>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spacing w:before="52" w:line="361" w:lineRule="auto"/>
              <w:ind w:left="115" w:right="198" w:hanging="7"/>
              <w:jc w:val="both"/>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C103园林绿化</w:t>
            </w:r>
            <w:r>
              <w:rPr>
                <w:rFonts w:hint="default" w:ascii="Times New Roman" w:hAnsi="Times New Roman" w:eastAsia="仿宋" w:cs="Times New Roman"/>
                <w:spacing w:val="-2"/>
                <w:sz w:val="16"/>
                <w:szCs w:val="16"/>
              </w:rPr>
              <w:t>及公园管理面</w:t>
            </w:r>
            <w:r>
              <w:rPr>
                <w:rFonts w:hint="default" w:ascii="Times New Roman" w:hAnsi="Times New Roman" w:eastAsia="仿宋" w:cs="Times New Roman"/>
                <w:sz w:val="16"/>
                <w:szCs w:val="16"/>
              </w:rPr>
              <w:t>积</w:t>
            </w:r>
          </w:p>
        </w:tc>
        <w:tc>
          <w:tcPr>
            <w:tcW w:w="756" w:type="dxa"/>
            <w:vAlign w:val="top"/>
          </w:tcPr>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spacing w:before="52" w:line="242" w:lineRule="auto"/>
              <w:ind w:left="273"/>
              <w:rPr>
                <w:rFonts w:hint="default" w:ascii="Times New Roman" w:hAnsi="Times New Roman" w:eastAsia="仿宋" w:cs="Times New Roman"/>
                <w:sz w:val="16"/>
                <w:szCs w:val="16"/>
              </w:rPr>
            </w:pPr>
            <w:r>
              <w:rPr>
                <w:rFonts w:hint="default" w:ascii="Times New Roman" w:hAnsi="Times New Roman" w:eastAsia="仿宋" w:cs="Times New Roman"/>
                <w:sz w:val="16"/>
                <w:szCs w:val="16"/>
              </w:rPr>
              <w:t>5</w:t>
            </w:r>
          </w:p>
        </w:tc>
        <w:tc>
          <w:tcPr>
            <w:tcW w:w="2008" w:type="dxa"/>
            <w:vAlign w:val="top"/>
          </w:tcPr>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spacing w:before="52" w:line="361" w:lineRule="auto"/>
              <w:ind w:left="123" w:right="137" w:hanging="8"/>
              <w:jc w:val="both"/>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考察2025年本项目符合</w:t>
            </w:r>
            <w:r>
              <w:rPr>
                <w:rFonts w:hint="default" w:ascii="Times New Roman" w:hAnsi="Times New Roman" w:eastAsia="仿宋" w:cs="Times New Roman"/>
                <w:spacing w:val="-2"/>
                <w:sz w:val="16"/>
                <w:szCs w:val="16"/>
              </w:rPr>
              <w:t>园林绿化及公园管理面积</w:t>
            </w:r>
            <w:r>
              <w:rPr>
                <w:rFonts w:hint="default" w:ascii="Times New Roman" w:hAnsi="Times New Roman" w:eastAsia="仿宋" w:cs="Times New Roman"/>
                <w:spacing w:val="-5"/>
                <w:sz w:val="16"/>
                <w:szCs w:val="16"/>
              </w:rPr>
              <w:t>的情况。</w:t>
            </w:r>
          </w:p>
        </w:tc>
        <w:tc>
          <w:tcPr>
            <w:tcW w:w="760" w:type="dxa"/>
            <w:vAlign w:val="top"/>
          </w:tcPr>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spacing w:before="52" w:line="361" w:lineRule="auto"/>
              <w:ind w:left="111" w:right="129"/>
              <w:jc w:val="both"/>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684254</w:t>
            </w:r>
            <w:r>
              <w:rPr>
                <w:rFonts w:hint="default" w:ascii="Times New Roman" w:hAnsi="Times New Roman" w:eastAsia="仿宋" w:cs="Times New Roman"/>
                <w:spacing w:val="-4"/>
                <w:sz w:val="16"/>
                <w:szCs w:val="16"/>
              </w:rPr>
              <w:t>6.11平</w:t>
            </w:r>
            <w:r>
              <w:rPr>
                <w:rFonts w:hint="default" w:ascii="Times New Roman" w:hAnsi="Times New Roman" w:eastAsia="仿宋" w:cs="Times New Roman"/>
                <w:spacing w:val="-3"/>
                <w:sz w:val="16"/>
                <w:szCs w:val="16"/>
              </w:rPr>
              <w:t>方米</w:t>
            </w:r>
          </w:p>
        </w:tc>
        <w:tc>
          <w:tcPr>
            <w:tcW w:w="1011" w:type="dxa"/>
            <w:vAlign w:val="top"/>
          </w:tcPr>
          <w:p>
            <w:pPr>
              <w:pStyle w:val="9"/>
              <w:spacing w:line="252"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spacing w:before="52" w:line="361" w:lineRule="auto"/>
              <w:ind w:left="115" w:right="259" w:firstLine="319"/>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计划标准</w:t>
            </w:r>
          </w:p>
        </w:tc>
        <w:tc>
          <w:tcPr>
            <w:tcW w:w="1811" w:type="dxa"/>
            <w:vAlign w:val="top"/>
          </w:tcPr>
          <w:p>
            <w:pPr>
              <w:pStyle w:val="9"/>
              <w:spacing w:line="318" w:lineRule="auto"/>
              <w:rPr>
                <w:rFonts w:hint="default" w:ascii="Times New Roman" w:hAnsi="Times New Roman" w:cs="Times New Roman"/>
              </w:rPr>
            </w:pPr>
          </w:p>
          <w:p>
            <w:pPr>
              <w:pStyle w:val="9"/>
              <w:spacing w:line="318" w:lineRule="auto"/>
              <w:rPr>
                <w:rFonts w:hint="default" w:ascii="Times New Roman" w:hAnsi="Times New Roman" w:cs="Times New Roman"/>
              </w:rPr>
            </w:pPr>
          </w:p>
          <w:p>
            <w:pPr>
              <w:pStyle w:val="9"/>
              <w:spacing w:line="318" w:lineRule="auto"/>
              <w:rPr>
                <w:rFonts w:hint="default" w:ascii="Times New Roman" w:hAnsi="Times New Roman" w:cs="Times New Roman"/>
              </w:rPr>
            </w:pPr>
          </w:p>
          <w:p>
            <w:pPr>
              <w:spacing w:before="52" w:line="224" w:lineRule="auto"/>
              <w:ind w:left="117"/>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达到目标值得满分，</w:t>
            </w:r>
          </w:p>
          <w:p>
            <w:pPr>
              <w:spacing w:before="118" w:line="365" w:lineRule="auto"/>
              <w:ind w:left="113" w:right="220" w:firstLine="1"/>
              <w:jc w:val="both"/>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低于则每降低1%扣除</w:t>
            </w:r>
            <w:r>
              <w:rPr>
                <w:rFonts w:hint="default" w:ascii="Times New Roman" w:hAnsi="Times New Roman" w:eastAsia="仿宋" w:cs="Times New Roman"/>
                <w:spacing w:val="-1"/>
                <w:sz w:val="16"/>
                <w:szCs w:val="16"/>
              </w:rPr>
              <w:t>5%的权重分，扣完为</w:t>
            </w:r>
            <w:r>
              <w:rPr>
                <w:rFonts w:hint="default" w:ascii="Times New Roman" w:hAnsi="Times New Roman" w:eastAsia="仿宋" w:cs="Times New Roman"/>
                <w:spacing w:val="-4"/>
                <w:sz w:val="16"/>
                <w:szCs w:val="16"/>
              </w:rPr>
              <w:t>止。</w:t>
            </w:r>
          </w:p>
        </w:tc>
        <w:tc>
          <w:tcPr>
            <w:tcW w:w="3959" w:type="dxa"/>
            <w:vAlign w:val="top"/>
          </w:tcPr>
          <w:p>
            <w:pPr>
              <w:spacing w:before="76" w:line="360" w:lineRule="auto"/>
              <w:ind w:left="115" w:right="166"/>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经评价组核实，“市政、园林、环卫一体化”第三方服务采购项目，园林绿化及公园管理面积应完成</w:t>
            </w:r>
          </w:p>
          <w:p>
            <w:pPr>
              <w:spacing w:before="5" w:line="347" w:lineRule="auto"/>
              <w:ind w:left="115" w:right="166" w:hanging="3"/>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6842546.11平方米，具体包含2个广场和</w:t>
            </w:r>
            <w:r>
              <w:rPr>
                <w:rFonts w:hint="default" w:ascii="Times New Roman" w:hAnsi="Times New Roman" w:eastAsia="仿宋" w:cs="Times New Roman"/>
                <w:spacing w:val="-3"/>
                <w:sz w:val="16"/>
                <w:szCs w:val="16"/>
              </w:rPr>
              <w:t>11个园林</w:t>
            </w:r>
            <w:r>
              <w:rPr>
                <w:rFonts w:hint="default" w:ascii="Times New Roman" w:hAnsi="Times New Roman" w:eastAsia="仿宋" w:cs="Times New Roman"/>
                <w:spacing w:val="1"/>
                <w:sz w:val="16"/>
                <w:szCs w:val="16"/>
              </w:rPr>
              <w:t>组成，园林管护面积由合同签订确定为6842546.11</w:t>
            </w:r>
            <w:r>
              <w:rPr>
                <w:rFonts w:hint="default" w:ascii="Times New Roman" w:hAnsi="Times New Roman" w:eastAsia="仿宋" w:cs="Times New Roman"/>
                <w:spacing w:val="-1"/>
                <w:sz w:val="16"/>
                <w:szCs w:val="16"/>
              </w:rPr>
              <w:t>平方米，但随着基础设施及园林面积产生变化，区住建局和哈密市北控北控城市服务有限公司重新签订了</w:t>
            </w:r>
            <w:r>
              <w:rPr>
                <w:rFonts w:hint="default" w:ascii="Times New Roman" w:hAnsi="Times New Roman" w:eastAsia="仿宋" w:cs="Times New Roman"/>
                <w:spacing w:val="-2"/>
                <w:sz w:val="16"/>
                <w:szCs w:val="16"/>
              </w:rPr>
              <w:t>补充协议，将园林绿化及公园管理细则补充</w:t>
            </w:r>
            <w:r>
              <w:rPr>
                <w:rFonts w:hint="default" w:ascii="Times New Roman" w:hAnsi="Times New Roman" w:eastAsia="仿宋" w:cs="Times New Roman"/>
                <w:spacing w:val="-3"/>
                <w:sz w:val="16"/>
                <w:szCs w:val="16"/>
              </w:rPr>
              <w:t>完善。目</w:t>
            </w:r>
            <w:r>
              <w:rPr>
                <w:rFonts w:hint="default" w:ascii="Times New Roman" w:hAnsi="Times New Roman" w:eastAsia="仿宋" w:cs="Times New Roman"/>
                <w:spacing w:val="-1"/>
                <w:sz w:val="16"/>
                <w:szCs w:val="16"/>
              </w:rPr>
              <w:t>前通过项目实施方案、每月考核数据可知，园林绿化及公园管理面积与合同协议书上要求一致。综上，该</w:t>
            </w:r>
            <w:r>
              <w:rPr>
                <w:rFonts w:hint="default" w:ascii="Times New Roman" w:hAnsi="Times New Roman" w:eastAsia="仿宋" w:cs="Times New Roman"/>
                <w:spacing w:val="-6"/>
                <w:sz w:val="16"/>
                <w:szCs w:val="16"/>
              </w:rPr>
              <w:t>指标得5分。</w:t>
            </w:r>
          </w:p>
        </w:tc>
        <w:tc>
          <w:tcPr>
            <w:tcW w:w="708" w:type="dxa"/>
            <w:vAlign w:val="top"/>
          </w:tcPr>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spacing w:before="52" w:line="242" w:lineRule="auto"/>
              <w:ind w:left="276"/>
              <w:rPr>
                <w:rFonts w:hint="default" w:ascii="Times New Roman" w:hAnsi="Times New Roman" w:eastAsia="仿宋" w:cs="Times New Roman"/>
                <w:sz w:val="16"/>
                <w:szCs w:val="16"/>
              </w:rPr>
            </w:pPr>
            <w:r>
              <w:rPr>
                <w:rFonts w:hint="default" w:ascii="Times New Roman" w:hAnsi="Times New Roman" w:eastAsia="仿宋" w:cs="Times New Roman"/>
                <w:sz w:val="16"/>
                <w:szCs w:val="16"/>
              </w:rPr>
              <w:t>5</w:t>
            </w:r>
          </w:p>
        </w:tc>
        <w:tc>
          <w:tcPr>
            <w:tcW w:w="868" w:type="dxa"/>
            <w:vAlign w:val="top"/>
          </w:tcPr>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spacing w:before="52" w:line="242" w:lineRule="auto"/>
              <w:ind w:left="285"/>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06" w:hRule="atLeast"/>
        </w:trPr>
        <w:tc>
          <w:tcPr>
            <w:tcW w:w="952" w:type="dxa"/>
            <w:vMerge w:val="continue"/>
            <w:tcBorders>
              <w:top w:val="nil"/>
            </w:tcBorders>
            <w:vAlign w:val="top"/>
          </w:tcPr>
          <w:p>
            <w:pPr>
              <w:pStyle w:val="9"/>
              <w:rPr>
                <w:rFonts w:hint="default" w:ascii="Times New Roman" w:hAnsi="Times New Roman" w:cs="Times New Roman"/>
              </w:rPr>
            </w:pPr>
          </w:p>
        </w:tc>
        <w:tc>
          <w:tcPr>
            <w:tcW w:w="1331" w:type="dxa"/>
            <w:vMerge w:val="continue"/>
            <w:tcBorders>
              <w:top w:val="nil"/>
            </w:tcBorders>
            <w:vAlign w:val="top"/>
          </w:tcPr>
          <w:p>
            <w:pPr>
              <w:pStyle w:val="9"/>
              <w:rPr>
                <w:rFonts w:hint="default" w:ascii="Times New Roman" w:hAnsi="Times New Roman" w:cs="Times New Roman"/>
              </w:rPr>
            </w:pPr>
          </w:p>
        </w:tc>
        <w:tc>
          <w:tcPr>
            <w:tcW w:w="1308" w:type="dxa"/>
            <w:vAlign w:val="top"/>
          </w:tcPr>
          <w:p>
            <w:pPr>
              <w:pStyle w:val="9"/>
              <w:spacing w:line="264" w:lineRule="auto"/>
              <w:rPr>
                <w:rFonts w:hint="default" w:ascii="Times New Roman" w:hAnsi="Times New Roman" w:cs="Times New Roman"/>
              </w:rPr>
            </w:pPr>
          </w:p>
          <w:p>
            <w:pPr>
              <w:pStyle w:val="9"/>
              <w:spacing w:line="264" w:lineRule="auto"/>
              <w:rPr>
                <w:rFonts w:hint="default" w:ascii="Times New Roman" w:hAnsi="Times New Roman" w:cs="Times New Roman"/>
              </w:rPr>
            </w:pPr>
          </w:p>
          <w:p>
            <w:pPr>
              <w:pStyle w:val="9"/>
              <w:spacing w:line="264" w:lineRule="auto"/>
              <w:rPr>
                <w:rFonts w:hint="default" w:ascii="Times New Roman" w:hAnsi="Times New Roman" w:cs="Times New Roman"/>
              </w:rPr>
            </w:pPr>
          </w:p>
          <w:p>
            <w:pPr>
              <w:pStyle w:val="9"/>
              <w:spacing w:line="265" w:lineRule="auto"/>
              <w:rPr>
                <w:rFonts w:hint="default" w:ascii="Times New Roman" w:hAnsi="Times New Roman" w:cs="Times New Roman"/>
              </w:rPr>
            </w:pPr>
          </w:p>
          <w:p>
            <w:pPr>
              <w:spacing w:before="52" w:line="360" w:lineRule="auto"/>
              <w:ind w:left="113" w:right="198" w:hanging="5"/>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C104路灯照明设施管养数量</w:t>
            </w:r>
          </w:p>
        </w:tc>
        <w:tc>
          <w:tcPr>
            <w:tcW w:w="756" w:type="dxa"/>
            <w:vAlign w:val="top"/>
          </w:tcPr>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3" w:lineRule="auto"/>
              <w:rPr>
                <w:rFonts w:hint="default" w:ascii="Times New Roman" w:hAnsi="Times New Roman" w:cs="Times New Roman"/>
              </w:rPr>
            </w:pPr>
          </w:p>
          <w:p>
            <w:pPr>
              <w:pStyle w:val="9"/>
              <w:spacing w:line="243" w:lineRule="auto"/>
              <w:rPr>
                <w:rFonts w:hint="default" w:ascii="Times New Roman" w:hAnsi="Times New Roman" w:cs="Times New Roman"/>
              </w:rPr>
            </w:pPr>
          </w:p>
          <w:p>
            <w:pPr>
              <w:spacing w:before="52" w:line="211" w:lineRule="exact"/>
              <w:ind w:left="269"/>
              <w:rPr>
                <w:rFonts w:hint="default" w:ascii="Times New Roman" w:hAnsi="Times New Roman" w:eastAsia="仿宋" w:cs="Times New Roman"/>
                <w:sz w:val="16"/>
                <w:szCs w:val="16"/>
              </w:rPr>
            </w:pPr>
            <w:r>
              <w:rPr>
                <w:rFonts w:hint="default" w:ascii="Times New Roman" w:hAnsi="Times New Roman" w:eastAsia="仿宋" w:cs="Times New Roman"/>
                <w:position w:val="1"/>
                <w:sz w:val="16"/>
                <w:szCs w:val="16"/>
              </w:rPr>
              <w:t>4</w:t>
            </w:r>
          </w:p>
        </w:tc>
        <w:tc>
          <w:tcPr>
            <w:tcW w:w="2008" w:type="dxa"/>
            <w:vAlign w:val="top"/>
          </w:tcPr>
          <w:p>
            <w:pPr>
              <w:pStyle w:val="9"/>
              <w:spacing w:line="300" w:lineRule="auto"/>
              <w:rPr>
                <w:rFonts w:hint="default" w:ascii="Times New Roman" w:hAnsi="Times New Roman" w:cs="Times New Roman"/>
              </w:rPr>
            </w:pPr>
          </w:p>
          <w:p>
            <w:pPr>
              <w:pStyle w:val="9"/>
              <w:spacing w:line="300" w:lineRule="auto"/>
              <w:rPr>
                <w:rFonts w:hint="default" w:ascii="Times New Roman" w:hAnsi="Times New Roman" w:cs="Times New Roman"/>
              </w:rPr>
            </w:pPr>
          </w:p>
          <w:p>
            <w:pPr>
              <w:pStyle w:val="9"/>
              <w:spacing w:line="301" w:lineRule="auto"/>
              <w:rPr>
                <w:rFonts w:hint="default" w:ascii="Times New Roman" w:hAnsi="Times New Roman" w:cs="Times New Roman"/>
              </w:rPr>
            </w:pPr>
          </w:p>
          <w:p>
            <w:pPr>
              <w:spacing w:before="52" w:line="361" w:lineRule="auto"/>
              <w:ind w:left="113" w:right="137" w:firstLine="1"/>
              <w:jc w:val="both"/>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考察2025年本项目符合</w:t>
            </w:r>
            <w:r>
              <w:rPr>
                <w:rFonts w:hint="default" w:ascii="Times New Roman" w:hAnsi="Times New Roman" w:eastAsia="仿宋" w:cs="Times New Roman"/>
                <w:spacing w:val="-1"/>
                <w:sz w:val="16"/>
                <w:szCs w:val="16"/>
              </w:rPr>
              <w:t>路灯照明设施管养工作的</w:t>
            </w:r>
            <w:r>
              <w:rPr>
                <w:rFonts w:hint="default" w:ascii="Times New Roman" w:hAnsi="Times New Roman" w:eastAsia="仿宋" w:cs="Times New Roman"/>
                <w:spacing w:val="-3"/>
                <w:sz w:val="16"/>
                <w:szCs w:val="16"/>
              </w:rPr>
              <w:t>情况。</w:t>
            </w:r>
          </w:p>
        </w:tc>
        <w:tc>
          <w:tcPr>
            <w:tcW w:w="760" w:type="dxa"/>
            <w:vAlign w:val="top"/>
          </w:tcPr>
          <w:p>
            <w:pPr>
              <w:pStyle w:val="9"/>
              <w:spacing w:line="264" w:lineRule="auto"/>
              <w:rPr>
                <w:rFonts w:hint="default" w:ascii="Times New Roman" w:hAnsi="Times New Roman" w:cs="Times New Roman"/>
              </w:rPr>
            </w:pPr>
          </w:p>
          <w:p>
            <w:pPr>
              <w:pStyle w:val="9"/>
              <w:spacing w:line="264" w:lineRule="auto"/>
              <w:rPr>
                <w:rFonts w:hint="default" w:ascii="Times New Roman" w:hAnsi="Times New Roman" w:cs="Times New Roman"/>
              </w:rPr>
            </w:pPr>
          </w:p>
          <w:p>
            <w:pPr>
              <w:pStyle w:val="9"/>
              <w:spacing w:line="264" w:lineRule="auto"/>
              <w:rPr>
                <w:rFonts w:hint="default" w:ascii="Times New Roman" w:hAnsi="Times New Roman" w:cs="Times New Roman"/>
              </w:rPr>
            </w:pPr>
          </w:p>
          <w:p>
            <w:pPr>
              <w:pStyle w:val="9"/>
              <w:spacing w:line="265" w:lineRule="auto"/>
              <w:rPr>
                <w:rFonts w:hint="default" w:ascii="Times New Roman" w:hAnsi="Times New Roman" w:cs="Times New Roman"/>
              </w:rPr>
            </w:pPr>
          </w:p>
          <w:p>
            <w:pPr>
              <w:spacing w:before="52" w:line="366" w:lineRule="auto"/>
              <w:ind w:left="118" w:right="248" w:firstLine="3"/>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19518</w:t>
            </w:r>
            <w:r>
              <w:rPr>
                <w:rFonts w:hint="default" w:ascii="Times New Roman" w:hAnsi="Times New Roman" w:eastAsia="仿宋" w:cs="Times New Roman"/>
                <w:sz w:val="16"/>
                <w:szCs w:val="16"/>
              </w:rPr>
              <w:t>盏</w:t>
            </w:r>
          </w:p>
        </w:tc>
        <w:tc>
          <w:tcPr>
            <w:tcW w:w="1011" w:type="dxa"/>
            <w:vAlign w:val="top"/>
          </w:tcPr>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3" w:lineRule="auto"/>
              <w:rPr>
                <w:rFonts w:hint="default" w:ascii="Times New Roman" w:hAnsi="Times New Roman" w:cs="Times New Roman"/>
              </w:rPr>
            </w:pPr>
          </w:p>
          <w:p>
            <w:pPr>
              <w:pStyle w:val="9"/>
              <w:spacing w:line="243" w:lineRule="auto"/>
              <w:rPr>
                <w:rFonts w:hint="default" w:ascii="Times New Roman" w:hAnsi="Times New Roman" w:cs="Times New Roman"/>
              </w:rPr>
            </w:pPr>
          </w:p>
          <w:p>
            <w:pPr>
              <w:spacing w:before="52"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计划标准</w:t>
            </w:r>
          </w:p>
        </w:tc>
        <w:tc>
          <w:tcPr>
            <w:tcW w:w="1811" w:type="dxa"/>
            <w:vAlign w:val="top"/>
          </w:tcPr>
          <w:p>
            <w:pPr>
              <w:pStyle w:val="9"/>
              <w:spacing w:line="249" w:lineRule="auto"/>
              <w:rPr>
                <w:rFonts w:hint="default" w:ascii="Times New Roman" w:hAnsi="Times New Roman" w:cs="Times New Roman"/>
              </w:rPr>
            </w:pPr>
          </w:p>
          <w:p>
            <w:pPr>
              <w:pStyle w:val="9"/>
              <w:spacing w:line="249" w:lineRule="auto"/>
              <w:rPr>
                <w:rFonts w:hint="default" w:ascii="Times New Roman" w:hAnsi="Times New Roman" w:cs="Times New Roman"/>
              </w:rPr>
            </w:pPr>
          </w:p>
          <w:p>
            <w:pPr>
              <w:pStyle w:val="9"/>
              <w:spacing w:line="249" w:lineRule="auto"/>
              <w:rPr>
                <w:rFonts w:hint="default" w:ascii="Times New Roman" w:hAnsi="Times New Roman" w:cs="Times New Roman"/>
              </w:rPr>
            </w:pPr>
          </w:p>
          <w:p>
            <w:pPr>
              <w:spacing w:before="52" w:line="224" w:lineRule="auto"/>
              <w:ind w:left="117"/>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达到目标值得满分，</w:t>
            </w:r>
          </w:p>
          <w:p>
            <w:pPr>
              <w:spacing w:before="118" w:line="365" w:lineRule="auto"/>
              <w:ind w:left="113" w:right="220" w:firstLine="1"/>
              <w:jc w:val="both"/>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低于则每降低1%扣除</w:t>
            </w:r>
            <w:r>
              <w:rPr>
                <w:rFonts w:hint="default" w:ascii="Times New Roman" w:hAnsi="Times New Roman" w:eastAsia="仿宋" w:cs="Times New Roman"/>
                <w:spacing w:val="-1"/>
                <w:sz w:val="16"/>
                <w:szCs w:val="16"/>
              </w:rPr>
              <w:t>5%的权重分，扣完为</w:t>
            </w:r>
            <w:r>
              <w:rPr>
                <w:rFonts w:hint="default" w:ascii="Times New Roman" w:hAnsi="Times New Roman" w:eastAsia="仿宋" w:cs="Times New Roman"/>
                <w:spacing w:val="-4"/>
                <w:sz w:val="16"/>
                <w:szCs w:val="16"/>
              </w:rPr>
              <w:t>止。</w:t>
            </w:r>
          </w:p>
        </w:tc>
        <w:tc>
          <w:tcPr>
            <w:tcW w:w="3959" w:type="dxa"/>
            <w:vAlign w:val="top"/>
          </w:tcPr>
          <w:p>
            <w:pPr>
              <w:spacing w:before="180" w:line="360" w:lineRule="auto"/>
              <w:ind w:left="115" w:right="166"/>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经评价组核实，“市政、园林、环卫一体化”第三方服务采购项目，路灯照明设施管养数量应完成灯头</w:t>
            </w:r>
          </w:p>
          <w:p>
            <w:pPr>
              <w:spacing w:before="2" w:line="359" w:lineRule="auto"/>
              <w:ind w:left="117" w:right="126" w:firstLine="6"/>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19518盏，具体涉及城区163条道路及周</w:t>
            </w:r>
            <w:r>
              <w:rPr>
                <w:rFonts w:hint="default" w:ascii="Times New Roman" w:hAnsi="Times New Roman" w:eastAsia="仿宋" w:cs="Times New Roman"/>
                <w:spacing w:val="-3"/>
                <w:sz w:val="16"/>
                <w:szCs w:val="16"/>
              </w:rPr>
              <w:t>边，通过合</w:t>
            </w:r>
            <w:r>
              <w:rPr>
                <w:rFonts w:hint="default" w:ascii="Times New Roman" w:hAnsi="Times New Roman" w:eastAsia="仿宋" w:cs="Times New Roman"/>
                <w:spacing w:val="1"/>
                <w:sz w:val="16"/>
                <w:szCs w:val="16"/>
              </w:rPr>
              <w:t>同及每月考核细则可知，路灯维护工作完成路灯9759</w:t>
            </w:r>
            <w:r>
              <w:rPr>
                <w:rFonts w:hint="default" w:ascii="Times New Roman" w:hAnsi="Times New Roman" w:eastAsia="仿宋" w:cs="Times New Roman"/>
                <w:spacing w:val="-3"/>
                <w:sz w:val="16"/>
                <w:szCs w:val="16"/>
              </w:rPr>
              <w:t>根（灯头19518盏</w:t>
            </w:r>
            <w:r>
              <w:rPr>
                <w:rFonts w:hint="default" w:ascii="Times New Roman" w:hAnsi="Times New Roman" w:eastAsia="仿宋" w:cs="Times New Roman"/>
                <w:spacing w:val="14"/>
                <w:sz w:val="16"/>
                <w:szCs w:val="16"/>
              </w:rPr>
              <w:t>），</w:t>
            </w:r>
            <w:r>
              <w:rPr>
                <w:rFonts w:hint="default" w:ascii="Times New Roman" w:hAnsi="Times New Roman" w:eastAsia="仿宋" w:cs="Times New Roman"/>
                <w:spacing w:val="-3"/>
                <w:sz w:val="16"/>
                <w:szCs w:val="16"/>
              </w:rPr>
              <w:t>同时包含路灯箱边、路</w:t>
            </w:r>
            <w:r>
              <w:rPr>
                <w:rFonts w:hint="default" w:ascii="Times New Roman" w:hAnsi="Times New Roman" w:eastAsia="仿宋" w:cs="Times New Roman"/>
                <w:spacing w:val="-4"/>
                <w:sz w:val="16"/>
                <w:szCs w:val="16"/>
              </w:rPr>
              <w:t>灯电</w:t>
            </w:r>
          </w:p>
          <w:p>
            <w:pPr>
              <w:spacing w:before="1" w:line="360" w:lineRule="auto"/>
              <w:ind w:left="117" w:right="166"/>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缆、路灯检查井、路灯配电柜等维护工作。目前路灯</w:t>
            </w:r>
            <w:r>
              <w:rPr>
                <w:rFonts w:hint="default" w:ascii="Times New Roman" w:hAnsi="Times New Roman" w:eastAsia="仿宋" w:cs="Times New Roman"/>
                <w:spacing w:val="-1"/>
                <w:sz w:val="16"/>
                <w:szCs w:val="16"/>
              </w:rPr>
              <w:t>照明设施管养完成工作与合同协议书上要求一致。综</w:t>
            </w:r>
            <w:r>
              <w:rPr>
                <w:rFonts w:hint="default" w:ascii="Times New Roman" w:hAnsi="Times New Roman" w:eastAsia="仿宋" w:cs="Times New Roman"/>
                <w:spacing w:val="1"/>
                <w:sz w:val="16"/>
                <w:szCs w:val="16"/>
              </w:rPr>
              <w:t>上，该指标得4分。</w:t>
            </w:r>
          </w:p>
        </w:tc>
        <w:tc>
          <w:tcPr>
            <w:tcW w:w="708" w:type="dxa"/>
            <w:vAlign w:val="top"/>
          </w:tcPr>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3" w:lineRule="auto"/>
              <w:rPr>
                <w:rFonts w:hint="default" w:ascii="Times New Roman" w:hAnsi="Times New Roman" w:cs="Times New Roman"/>
              </w:rPr>
            </w:pPr>
          </w:p>
          <w:p>
            <w:pPr>
              <w:pStyle w:val="9"/>
              <w:spacing w:line="243" w:lineRule="auto"/>
              <w:rPr>
                <w:rFonts w:hint="default" w:ascii="Times New Roman" w:hAnsi="Times New Roman" w:cs="Times New Roman"/>
              </w:rPr>
            </w:pPr>
          </w:p>
          <w:p>
            <w:pPr>
              <w:spacing w:before="52" w:line="211" w:lineRule="exact"/>
              <w:ind w:left="272"/>
              <w:rPr>
                <w:rFonts w:hint="default" w:ascii="Times New Roman" w:hAnsi="Times New Roman" w:eastAsia="仿宋" w:cs="Times New Roman"/>
                <w:sz w:val="16"/>
                <w:szCs w:val="16"/>
              </w:rPr>
            </w:pPr>
            <w:r>
              <w:rPr>
                <w:rFonts w:hint="default" w:ascii="Times New Roman" w:hAnsi="Times New Roman" w:eastAsia="仿宋" w:cs="Times New Roman"/>
                <w:position w:val="1"/>
                <w:sz w:val="16"/>
                <w:szCs w:val="16"/>
              </w:rPr>
              <w:t>4</w:t>
            </w:r>
          </w:p>
        </w:tc>
        <w:tc>
          <w:tcPr>
            <w:tcW w:w="868" w:type="dxa"/>
            <w:vAlign w:val="top"/>
          </w:tcPr>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3" w:lineRule="auto"/>
              <w:rPr>
                <w:rFonts w:hint="default" w:ascii="Times New Roman" w:hAnsi="Times New Roman" w:cs="Times New Roman"/>
              </w:rPr>
            </w:pPr>
          </w:p>
          <w:p>
            <w:pPr>
              <w:pStyle w:val="9"/>
              <w:spacing w:line="243" w:lineRule="auto"/>
              <w:rPr>
                <w:rFonts w:hint="default" w:ascii="Times New Roman" w:hAnsi="Times New Roman" w:cs="Times New Roman"/>
              </w:rPr>
            </w:pPr>
          </w:p>
          <w:p>
            <w:pPr>
              <w:spacing w:before="52" w:line="242" w:lineRule="auto"/>
              <w:ind w:left="285"/>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100%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13" w:type="default"/>
          <w:pgSz w:w="16839" w:h="11906"/>
          <w:pgMar w:top="1012" w:right="692" w:bottom="1256" w:left="668" w:header="0" w:footer="1003" w:gutter="0"/>
          <w:cols w:space="720" w:num="1"/>
        </w:sectPr>
      </w:pPr>
    </w:p>
    <w:p>
      <w:pPr>
        <w:spacing w:line="307" w:lineRule="auto"/>
        <w:rPr>
          <w:rFonts w:hint="default" w:ascii="Times New Roman" w:hAnsi="Times New Roman" w:cs="Times New Roman"/>
          <w:sz w:val="21"/>
        </w:rPr>
      </w:pPr>
    </w:p>
    <w:p>
      <w:pPr>
        <w:spacing w:before="78" w:line="222" w:lineRule="auto"/>
        <w:ind w:left="137" w:firstLine="466" w:firstLineChars="200"/>
        <w:rPr>
          <w:rFonts w:hint="default" w:ascii="Times New Roman" w:hAnsi="Times New Roman" w:eastAsia="仿宋" w:cs="Times New Roman"/>
          <w:sz w:val="24"/>
          <w:szCs w:val="24"/>
        </w:rPr>
      </w:pPr>
      <w:r>
        <w:rPr>
          <w:rFonts w:hint="default" w:ascii="Times New Roman" w:hAnsi="Times New Roman" w:eastAsia="仿宋" w:cs="Times New Roman"/>
          <w:b/>
          <w:bCs/>
          <w:spacing w:val="-4"/>
          <w:sz w:val="24"/>
          <w:szCs w:val="24"/>
        </w:rPr>
        <w:t>附件1：“市政、园林、环卫一体化”第三方服务采购项目绩效评价指标体系评</w:t>
      </w:r>
      <w:r>
        <w:rPr>
          <w:rFonts w:hint="default" w:ascii="Times New Roman" w:hAnsi="Times New Roman" w:eastAsia="仿宋" w:cs="Times New Roman"/>
          <w:b/>
          <w:bCs/>
          <w:spacing w:val="-5"/>
          <w:sz w:val="24"/>
          <w:szCs w:val="24"/>
        </w:rPr>
        <w:t>分表</w:t>
      </w:r>
    </w:p>
    <w:p>
      <w:pPr>
        <w:spacing w:line="160" w:lineRule="exact"/>
        <w:rPr>
          <w:rFonts w:hint="default" w:ascii="Times New Roman" w:hAnsi="Times New Roman" w:cs="Times New Roman"/>
        </w:rPr>
      </w:pPr>
    </w:p>
    <w:tbl>
      <w:tblPr>
        <w:tblStyle w:val="8"/>
        <w:tblW w:w="154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331"/>
        <w:gridCol w:w="1308"/>
        <w:gridCol w:w="756"/>
        <w:gridCol w:w="2008"/>
        <w:gridCol w:w="760"/>
        <w:gridCol w:w="1011"/>
        <w:gridCol w:w="1811"/>
        <w:gridCol w:w="3959"/>
        <w:gridCol w:w="708"/>
        <w:gridCol w:w="86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9" w:hRule="atLeast"/>
        </w:trPr>
        <w:tc>
          <w:tcPr>
            <w:tcW w:w="952" w:type="dxa"/>
            <w:vAlign w:val="top"/>
          </w:tcPr>
          <w:p>
            <w:pPr>
              <w:spacing w:before="96" w:line="222" w:lineRule="auto"/>
              <w:ind w:left="12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一级指标</w:t>
            </w:r>
          </w:p>
        </w:tc>
        <w:tc>
          <w:tcPr>
            <w:tcW w:w="1331" w:type="dxa"/>
            <w:vAlign w:val="top"/>
          </w:tcPr>
          <w:p>
            <w:pPr>
              <w:spacing w:before="96"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二级指标</w:t>
            </w:r>
          </w:p>
        </w:tc>
        <w:tc>
          <w:tcPr>
            <w:tcW w:w="1308" w:type="dxa"/>
            <w:vAlign w:val="top"/>
          </w:tcPr>
          <w:p>
            <w:pPr>
              <w:spacing w:before="96"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三级指标</w:t>
            </w:r>
          </w:p>
        </w:tc>
        <w:tc>
          <w:tcPr>
            <w:tcW w:w="756" w:type="dxa"/>
            <w:vAlign w:val="top"/>
          </w:tcPr>
          <w:p>
            <w:pPr>
              <w:spacing w:before="96" w:line="222" w:lineRule="auto"/>
              <w:ind w:left="203"/>
              <w:rPr>
                <w:rFonts w:hint="default" w:ascii="Times New Roman" w:hAnsi="Times New Roman" w:eastAsia="仿宋" w:cs="Times New Roman"/>
                <w:sz w:val="18"/>
                <w:szCs w:val="18"/>
              </w:rPr>
            </w:pPr>
            <w:r>
              <w:rPr>
                <w:rFonts w:hint="default" w:ascii="Times New Roman" w:hAnsi="Times New Roman" w:eastAsia="仿宋" w:cs="Times New Roman"/>
                <w:b/>
                <w:bCs/>
                <w:spacing w:val="-8"/>
                <w:sz w:val="18"/>
                <w:szCs w:val="18"/>
              </w:rPr>
              <w:t>权重</w:t>
            </w:r>
          </w:p>
        </w:tc>
        <w:tc>
          <w:tcPr>
            <w:tcW w:w="2008" w:type="dxa"/>
            <w:vAlign w:val="top"/>
          </w:tcPr>
          <w:p>
            <w:pPr>
              <w:spacing w:before="96" w:line="222" w:lineRule="auto"/>
              <w:ind w:left="478"/>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指标解释</w:t>
            </w:r>
          </w:p>
        </w:tc>
        <w:tc>
          <w:tcPr>
            <w:tcW w:w="760" w:type="dxa"/>
            <w:vAlign w:val="top"/>
          </w:tcPr>
          <w:p>
            <w:pPr>
              <w:spacing w:before="96" w:line="222" w:lineRule="auto"/>
              <w:ind w:left="115"/>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标杆值</w:t>
            </w:r>
          </w:p>
        </w:tc>
        <w:tc>
          <w:tcPr>
            <w:tcW w:w="1011" w:type="dxa"/>
            <w:vAlign w:val="top"/>
          </w:tcPr>
          <w:p>
            <w:pPr>
              <w:spacing w:before="96" w:line="222"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评分依据</w:t>
            </w:r>
          </w:p>
        </w:tc>
        <w:tc>
          <w:tcPr>
            <w:tcW w:w="1811" w:type="dxa"/>
            <w:vAlign w:val="top"/>
          </w:tcPr>
          <w:p>
            <w:pPr>
              <w:spacing w:before="96" w:line="222" w:lineRule="auto"/>
              <w:ind w:left="479"/>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评价标准</w:t>
            </w:r>
          </w:p>
        </w:tc>
        <w:tc>
          <w:tcPr>
            <w:tcW w:w="3959" w:type="dxa"/>
            <w:vAlign w:val="top"/>
          </w:tcPr>
          <w:p>
            <w:pPr>
              <w:spacing w:before="96" w:line="222" w:lineRule="auto"/>
              <w:ind w:left="1383"/>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评分过程</w:t>
            </w:r>
          </w:p>
        </w:tc>
        <w:tc>
          <w:tcPr>
            <w:tcW w:w="708" w:type="dxa"/>
            <w:vAlign w:val="top"/>
          </w:tcPr>
          <w:p>
            <w:pPr>
              <w:spacing w:before="96"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得分</w:t>
            </w:r>
          </w:p>
        </w:tc>
        <w:tc>
          <w:tcPr>
            <w:tcW w:w="868" w:type="dxa"/>
            <w:vAlign w:val="top"/>
          </w:tcPr>
          <w:p>
            <w:pPr>
              <w:spacing w:before="96"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63" w:hRule="atLeast"/>
        </w:trPr>
        <w:tc>
          <w:tcPr>
            <w:tcW w:w="952" w:type="dxa"/>
            <w:vAlign w:val="top"/>
          </w:tcPr>
          <w:p>
            <w:pPr>
              <w:pStyle w:val="9"/>
              <w:spacing w:line="256" w:lineRule="auto"/>
              <w:rPr>
                <w:rFonts w:hint="default" w:ascii="Times New Roman" w:hAnsi="Times New Roman" w:cs="Times New Roman"/>
              </w:rPr>
            </w:pPr>
          </w:p>
          <w:p>
            <w:pPr>
              <w:pStyle w:val="9"/>
              <w:spacing w:line="257" w:lineRule="auto"/>
              <w:rPr>
                <w:rFonts w:hint="default" w:ascii="Times New Roman" w:hAnsi="Times New Roman" w:cs="Times New Roman"/>
              </w:rPr>
            </w:pPr>
          </w:p>
          <w:p>
            <w:pPr>
              <w:pStyle w:val="9"/>
              <w:spacing w:line="257" w:lineRule="auto"/>
              <w:rPr>
                <w:rFonts w:hint="default" w:ascii="Times New Roman" w:hAnsi="Times New Roman" w:cs="Times New Roman"/>
              </w:rPr>
            </w:pPr>
          </w:p>
          <w:p>
            <w:pPr>
              <w:pStyle w:val="9"/>
              <w:spacing w:line="257" w:lineRule="auto"/>
              <w:rPr>
                <w:rFonts w:hint="default" w:ascii="Times New Roman" w:hAnsi="Times New Roman" w:cs="Times New Roman"/>
              </w:rPr>
            </w:pPr>
          </w:p>
          <w:p>
            <w:pPr>
              <w:pStyle w:val="9"/>
              <w:spacing w:line="257" w:lineRule="auto"/>
              <w:rPr>
                <w:rFonts w:hint="default" w:ascii="Times New Roman" w:hAnsi="Times New Roman" w:cs="Times New Roman"/>
              </w:rPr>
            </w:pPr>
          </w:p>
          <w:p>
            <w:pPr>
              <w:spacing w:before="52" w:line="363" w:lineRule="auto"/>
              <w:ind w:left="133" w:right="210" w:hanging="22"/>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C项目产</w:t>
            </w:r>
            <w:r>
              <w:rPr>
                <w:rFonts w:hint="default" w:ascii="Times New Roman" w:hAnsi="Times New Roman" w:eastAsia="仿宋" w:cs="Times New Roman"/>
                <w:spacing w:val="-8"/>
                <w:sz w:val="16"/>
                <w:szCs w:val="16"/>
              </w:rPr>
              <w:t>出（40）</w:t>
            </w:r>
          </w:p>
        </w:tc>
        <w:tc>
          <w:tcPr>
            <w:tcW w:w="1331" w:type="dxa"/>
            <w:vAlign w:val="top"/>
          </w:tcPr>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7" w:lineRule="auto"/>
              <w:rPr>
                <w:rFonts w:hint="default" w:ascii="Times New Roman" w:hAnsi="Times New Roman" w:cs="Times New Roman"/>
              </w:rPr>
            </w:pPr>
          </w:p>
          <w:p>
            <w:pPr>
              <w:pStyle w:val="9"/>
              <w:spacing w:line="257" w:lineRule="auto"/>
              <w:rPr>
                <w:rFonts w:hint="default" w:ascii="Times New Roman" w:hAnsi="Times New Roman" w:cs="Times New Roman"/>
              </w:rPr>
            </w:pPr>
          </w:p>
          <w:p>
            <w:pPr>
              <w:pStyle w:val="9"/>
              <w:spacing w:line="257" w:lineRule="auto"/>
              <w:rPr>
                <w:rFonts w:hint="default" w:ascii="Times New Roman" w:hAnsi="Times New Roman" w:cs="Times New Roman"/>
              </w:rPr>
            </w:pPr>
          </w:p>
          <w:p>
            <w:pPr>
              <w:spacing w:before="52" w:line="368" w:lineRule="auto"/>
              <w:ind w:left="113" w:right="380" w:hanging="6"/>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C2产出质量</w:t>
            </w:r>
            <w:r>
              <w:rPr>
                <w:rFonts w:hint="default" w:ascii="Times New Roman" w:hAnsi="Times New Roman" w:eastAsia="仿宋" w:cs="Times New Roman"/>
                <w:spacing w:val="-4"/>
                <w:sz w:val="16"/>
                <w:szCs w:val="16"/>
              </w:rPr>
              <w:t>（7）</w:t>
            </w:r>
          </w:p>
        </w:tc>
        <w:tc>
          <w:tcPr>
            <w:tcW w:w="1308" w:type="dxa"/>
            <w:vAlign w:val="top"/>
          </w:tcPr>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7" w:lineRule="auto"/>
              <w:rPr>
                <w:rFonts w:hint="default" w:ascii="Times New Roman" w:hAnsi="Times New Roman" w:cs="Times New Roman"/>
              </w:rPr>
            </w:pPr>
          </w:p>
          <w:p>
            <w:pPr>
              <w:pStyle w:val="9"/>
              <w:spacing w:line="257" w:lineRule="auto"/>
              <w:rPr>
                <w:rFonts w:hint="default" w:ascii="Times New Roman" w:hAnsi="Times New Roman" w:cs="Times New Roman"/>
              </w:rPr>
            </w:pPr>
          </w:p>
          <w:p>
            <w:pPr>
              <w:pStyle w:val="9"/>
              <w:spacing w:line="257" w:lineRule="auto"/>
              <w:rPr>
                <w:rFonts w:hint="default" w:ascii="Times New Roman" w:hAnsi="Times New Roman" w:cs="Times New Roman"/>
              </w:rPr>
            </w:pPr>
          </w:p>
          <w:p>
            <w:pPr>
              <w:spacing w:before="52" w:line="361" w:lineRule="auto"/>
              <w:ind w:left="118" w:right="198" w:hanging="10"/>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C201项目验收</w:t>
            </w:r>
            <w:r>
              <w:rPr>
                <w:rFonts w:hint="default" w:ascii="Times New Roman" w:hAnsi="Times New Roman" w:eastAsia="仿宋" w:cs="Times New Roman"/>
                <w:spacing w:val="-5"/>
                <w:sz w:val="16"/>
                <w:szCs w:val="16"/>
              </w:rPr>
              <w:t>合格率</w:t>
            </w:r>
          </w:p>
        </w:tc>
        <w:tc>
          <w:tcPr>
            <w:tcW w:w="756" w:type="dxa"/>
            <w:vAlign w:val="top"/>
          </w:tcPr>
          <w:p>
            <w:pPr>
              <w:pStyle w:val="9"/>
              <w:spacing w:line="287" w:lineRule="auto"/>
              <w:rPr>
                <w:rFonts w:hint="default" w:ascii="Times New Roman" w:hAnsi="Times New Roman" w:cs="Times New Roman"/>
              </w:rPr>
            </w:pPr>
          </w:p>
          <w:p>
            <w:pPr>
              <w:pStyle w:val="9"/>
              <w:spacing w:line="288" w:lineRule="auto"/>
              <w:rPr>
                <w:rFonts w:hint="default" w:ascii="Times New Roman" w:hAnsi="Times New Roman" w:cs="Times New Roman"/>
              </w:rPr>
            </w:pPr>
          </w:p>
          <w:p>
            <w:pPr>
              <w:pStyle w:val="9"/>
              <w:spacing w:line="288" w:lineRule="auto"/>
              <w:rPr>
                <w:rFonts w:hint="default" w:ascii="Times New Roman" w:hAnsi="Times New Roman" w:cs="Times New Roman"/>
              </w:rPr>
            </w:pPr>
          </w:p>
          <w:p>
            <w:pPr>
              <w:pStyle w:val="9"/>
              <w:spacing w:line="288" w:lineRule="auto"/>
              <w:rPr>
                <w:rFonts w:hint="default" w:ascii="Times New Roman" w:hAnsi="Times New Roman" w:cs="Times New Roman"/>
              </w:rPr>
            </w:pPr>
          </w:p>
          <w:p>
            <w:pPr>
              <w:pStyle w:val="9"/>
              <w:spacing w:line="288" w:lineRule="auto"/>
              <w:rPr>
                <w:rFonts w:hint="default" w:ascii="Times New Roman" w:hAnsi="Times New Roman" w:cs="Times New Roman"/>
              </w:rPr>
            </w:pPr>
          </w:p>
          <w:p>
            <w:pPr>
              <w:spacing w:before="52" w:line="242" w:lineRule="auto"/>
              <w:ind w:left="274"/>
              <w:rPr>
                <w:rFonts w:hint="default" w:ascii="Times New Roman" w:hAnsi="Times New Roman" w:eastAsia="仿宋" w:cs="Times New Roman"/>
                <w:sz w:val="16"/>
                <w:szCs w:val="16"/>
              </w:rPr>
            </w:pPr>
            <w:r>
              <w:rPr>
                <w:rFonts w:hint="default" w:ascii="Times New Roman" w:hAnsi="Times New Roman" w:eastAsia="仿宋" w:cs="Times New Roman"/>
                <w:sz w:val="16"/>
                <w:szCs w:val="16"/>
              </w:rPr>
              <w:t>7</w:t>
            </w:r>
          </w:p>
        </w:tc>
        <w:tc>
          <w:tcPr>
            <w:tcW w:w="2008" w:type="dxa"/>
            <w:vAlign w:val="top"/>
          </w:tcPr>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7" w:lineRule="auto"/>
              <w:rPr>
                <w:rFonts w:hint="default" w:ascii="Times New Roman" w:hAnsi="Times New Roman" w:cs="Times New Roman"/>
              </w:rPr>
            </w:pPr>
          </w:p>
          <w:p>
            <w:pPr>
              <w:pStyle w:val="9"/>
              <w:spacing w:line="257" w:lineRule="auto"/>
              <w:rPr>
                <w:rFonts w:hint="default" w:ascii="Times New Roman" w:hAnsi="Times New Roman" w:cs="Times New Roman"/>
              </w:rPr>
            </w:pPr>
          </w:p>
          <w:p>
            <w:pPr>
              <w:pStyle w:val="9"/>
              <w:spacing w:line="257" w:lineRule="auto"/>
              <w:rPr>
                <w:rFonts w:hint="default" w:ascii="Times New Roman" w:hAnsi="Times New Roman" w:cs="Times New Roman"/>
              </w:rPr>
            </w:pPr>
          </w:p>
          <w:p>
            <w:pPr>
              <w:spacing w:before="52" w:line="361" w:lineRule="auto"/>
              <w:ind w:left="133" w:right="219" w:hanging="18"/>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考察2025年本项目实施</w:t>
            </w:r>
            <w:r>
              <w:rPr>
                <w:rFonts w:hint="default" w:ascii="Times New Roman" w:hAnsi="Times New Roman" w:eastAsia="仿宋" w:cs="Times New Roman"/>
                <w:spacing w:val="-4"/>
                <w:sz w:val="16"/>
                <w:szCs w:val="16"/>
              </w:rPr>
              <w:t>内容验收是否合格。</w:t>
            </w:r>
          </w:p>
        </w:tc>
        <w:tc>
          <w:tcPr>
            <w:tcW w:w="760" w:type="dxa"/>
            <w:vAlign w:val="top"/>
          </w:tcPr>
          <w:p>
            <w:pPr>
              <w:pStyle w:val="9"/>
              <w:spacing w:line="287" w:lineRule="auto"/>
              <w:rPr>
                <w:rFonts w:hint="default" w:ascii="Times New Roman" w:hAnsi="Times New Roman" w:cs="Times New Roman"/>
              </w:rPr>
            </w:pPr>
          </w:p>
          <w:p>
            <w:pPr>
              <w:pStyle w:val="9"/>
              <w:spacing w:line="287" w:lineRule="auto"/>
              <w:rPr>
                <w:rFonts w:hint="default" w:ascii="Times New Roman" w:hAnsi="Times New Roman" w:cs="Times New Roman"/>
              </w:rPr>
            </w:pPr>
          </w:p>
          <w:p>
            <w:pPr>
              <w:pStyle w:val="9"/>
              <w:spacing w:line="288" w:lineRule="auto"/>
              <w:rPr>
                <w:rFonts w:hint="default" w:ascii="Times New Roman" w:hAnsi="Times New Roman" w:cs="Times New Roman"/>
              </w:rPr>
            </w:pPr>
          </w:p>
          <w:p>
            <w:pPr>
              <w:pStyle w:val="9"/>
              <w:spacing w:line="288" w:lineRule="auto"/>
              <w:rPr>
                <w:rFonts w:hint="default" w:ascii="Times New Roman" w:hAnsi="Times New Roman" w:cs="Times New Roman"/>
              </w:rPr>
            </w:pPr>
          </w:p>
          <w:p>
            <w:pPr>
              <w:pStyle w:val="9"/>
              <w:spacing w:line="288" w:lineRule="auto"/>
              <w:rPr>
                <w:rFonts w:hint="default" w:ascii="Times New Roman" w:hAnsi="Times New Roman" w:cs="Times New Roman"/>
              </w:rPr>
            </w:pPr>
          </w:p>
          <w:p>
            <w:pPr>
              <w:spacing w:before="52"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合格率</w:t>
            </w:r>
          </w:p>
        </w:tc>
        <w:tc>
          <w:tcPr>
            <w:tcW w:w="1011" w:type="dxa"/>
            <w:vAlign w:val="top"/>
          </w:tcPr>
          <w:p>
            <w:pPr>
              <w:pStyle w:val="9"/>
              <w:spacing w:line="287" w:lineRule="auto"/>
              <w:rPr>
                <w:rFonts w:hint="default" w:ascii="Times New Roman" w:hAnsi="Times New Roman" w:cs="Times New Roman"/>
              </w:rPr>
            </w:pPr>
          </w:p>
          <w:p>
            <w:pPr>
              <w:pStyle w:val="9"/>
              <w:spacing w:line="287" w:lineRule="auto"/>
              <w:rPr>
                <w:rFonts w:hint="default" w:ascii="Times New Roman" w:hAnsi="Times New Roman" w:cs="Times New Roman"/>
              </w:rPr>
            </w:pPr>
          </w:p>
          <w:p>
            <w:pPr>
              <w:pStyle w:val="9"/>
              <w:spacing w:line="288" w:lineRule="auto"/>
              <w:rPr>
                <w:rFonts w:hint="default" w:ascii="Times New Roman" w:hAnsi="Times New Roman" w:cs="Times New Roman"/>
              </w:rPr>
            </w:pPr>
          </w:p>
          <w:p>
            <w:pPr>
              <w:pStyle w:val="9"/>
              <w:spacing w:line="288" w:lineRule="auto"/>
              <w:rPr>
                <w:rFonts w:hint="default" w:ascii="Times New Roman" w:hAnsi="Times New Roman" w:cs="Times New Roman"/>
              </w:rPr>
            </w:pPr>
          </w:p>
          <w:p>
            <w:pPr>
              <w:pStyle w:val="9"/>
              <w:spacing w:line="288" w:lineRule="auto"/>
              <w:rPr>
                <w:rFonts w:hint="default" w:ascii="Times New Roman" w:hAnsi="Times New Roman" w:cs="Times New Roman"/>
              </w:rPr>
            </w:pPr>
          </w:p>
          <w:p>
            <w:pPr>
              <w:spacing w:before="52"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计划标准</w:t>
            </w:r>
          </w:p>
        </w:tc>
        <w:tc>
          <w:tcPr>
            <w:tcW w:w="1811" w:type="dxa"/>
            <w:vAlign w:val="top"/>
          </w:tcPr>
          <w:p>
            <w:pPr>
              <w:pStyle w:val="9"/>
              <w:spacing w:line="243" w:lineRule="auto"/>
              <w:rPr>
                <w:rFonts w:hint="default" w:ascii="Times New Roman" w:hAnsi="Times New Roman" w:cs="Times New Roman"/>
              </w:rPr>
            </w:pPr>
          </w:p>
          <w:p>
            <w:pPr>
              <w:pStyle w:val="9"/>
              <w:spacing w:line="243" w:lineRule="auto"/>
              <w:rPr>
                <w:rFonts w:hint="default" w:ascii="Times New Roman" w:hAnsi="Times New Roman" w:cs="Times New Roman"/>
              </w:rPr>
            </w:pPr>
          </w:p>
          <w:p>
            <w:pPr>
              <w:pStyle w:val="9"/>
              <w:spacing w:line="243" w:lineRule="auto"/>
              <w:rPr>
                <w:rFonts w:hint="default" w:ascii="Times New Roman" w:hAnsi="Times New Roman" w:cs="Times New Roman"/>
              </w:rPr>
            </w:pPr>
          </w:p>
          <w:p>
            <w:pPr>
              <w:pStyle w:val="9"/>
              <w:spacing w:line="244" w:lineRule="auto"/>
              <w:rPr>
                <w:rFonts w:hint="default" w:ascii="Times New Roman" w:hAnsi="Times New Roman" w:cs="Times New Roman"/>
              </w:rPr>
            </w:pPr>
          </w:p>
          <w:p>
            <w:pPr>
              <w:spacing w:before="52" w:line="224" w:lineRule="auto"/>
              <w:ind w:left="117"/>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达到目标值得满分，</w:t>
            </w:r>
          </w:p>
          <w:p>
            <w:pPr>
              <w:spacing w:before="118" w:line="365" w:lineRule="auto"/>
              <w:ind w:left="113" w:right="220" w:firstLine="1"/>
              <w:jc w:val="both"/>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低于则每降低1%扣除</w:t>
            </w:r>
            <w:r>
              <w:rPr>
                <w:rFonts w:hint="default" w:ascii="Times New Roman" w:hAnsi="Times New Roman" w:eastAsia="仿宋" w:cs="Times New Roman"/>
                <w:spacing w:val="-1"/>
                <w:sz w:val="16"/>
                <w:szCs w:val="16"/>
              </w:rPr>
              <w:t>5%的权重分，扣完为</w:t>
            </w:r>
            <w:r>
              <w:rPr>
                <w:rFonts w:hint="default" w:ascii="Times New Roman" w:hAnsi="Times New Roman" w:eastAsia="仿宋" w:cs="Times New Roman"/>
                <w:spacing w:val="-4"/>
                <w:sz w:val="16"/>
                <w:szCs w:val="16"/>
              </w:rPr>
              <w:t>止。</w:t>
            </w:r>
          </w:p>
        </w:tc>
        <w:tc>
          <w:tcPr>
            <w:tcW w:w="3959" w:type="dxa"/>
            <w:vAlign w:val="top"/>
          </w:tcPr>
          <w:p>
            <w:pPr>
              <w:spacing w:before="93" w:line="353" w:lineRule="auto"/>
              <w:ind w:left="117" w:right="166"/>
              <w:jc w:val="both"/>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据评价组核实，“市政、园林、环卫一体化”项目，</w:t>
            </w:r>
            <w:r>
              <w:rPr>
                <w:rFonts w:hint="default" w:ascii="Times New Roman" w:hAnsi="Times New Roman" w:eastAsia="仿宋" w:cs="Times New Roman"/>
                <w:spacing w:val="-1"/>
                <w:sz w:val="16"/>
                <w:szCs w:val="16"/>
              </w:rPr>
              <w:t>根据区住建局和哈密北控城市服务有限公司签订的补充协议中，关于运营期绩效考核标准细则，伊州区城市公共事业服务中心每周会不定期或随机对伊州区城乡环卫保洁工作、园林绿化养护工作、市政设施养护工作进行抽查检查，同时每月开展绩效考核，通过伊州区城市公共事业服务中心提供的全年的绩效考核总结报告可知，“市政、园林、环卫一体化”第三方服务采购项目，每月验收工作均达到考核合格标准。综</w:t>
            </w:r>
            <w:r>
              <w:rPr>
                <w:rFonts w:hint="default" w:ascii="Times New Roman" w:hAnsi="Times New Roman" w:eastAsia="仿宋" w:cs="Times New Roman"/>
                <w:spacing w:val="-4"/>
                <w:sz w:val="16"/>
                <w:szCs w:val="16"/>
              </w:rPr>
              <w:t>上，该指标得7分。</w:t>
            </w:r>
          </w:p>
        </w:tc>
        <w:tc>
          <w:tcPr>
            <w:tcW w:w="708" w:type="dxa"/>
            <w:vAlign w:val="top"/>
          </w:tcPr>
          <w:p>
            <w:pPr>
              <w:pStyle w:val="9"/>
              <w:spacing w:line="287" w:lineRule="auto"/>
              <w:rPr>
                <w:rFonts w:hint="default" w:ascii="Times New Roman" w:hAnsi="Times New Roman" w:cs="Times New Roman"/>
              </w:rPr>
            </w:pPr>
          </w:p>
          <w:p>
            <w:pPr>
              <w:pStyle w:val="9"/>
              <w:spacing w:line="288" w:lineRule="auto"/>
              <w:rPr>
                <w:rFonts w:hint="default" w:ascii="Times New Roman" w:hAnsi="Times New Roman" w:cs="Times New Roman"/>
              </w:rPr>
            </w:pPr>
          </w:p>
          <w:p>
            <w:pPr>
              <w:pStyle w:val="9"/>
              <w:spacing w:line="288" w:lineRule="auto"/>
              <w:rPr>
                <w:rFonts w:hint="default" w:ascii="Times New Roman" w:hAnsi="Times New Roman" w:cs="Times New Roman"/>
              </w:rPr>
            </w:pPr>
          </w:p>
          <w:p>
            <w:pPr>
              <w:pStyle w:val="9"/>
              <w:spacing w:line="288" w:lineRule="auto"/>
              <w:rPr>
                <w:rFonts w:hint="default" w:ascii="Times New Roman" w:hAnsi="Times New Roman" w:cs="Times New Roman"/>
              </w:rPr>
            </w:pPr>
          </w:p>
          <w:p>
            <w:pPr>
              <w:pStyle w:val="9"/>
              <w:spacing w:line="288" w:lineRule="auto"/>
              <w:rPr>
                <w:rFonts w:hint="default" w:ascii="Times New Roman" w:hAnsi="Times New Roman" w:cs="Times New Roman"/>
              </w:rPr>
            </w:pPr>
          </w:p>
          <w:p>
            <w:pPr>
              <w:spacing w:before="52" w:line="242" w:lineRule="auto"/>
              <w:ind w:left="277"/>
              <w:rPr>
                <w:rFonts w:hint="default" w:ascii="Times New Roman" w:hAnsi="Times New Roman" w:eastAsia="仿宋" w:cs="Times New Roman"/>
                <w:sz w:val="16"/>
                <w:szCs w:val="16"/>
              </w:rPr>
            </w:pPr>
            <w:r>
              <w:rPr>
                <w:rFonts w:hint="default" w:ascii="Times New Roman" w:hAnsi="Times New Roman" w:eastAsia="仿宋" w:cs="Times New Roman"/>
                <w:sz w:val="16"/>
                <w:szCs w:val="16"/>
              </w:rPr>
              <w:t>7</w:t>
            </w:r>
          </w:p>
        </w:tc>
        <w:tc>
          <w:tcPr>
            <w:tcW w:w="868" w:type="dxa"/>
            <w:vAlign w:val="top"/>
          </w:tcPr>
          <w:p>
            <w:pPr>
              <w:pStyle w:val="9"/>
              <w:spacing w:line="287" w:lineRule="auto"/>
              <w:rPr>
                <w:rFonts w:hint="default" w:ascii="Times New Roman" w:hAnsi="Times New Roman" w:cs="Times New Roman"/>
              </w:rPr>
            </w:pPr>
          </w:p>
          <w:p>
            <w:pPr>
              <w:pStyle w:val="9"/>
              <w:spacing w:line="288" w:lineRule="auto"/>
              <w:rPr>
                <w:rFonts w:hint="default" w:ascii="Times New Roman" w:hAnsi="Times New Roman" w:cs="Times New Roman"/>
              </w:rPr>
            </w:pPr>
          </w:p>
          <w:p>
            <w:pPr>
              <w:pStyle w:val="9"/>
              <w:spacing w:line="288" w:lineRule="auto"/>
              <w:rPr>
                <w:rFonts w:hint="default" w:ascii="Times New Roman" w:hAnsi="Times New Roman" w:cs="Times New Roman"/>
              </w:rPr>
            </w:pPr>
          </w:p>
          <w:p>
            <w:pPr>
              <w:pStyle w:val="9"/>
              <w:spacing w:line="288" w:lineRule="auto"/>
              <w:rPr>
                <w:rFonts w:hint="default" w:ascii="Times New Roman" w:hAnsi="Times New Roman" w:cs="Times New Roman"/>
              </w:rPr>
            </w:pPr>
          </w:p>
          <w:p>
            <w:pPr>
              <w:pStyle w:val="9"/>
              <w:spacing w:line="288" w:lineRule="auto"/>
              <w:rPr>
                <w:rFonts w:hint="default" w:ascii="Times New Roman" w:hAnsi="Times New Roman" w:cs="Times New Roman"/>
              </w:rPr>
            </w:pPr>
          </w:p>
          <w:p>
            <w:pPr>
              <w:spacing w:before="52" w:line="242" w:lineRule="auto"/>
              <w:ind w:left="285"/>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61" w:hRule="atLeast"/>
        </w:trPr>
        <w:tc>
          <w:tcPr>
            <w:tcW w:w="952" w:type="dxa"/>
            <w:vAlign w:val="top"/>
          </w:tcPr>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8" w:lineRule="auto"/>
              <w:rPr>
                <w:rFonts w:hint="default" w:ascii="Times New Roman" w:hAnsi="Times New Roman" w:cs="Times New Roman"/>
              </w:rPr>
            </w:pPr>
          </w:p>
          <w:p>
            <w:pPr>
              <w:spacing w:before="52" w:line="363" w:lineRule="auto"/>
              <w:ind w:left="133" w:right="210" w:hanging="22"/>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C项目产</w:t>
            </w:r>
            <w:r>
              <w:rPr>
                <w:rFonts w:hint="default" w:ascii="Times New Roman" w:hAnsi="Times New Roman" w:eastAsia="仿宋" w:cs="Times New Roman"/>
                <w:spacing w:val="-8"/>
                <w:sz w:val="16"/>
                <w:szCs w:val="16"/>
              </w:rPr>
              <w:t>出（40）</w:t>
            </w:r>
          </w:p>
        </w:tc>
        <w:tc>
          <w:tcPr>
            <w:tcW w:w="1331" w:type="dxa"/>
            <w:vAlign w:val="top"/>
          </w:tcPr>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spacing w:before="52" w:line="368" w:lineRule="auto"/>
              <w:ind w:left="113" w:right="380" w:hanging="6"/>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C3产出时效</w:t>
            </w:r>
            <w:r>
              <w:rPr>
                <w:rFonts w:hint="default" w:ascii="Times New Roman" w:hAnsi="Times New Roman" w:eastAsia="仿宋" w:cs="Times New Roman"/>
                <w:spacing w:val="-4"/>
                <w:sz w:val="16"/>
                <w:szCs w:val="16"/>
              </w:rPr>
              <w:t>（6）</w:t>
            </w:r>
          </w:p>
        </w:tc>
        <w:tc>
          <w:tcPr>
            <w:tcW w:w="1308" w:type="dxa"/>
            <w:vAlign w:val="top"/>
          </w:tcPr>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8" w:lineRule="auto"/>
              <w:rPr>
                <w:rFonts w:hint="default" w:ascii="Times New Roman" w:hAnsi="Times New Roman" w:cs="Times New Roman"/>
              </w:rPr>
            </w:pPr>
          </w:p>
          <w:p>
            <w:pPr>
              <w:spacing w:before="52" w:line="361" w:lineRule="auto"/>
              <w:ind w:left="114" w:right="198" w:hanging="6"/>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C301项目资金支付及时率</w:t>
            </w:r>
          </w:p>
        </w:tc>
        <w:tc>
          <w:tcPr>
            <w:tcW w:w="756" w:type="dxa"/>
            <w:vAlign w:val="top"/>
          </w:tcPr>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70" w:lineRule="auto"/>
              <w:rPr>
                <w:rFonts w:hint="default" w:ascii="Times New Roman" w:hAnsi="Times New Roman" w:cs="Times New Roman"/>
              </w:rPr>
            </w:pPr>
          </w:p>
          <w:p>
            <w:pPr>
              <w:pStyle w:val="9"/>
              <w:spacing w:line="270" w:lineRule="auto"/>
              <w:rPr>
                <w:rFonts w:hint="default" w:ascii="Times New Roman" w:hAnsi="Times New Roman" w:cs="Times New Roman"/>
              </w:rPr>
            </w:pPr>
          </w:p>
          <w:p>
            <w:pPr>
              <w:spacing w:before="52" w:line="242" w:lineRule="auto"/>
              <w:ind w:left="271"/>
              <w:rPr>
                <w:rFonts w:hint="default" w:ascii="Times New Roman" w:hAnsi="Times New Roman" w:eastAsia="仿宋" w:cs="Times New Roman"/>
                <w:sz w:val="16"/>
                <w:szCs w:val="16"/>
              </w:rPr>
            </w:pPr>
            <w:r>
              <w:rPr>
                <w:rFonts w:hint="default" w:ascii="Times New Roman" w:hAnsi="Times New Roman" w:eastAsia="仿宋" w:cs="Times New Roman"/>
                <w:sz w:val="16"/>
                <w:szCs w:val="16"/>
              </w:rPr>
              <w:t>6</w:t>
            </w:r>
          </w:p>
        </w:tc>
        <w:tc>
          <w:tcPr>
            <w:tcW w:w="2008" w:type="dxa"/>
            <w:vAlign w:val="top"/>
          </w:tcPr>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pStyle w:val="9"/>
              <w:spacing w:line="247" w:lineRule="auto"/>
              <w:rPr>
                <w:rFonts w:hint="default" w:ascii="Times New Roman" w:hAnsi="Times New Roman" w:cs="Times New Roman"/>
              </w:rPr>
            </w:pPr>
          </w:p>
          <w:p>
            <w:pPr>
              <w:spacing w:before="52" w:line="361" w:lineRule="auto"/>
              <w:ind w:left="114" w:right="219"/>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考察2025年本项目实资</w:t>
            </w:r>
            <w:r>
              <w:rPr>
                <w:rFonts w:hint="default" w:ascii="Times New Roman" w:hAnsi="Times New Roman" w:eastAsia="仿宋" w:cs="Times New Roman"/>
                <w:spacing w:val="-2"/>
                <w:sz w:val="16"/>
                <w:szCs w:val="16"/>
              </w:rPr>
              <w:t>金支付及时情况。</w:t>
            </w:r>
          </w:p>
        </w:tc>
        <w:tc>
          <w:tcPr>
            <w:tcW w:w="760" w:type="dxa"/>
            <w:vAlign w:val="top"/>
          </w:tcPr>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70" w:lineRule="auto"/>
              <w:rPr>
                <w:rFonts w:hint="default" w:ascii="Times New Roman" w:hAnsi="Times New Roman" w:cs="Times New Roman"/>
              </w:rPr>
            </w:pPr>
          </w:p>
          <w:p>
            <w:pPr>
              <w:pStyle w:val="9"/>
              <w:spacing w:line="270" w:lineRule="auto"/>
              <w:rPr>
                <w:rFonts w:hint="default" w:ascii="Times New Roman" w:hAnsi="Times New Roman" w:cs="Times New Roman"/>
              </w:rPr>
            </w:pPr>
          </w:p>
          <w:p>
            <w:pPr>
              <w:spacing w:before="52" w:line="224" w:lineRule="auto"/>
              <w:ind w:left="117"/>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及时率</w:t>
            </w:r>
          </w:p>
        </w:tc>
        <w:tc>
          <w:tcPr>
            <w:tcW w:w="1011" w:type="dxa"/>
            <w:vAlign w:val="top"/>
          </w:tcPr>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70" w:lineRule="auto"/>
              <w:rPr>
                <w:rFonts w:hint="default" w:ascii="Times New Roman" w:hAnsi="Times New Roman" w:cs="Times New Roman"/>
              </w:rPr>
            </w:pPr>
          </w:p>
          <w:p>
            <w:pPr>
              <w:spacing w:before="52"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计划标准</w:t>
            </w:r>
          </w:p>
        </w:tc>
        <w:tc>
          <w:tcPr>
            <w:tcW w:w="1811" w:type="dxa"/>
            <w:vAlign w:val="top"/>
          </w:tcPr>
          <w:p>
            <w:pPr>
              <w:pStyle w:val="9"/>
              <w:spacing w:line="283"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spacing w:before="52" w:line="224" w:lineRule="auto"/>
              <w:ind w:left="117"/>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达到目标值得满分，</w:t>
            </w:r>
          </w:p>
          <w:p>
            <w:pPr>
              <w:spacing w:before="118" w:line="365" w:lineRule="auto"/>
              <w:ind w:left="113" w:right="220" w:firstLine="1"/>
              <w:jc w:val="both"/>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低于则每降低1%扣除</w:t>
            </w:r>
            <w:r>
              <w:rPr>
                <w:rFonts w:hint="default" w:ascii="Times New Roman" w:hAnsi="Times New Roman" w:eastAsia="仿宋" w:cs="Times New Roman"/>
                <w:spacing w:val="-1"/>
                <w:sz w:val="16"/>
                <w:szCs w:val="16"/>
              </w:rPr>
              <w:t>5%的权重分，扣完为</w:t>
            </w:r>
            <w:r>
              <w:rPr>
                <w:rFonts w:hint="default" w:ascii="Times New Roman" w:hAnsi="Times New Roman" w:eastAsia="仿宋" w:cs="Times New Roman"/>
                <w:spacing w:val="-4"/>
                <w:sz w:val="16"/>
                <w:szCs w:val="16"/>
              </w:rPr>
              <w:t>止。</w:t>
            </w:r>
          </w:p>
        </w:tc>
        <w:tc>
          <w:tcPr>
            <w:tcW w:w="3959" w:type="dxa"/>
            <w:vAlign w:val="top"/>
          </w:tcPr>
          <w:p>
            <w:pPr>
              <w:spacing w:before="76"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经评价组核实，“市政、园林、环卫一体化”项目，</w:t>
            </w:r>
          </w:p>
          <w:p>
            <w:pPr>
              <w:spacing w:before="119" w:line="352" w:lineRule="auto"/>
              <w:ind w:left="113" w:right="125" w:firstLine="8"/>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每月伊州区城市公共事业服务中心会将考核报告上报给区住建局，区住建局会将预算金额按照合约支付给哈密市北控北控城市服务有限公司，费用包含两个主要部分，一部分是公司聘用人员工资，另一部分费用</w:t>
            </w:r>
            <w:r>
              <w:rPr>
                <w:rFonts w:hint="default" w:ascii="Times New Roman" w:hAnsi="Times New Roman" w:eastAsia="仿宋" w:cs="Times New Roman"/>
                <w:spacing w:val="-3"/>
                <w:sz w:val="16"/>
                <w:szCs w:val="16"/>
              </w:rPr>
              <w:t>是公司运营服务费，项目截止到2025年12月，12月</w:t>
            </w:r>
            <w:r>
              <w:rPr>
                <w:rFonts w:hint="default" w:ascii="Times New Roman" w:hAnsi="Times New Roman" w:eastAsia="仿宋" w:cs="Times New Roman"/>
                <w:spacing w:val="-1"/>
                <w:sz w:val="16"/>
                <w:szCs w:val="16"/>
              </w:rPr>
              <w:t>当月费用支付了人员工资部分，剩余公司运营部分未</w:t>
            </w:r>
            <w:r>
              <w:rPr>
                <w:rFonts w:hint="default" w:ascii="Times New Roman" w:hAnsi="Times New Roman" w:eastAsia="仿宋" w:cs="Times New Roman"/>
                <w:spacing w:val="-2"/>
                <w:sz w:val="16"/>
                <w:szCs w:val="16"/>
              </w:rPr>
              <w:t>支付。目前项目正在审计中，同时核算项目运营期间</w:t>
            </w:r>
            <w:r>
              <w:rPr>
                <w:rFonts w:hint="default" w:ascii="Times New Roman" w:hAnsi="Times New Roman" w:eastAsia="仿宋" w:cs="Times New Roman"/>
                <w:spacing w:val="-1"/>
                <w:sz w:val="16"/>
                <w:szCs w:val="16"/>
              </w:rPr>
              <w:t>增加工作内容和减少工作内容的支出明细，例如垃圾</w:t>
            </w:r>
            <w:r>
              <w:rPr>
                <w:rFonts w:hint="default" w:ascii="Times New Roman" w:hAnsi="Times New Roman" w:eastAsia="仿宋" w:cs="Times New Roman"/>
                <w:spacing w:val="1"/>
                <w:sz w:val="16"/>
                <w:szCs w:val="16"/>
              </w:rPr>
              <w:t>清运站，年初合同约定为4座，截止年底，实际</w:t>
            </w:r>
            <w:r>
              <w:rPr>
                <w:rFonts w:hint="default" w:ascii="Times New Roman" w:hAnsi="Times New Roman" w:eastAsia="仿宋" w:cs="Times New Roman"/>
                <w:sz w:val="16"/>
                <w:szCs w:val="16"/>
              </w:rPr>
              <w:t>运营</w:t>
            </w:r>
            <w:r>
              <w:rPr>
                <w:rFonts w:hint="default" w:ascii="Times New Roman" w:hAnsi="Times New Roman" w:eastAsia="仿宋" w:cs="Times New Roman"/>
                <w:spacing w:val="-1"/>
                <w:sz w:val="16"/>
                <w:szCs w:val="16"/>
              </w:rPr>
              <w:t>2座，根据合同，该部分资金需要扣减。项目截</w:t>
            </w:r>
            <w:r>
              <w:rPr>
                <w:rFonts w:hint="default" w:ascii="Times New Roman" w:hAnsi="Times New Roman" w:eastAsia="仿宋" w:cs="Times New Roman"/>
                <w:spacing w:val="-1"/>
                <w:sz w:val="16"/>
                <w:szCs w:val="16"/>
                <w:lang w:val="en-US" w:eastAsia="zh-CN"/>
              </w:rPr>
              <w:t>至</w:t>
            </w:r>
            <w:r>
              <w:rPr>
                <w:rFonts w:hint="default" w:ascii="Times New Roman" w:hAnsi="Times New Roman" w:eastAsia="仿宋" w:cs="Times New Roman"/>
                <w:spacing w:val="-1"/>
                <w:sz w:val="16"/>
                <w:szCs w:val="16"/>
              </w:rPr>
              <w:t>目</w:t>
            </w:r>
            <w:r>
              <w:rPr>
                <w:rFonts w:hint="default" w:ascii="Times New Roman" w:hAnsi="Times New Roman" w:eastAsia="仿宋" w:cs="Times New Roman"/>
                <w:spacing w:val="-3"/>
                <w:sz w:val="16"/>
                <w:szCs w:val="16"/>
              </w:rPr>
              <w:t>前，“市政、园林、环卫一体化”项目未支出12月</w:t>
            </w:r>
            <w:r>
              <w:rPr>
                <w:rFonts w:hint="default" w:ascii="Times New Roman" w:hAnsi="Times New Roman" w:eastAsia="仿宋" w:cs="Times New Roman"/>
                <w:spacing w:val="-1"/>
                <w:sz w:val="16"/>
                <w:szCs w:val="16"/>
              </w:rPr>
              <w:t>公司运营部分资金，待项目审计结束，支付剩余资</w:t>
            </w:r>
          </w:p>
        </w:tc>
        <w:tc>
          <w:tcPr>
            <w:tcW w:w="708" w:type="dxa"/>
            <w:vAlign w:val="top"/>
          </w:tcPr>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70" w:lineRule="auto"/>
              <w:rPr>
                <w:rFonts w:hint="default" w:ascii="Times New Roman" w:hAnsi="Times New Roman" w:cs="Times New Roman"/>
              </w:rPr>
            </w:pPr>
          </w:p>
          <w:p>
            <w:pPr>
              <w:pStyle w:val="9"/>
              <w:spacing w:line="270" w:lineRule="auto"/>
              <w:rPr>
                <w:rFonts w:hint="default" w:ascii="Times New Roman" w:hAnsi="Times New Roman" w:cs="Times New Roman"/>
              </w:rPr>
            </w:pPr>
          </w:p>
          <w:p>
            <w:pPr>
              <w:spacing w:before="52" w:line="242" w:lineRule="auto"/>
              <w:ind w:left="276"/>
              <w:rPr>
                <w:rFonts w:hint="default" w:ascii="Times New Roman" w:hAnsi="Times New Roman" w:eastAsia="仿宋" w:cs="Times New Roman"/>
                <w:sz w:val="16"/>
                <w:szCs w:val="16"/>
              </w:rPr>
            </w:pPr>
            <w:r>
              <w:rPr>
                <w:rFonts w:hint="default" w:ascii="Times New Roman" w:hAnsi="Times New Roman" w:eastAsia="仿宋" w:cs="Times New Roman"/>
                <w:sz w:val="16"/>
                <w:szCs w:val="16"/>
              </w:rPr>
              <w:t>5</w:t>
            </w:r>
          </w:p>
        </w:tc>
        <w:tc>
          <w:tcPr>
            <w:tcW w:w="868" w:type="dxa"/>
            <w:vAlign w:val="top"/>
          </w:tcPr>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69" w:lineRule="auto"/>
              <w:rPr>
                <w:rFonts w:hint="default" w:ascii="Times New Roman" w:hAnsi="Times New Roman" w:cs="Times New Roman"/>
              </w:rPr>
            </w:pPr>
          </w:p>
          <w:p>
            <w:pPr>
              <w:pStyle w:val="9"/>
              <w:spacing w:line="270" w:lineRule="auto"/>
              <w:rPr>
                <w:rFonts w:hint="default" w:ascii="Times New Roman" w:hAnsi="Times New Roman" w:cs="Times New Roman"/>
              </w:rPr>
            </w:pPr>
          </w:p>
          <w:p>
            <w:pPr>
              <w:spacing w:before="52" w:line="242" w:lineRule="auto"/>
              <w:ind w:left="113"/>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83.33%</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14" w:type="default"/>
          <w:pgSz w:w="16839" w:h="11906"/>
          <w:pgMar w:top="1012" w:right="692" w:bottom="1256" w:left="668" w:header="0" w:footer="1003" w:gutter="0"/>
          <w:cols w:space="720" w:num="1"/>
        </w:sectPr>
      </w:pPr>
    </w:p>
    <w:p>
      <w:pPr>
        <w:spacing w:line="307" w:lineRule="auto"/>
        <w:rPr>
          <w:rFonts w:hint="default" w:ascii="Times New Roman" w:hAnsi="Times New Roman" w:cs="Times New Roman"/>
          <w:sz w:val="21"/>
        </w:rPr>
      </w:pPr>
    </w:p>
    <w:p>
      <w:pPr>
        <w:spacing w:before="78" w:line="222" w:lineRule="auto"/>
        <w:ind w:left="137" w:firstLine="466" w:firstLineChars="200"/>
        <w:rPr>
          <w:rFonts w:hint="default" w:ascii="Times New Roman" w:hAnsi="Times New Roman" w:eastAsia="仿宋" w:cs="Times New Roman"/>
          <w:sz w:val="24"/>
          <w:szCs w:val="24"/>
        </w:rPr>
      </w:pPr>
      <w:r>
        <w:rPr>
          <w:rFonts w:hint="default" w:ascii="Times New Roman" w:hAnsi="Times New Roman" w:eastAsia="仿宋" w:cs="Times New Roman"/>
          <w:b/>
          <w:bCs/>
          <w:spacing w:val="-4"/>
          <w:sz w:val="24"/>
          <w:szCs w:val="24"/>
        </w:rPr>
        <w:t>附件1：“市政、园林、环卫一体化”第三方服务采购项目绩效评价指标体系评</w:t>
      </w:r>
      <w:r>
        <w:rPr>
          <w:rFonts w:hint="default" w:ascii="Times New Roman" w:hAnsi="Times New Roman" w:eastAsia="仿宋" w:cs="Times New Roman"/>
          <w:b/>
          <w:bCs/>
          <w:spacing w:val="-5"/>
          <w:sz w:val="24"/>
          <w:szCs w:val="24"/>
        </w:rPr>
        <w:t>分表</w:t>
      </w:r>
    </w:p>
    <w:p>
      <w:pPr>
        <w:spacing w:line="160" w:lineRule="exact"/>
        <w:rPr>
          <w:rFonts w:hint="default" w:ascii="Times New Roman" w:hAnsi="Times New Roman" w:cs="Times New Roman"/>
        </w:rPr>
      </w:pPr>
    </w:p>
    <w:tbl>
      <w:tblPr>
        <w:tblStyle w:val="8"/>
        <w:tblW w:w="154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331"/>
        <w:gridCol w:w="1308"/>
        <w:gridCol w:w="756"/>
        <w:gridCol w:w="2008"/>
        <w:gridCol w:w="760"/>
        <w:gridCol w:w="1011"/>
        <w:gridCol w:w="1811"/>
        <w:gridCol w:w="3959"/>
        <w:gridCol w:w="708"/>
        <w:gridCol w:w="86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9" w:hRule="atLeast"/>
        </w:trPr>
        <w:tc>
          <w:tcPr>
            <w:tcW w:w="952" w:type="dxa"/>
            <w:vAlign w:val="top"/>
          </w:tcPr>
          <w:p>
            <w:pPr>
              <w:spacing w:before="96" w:line="222" w:lineRule="auto"/>
              <w:ind w:left="12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一级指标</w:t>
            </w:r>
          </w:p>
        </w:tc>
        <w:tc>
          <w:tcPr>
            <w:tcW w:w="1331" w:type="dxa"/>
            <w:vAlign w:val="top"/>
          </w:tcPr>
          <w:p>
            <w:pPr>
              <w:spacing w:before="96"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二级指标</w:t>
            </w:r>
          </w:p>
        </w:tc>
        <w:tc>
          <w:tcPr>
            <w:tcW w:w="1308" w:type="dxa"/>
            <w:vAlign w:val="top"/>
          </w:tcPr>
          <w:p>
            <w:pPr>
              <w:spacing w:before="96"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三级指标</w:t>
            </w:r>
          </w:p>
        </w:tc>
        <w:tc>
          <w:tcPr>
            <w:tcW w:w="756" w:type="dxa"/>
            <w:vAlign w:val="top"/>
          </w:tcPr>
          <w:p>
            <w:pPr>
              <w:spacing w:before="96" w:line="222" w:lineRule="auto"/>
              <w:ind w:left="203"/>
              <w:rPr>
                <w:rFonts w:hint="default" w:ascii="Times New Roman" w:hAnsi="Times New Roman" w:eastAsia="仿宋" w:cs="Times New Roman"/>
                <w:sz w:val="18"/>
                <w:szCs w:val="18"/>
              </w:rPr>
            </w:pPr>
            <w:r>
              <w:rPr>
                <w:rFonts w:hint="default" w:ascii="Times New Roman" w:hAnsi="Times New Roman" w:eastAsia="仿宋" w:cs="Times New Roman"/>
                <w:b/>
                <w:bCs/>
                <w:spacing w:val="-8"/>
                <w:sz w:val="18"/>
                <w:szCs w:val="18"/>
              </w:rPr>
              <w:t>权重</w:t>
            </w:r>
          </w:p>
        </w:tc>
        <w:tc>
          <w:tcPr>
            <w:tcW w:w="2008" w:type="dxa"/>
            <w:vAlign w:val="top"/>
          </w:tcPr>
          <w:p>
            <w:pPr>
              <w:spacing w:before="96" w:line="222" w:lineRule="auto"/>
              <w:ind w:left="478"/>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指标解释</w:t>
            </w:r>
          </w:p>
        </w:tc>
        <w:tc>
          <w:tcPr>
            <w:tcW w:w="760" w:type="dxa"/>
            <w:vAlign w:val="top"/>
          </w:tcPr>
          <w:p>
            <w:pPr>
              <w:spacing w:before="96" w:line="222" w:lineRule="auto"/>
              <w:ind w:left="115"/>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标杆值</w:t>
            </w:r>
          </w:p>
        </w:tc>
        <w:tc>
          <w:tcPr>
            <w:tcW w:w="1011" w:type="dxa"/>
            <w:vAlign w:val="top"/>
          </w:tcPr>
          <w:p>
            <w:pPr>
              <w:spacing w:before="96" w:line="222"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评分依据</w:t>
            </w:r>
          </w:p>
        </w:tc>
        <w:tc>
          <w:tcPr>
            <w:tcW w:w="1811" w:type="dxa"/>
            <w:vAlign w:val="top"/>
          </w:tcPr>
          <w:p>
            <w:pPr>
              <w:spacing w:before="96" w:line="222" w:lineRule="auto"/>
              <w:ind w:left="479"/>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评价标准</w:t>
            </w:r>
          </w:p>
        </w:tc>
        <w:tc>
          <w:tcPr>
            <w:tcW w:w="3959" w:type="dxa"/>
            <w:vAlign w:val="top"/>
          </w:tcPr>
          <w:p>
            <w:pPr>
              <w:spacing w:before="96" w:line="222" w:lineRule="auto"/>
              <w:ind w:left="1383"/>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评分过程</w:t>
            </w:r>
          </w:p>
        </w:tc>
        <w:tc>
          <w:tcPr>
            <w:tcW w:w="708" w:type="dxa"/>
            <w:vAlign w:val="top"/>
          </w:tcPr>
          <w:p>
            <w:pPr>
              <w:spacing w:before="96"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得分</w:t>
            </w:r>
          </w:p>
        </w:tc>
        <w:tc>
          <w:tcPr>
            <w:tcW w:w="868" w:type="dxa"/>
            <w:vAlign w:val="top"/>
          </w:tcPr>
          <w:p>
            <w:pPr>
              <w:spacing w:before="96"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22" w:hRule="atLeast"/>
        </w:trPr>
        <w:tc>
          <w:tcPr>
            <w:tcW w:w="952" w:type="dxa"/>
            <w:vAlign w:val="top"/>
          </w:tcPr>
          <w:p>
            <w:pPr>
              <w:pStyle w:val="9"/>
              <w:rPr>
                <w:rFonts w:hint="default" w:ascii="Times New Roman" w:hAnsi="Times New Roman" w:cs="Times New Roman"/>
              </w:rPr>
            </w:pPr>
          </w:p>
        </w:tc>
        <w:tc>
          <w:tcPr>
            <w:tcW w:w="1331" w:type="dxa"/>
            <w:vAlign w:val="top"/>
          </w:tcPr>
          <w:p>
            <w:pPr>
              <w:pStyle w:val="9"/>
              <w:rPr>
                <w:rFonts w:hint="default" w:ascii="Times New Roman" w:hAnsi="Times New Roman" w:cs="Times New Roman"/>
              </w:rPr>
            </w:pPr>
          </w:p>
        </w:tc>
        <w:tc>
          <w:tcPr>
            <w:tcW w:w="1308" w:type="dxa"/>
            <w:vAlign w:val="top"/>
          </w:tcPr>
          <w:p>
            <w:pPr>
              <w:pStyle w:val="9"/>
              <w:rPr>
                <w:rFonts w:hint="default" w:ascii="Times New Roman" w:hAnsi="Times New Roman" w:cs="Times New Roman"/>
              </w:rPr>
            </w:pPr>
          </w:p>
        </w:tc>
        <w:tc>
          <w:tcPr>
            <w:tcW w:w="756" w:type="dxa"/>
            <w:vAlign w:val="top"/>
          </w:tcPr>
          <w:p>
            <w:pPr>
              <w:pStyle w:val="9"/>
              <w:rPr>
                <w:rFonts w:hint="default" w:ascii="Times New Roman" w:hAnsi="Times New Roman" w:cs="Times New Roman"/>
              </w:rPr>
            </w:pPr>
          </w:p>
        </w:tc>
        <w:tc>
          <w:tcPr>
            <w:tcW w:w="2008" w:type="dxa"/>
            <w:vAlign w:val="top"/>
          </w:tcPr>
          <w:p>
            <w:pPr>
              <w:pStyle w:val="9"/>
              <w:rPr>
                <w:rFonts w:hint="default" w:ascii="Times New Roman" w:hAnsi="Times New Roman" w:cs="Times New Roman"/>
              </w:rPr>
            </w:pPr>
          </w:p>
        </w:tc>
        <w:tc>
          <w:tcPr>
            <w:tcW w:w="760" w:type="dxa"/>
            <w:vAlign w:val="top"/>
          </w:tcPr>
          <w:p>
            <w:pPr>
              <w:pStyle w:val="9"/>
              <w:rPr>
                <w:rFonts w:hint="default" w:ascii="Times New Roman" w:hAnsi="Times New Roman" w:cs="Times New Roman"/>
              </w:rPr>
            </w:pPr>
          </w:p>
        </w:tc>
        <w:tc>
          <w:tcPr>
            <w:tcW w:w="1011" w:type="dxa"/>
            <w:vAlign w:val="top"/>
          </w:tcPr>
          <w:p>
            <w:pPr>
              <w:pStyle w:val="9"/>
              <w:rPr>
                <w:rFonts w:hint="default" w:ascii="Times New Roman" w:hAnsi="Times New Roman" w:cs="Times New Roman"/>
              </w:rPr>
            </w:pPr>
          </w:p>
        </w:tc>
        <w:tc>
          <w:tcPr>
            <w:tcW w:w="1811" w:type="dxa"/>
            <w:vAlign w:val="top"/>
          </w:tcPr>
          <w:p>
            <w:pPr>
              <w:pStyle w:val="9"/>
              <w:rPr>
                <w:rFonts w:hint="default" w:ascii="Times New Roman" w:hAnsi="Times New Roman" w:cs="Times New Roman"/>
              </w:rPr>
            </w:pPr>
          </w:p>
        </w:tc>
        <w:tc>
          <w:tcPr>
            <w:tcW w:w="3959" w:type="dxa"/>
            <w:vAlign w:val="top"/>
          </w:tcPr>
          <w:p>
            <w:pPr>
              <w:spacing w:before="76" w:line="361" w:lineRule="auto"/>
              <w:ind w:left="116" w:right="166"/>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金，目前项目存在资金支付不及时的情况。综上，该</w:t>
            </w:r>
            <w:r>
              <w:rPr>
                <w:rFonts w:hint="default" w:ascii="Times New Roman" w:hAnsi="Times New Roman" w:eastAsia="仿宋" w:cs="Times New Roman"/>
                <w:spacing w:val="-6"/>
                <w:sz w:val="16"/>
                <w:szCs w:val="16"/>
              </w:rPr>
              <w:t>指标得扣1分，得5分。</w:t>
            </w:r>
          </w:p>
        </w:tc>
        <w:tc>
          <w:tcPr>
            <w:tcW w:w="708" w:type="dxa"/>
            <w:vAlign w:val="top"/>
          </w:tcPr>
          <w:p>
            <w:pPr>
              <w:pStyle w:val="9"/>
              <w:rPr>
                <w:rFonts w:hint="default" w:ascii="Times New Roman" w:hAnsi="Times New Roman" w:cs="Times New Roman"/>
              </w:rPr>
            </w:pPr>
          </w:p>
        </w:tc>
        <w:tc>
          <w:tcPr>
            <w:tcW w:w="868" w:type="dxa"/>
            <w:vAlign w:val="top"/>
          </w:tcPr>
          <w:p>
            <w:pPr>
              <w:pStyle w:val="9"/>
              <w:rPr>
                <w:rFonts w:hint="default" w:ascii="Times New Roman" w:hAnsi="Times New Roman" w:cs="Times New Roma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83" w:hRule="atLeast"/>
        </w:trPr>
        <w:tc>
          <w:tcPr>
            <w:tcW w:w="952" w:type="dxa"/>
            <w:vAlign w:val="top"/>
          </w:tcPr>
          <w:p>
            <w:pPr>
              <w:pStyle w:val="9"/>
              <w:spacing w:line="349" w:lineRule="auto"/>
              <w:rPr>
                <w:rFonts w:hint="default" w:ascii="Times New Roman" w:hAnsi="Times New Roman" w:cs="Times New Roman"/>
              </w:rPr>
            </w:pPr>
          </w:p>
          <w:p>
            <w:pPr>
              <w:pStyle w:val="9"/>
              <w:spacing w:line="350" w:lineRule="auto"/>
              <w:rPr>
                <w:rFonts w:hint="default" w:ascii="Times New Roman" w:hAnsi="Times New Roman" w:cs="Times New Roman"/>
              </w:rPr>
            </w:pPr>
          </w:p>
          <w:p>
            <w:pPr>
              <w:spacing w:before="52" w:line="363" w:lineRule="auto"/>
              <w:ind w:left="133" w:right="210" w:hanging="22"/>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C项目产</w:t>
            </w:r>
            <w:r>
              <w:rPr>
                <w:rFonts w:hint="default" w:ascii="Times New Roman" w:hAnsi="Times New Roman" w:eastAsia="仿宋" w:cs="Times New Roman"/>
                <w:spacing w:val="-8"/>
                <w:sz w:val="16"/>
                <w:szCs w:val="16"/>
              </w:rPr>
              <w:t>出（40）</w:t>
            </w:r>
          </w:p>
        </w:tc>
        <w:tc>
          <w:tcPr>
            <w:tcW w:w="1331" w:type="dxa"/>
            <w:vAlign w:val="top"/>
          </w:tcPr>
          <w:p>
            <w:pPr>
              <w:pStyle w:val="9"/>
              <w:spacing w:line="349" w:lineRule="auto"/>
              <w:rPr>
                <w:rFonts w:hint="default" w:ascii="Times New Roman" w:hAnsi="Times New Roman" w:cs="Times New Roman"/>
              </w:rPr>
            </w:pPr>
          </w:p>
          <w:p>
            <w:pPr>
              <w:pStyle w:val="9"/>
              <w:spacing w:line="349" w:lineRule="auto"/>
              <w:rPr>
                <w:rFonts w:hint="default" w:ascii="Times New Roman" w:hAnsi="Times New Roman" w:cs="Times New Roman"/>
              </w:rPr>
            </w:pPr>
          </w:p>
          <w:p>
            <w:pPr>
              <w:spacing w:before="52" w:line="368" w:lineRule="auto"/>
              <w:ind w:left="113" w:right="380" w:hanging="6"/>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C4产出成本</w:t>
            </w:r>
            <w:r>
              <w:rPr>
                <w:rFonts w:hint="default" w:ascii="Times New Roman" w:hAnsi="Times New Roman" w:eastAsia="仿宋" w:cs="Times New Roman"/>
                <w:spacing w:val="-4"/>
                <w:sz w:val="16"/>
                <w:szCs w:val="16"/>
              </w:rPr>
              <w:t>（5）</w:t>
            </w:r>
          </w:p>
        </w:tc>
        <w:tc>
          <w:tcPr>
            <w:tcW w:w="1308" w:type="dxa"/>
            <w:vAlign w:val="top"/>
          </w:tcPr>
          <w:p>
            <w:pPr>
              <w:pStyle w:val="9"/>
              <w:spacing w:line="349" w:lineRule="auto"/>
              <w:rPr>
                <w:rFonts w:hint="default" w:ascii="Times New Roman" w:hAnsi="Times New Roman" w:cs="Times New Roman"/>
              </w:rPr>
            </w:pPr>
          </w:p>
          <w:p>
            <w:pPr>
              <w:pStyle w:val="9"/>
              <w:spacing w:line="349" w:lineRule="auto"/>
              <w:rPr>
                <w:rFonts w:hint="default" w:ascii="Times New Roman" w:hAnsi="Times New Roman" w:cs="Times New Roman"/>
              </w:rPr>
            </w:pPr>
          </w:p>
          <w:p>
            <w:pPr>
              <w:spacing w:before="52" w:line="362" w:lineRule="auto"/>
              <w:ind w:left="119" w:right="198" w:hanging="11"/>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C401项目实施</w:t>
            </w:r>
            <w:r>
              <w:rPr>
                <w:rFonts w:hint="default" w:ascii="Times New Roman" w:hAnsi="Times New Roman" w:eastAsia="仿宋" w:cs="Times New Roman"/>
                <w:spacing w:val="-7"/>
                <w:sz w:val="16"/>
                <w:szCs w:val="16"/>
              </w:rPr>
              <w:t>费用</w:t>
            </w:r>
          </w:p>
        </w:tc>
        <w:tc>
          <w:tcPr>
            <w:tcW w:w="756" w:type="dxa"/>
            <w:vAlign w:val="top"/>
          </w:tcPr>
          <w:p>
            <w:pPr>
              <w:pStyle w:val="9"/>
              <w:spacing w:line="284"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spacing w:before="52" w:line="242" w:lineRule="auto"/>
              <w:ind w:left="273"/>
              <w:rPr>
                <w:rFonts w:hint="default" w:ascii="Times New Roman" w:hAnsi="Times New Roman" w:eastAsia="仿宋" w:cs="Times New Roman"/>
                <w:sz w:val="16"/>
                <w:szCs w:val="16"/>
              </w:rPr>
            </w:pPr>
            <w:r>
              <w:rPr>
                <w:rFonts w:hint="default" w:ascii="Times New Roman" w:hAnsi="Times New Roman" w:eastAsia="仿宋" w:cs="Times New Roman"/>
                <w:sz w:val="16"/>
                <w:szCs w:val="16"/>
              </w:rPr>
              <w:t>5</w:t>
            </w:r>
          </w:p>
        </w:tc>
        <w:tc>
          <w:tcPr>
            <w:tcW w:w="2008" w:type="dxa"/>
            <w:vAlign w:val="top"/>
          </w:tcPr>
          <w:p>
            <w:pPr>
              <w:pStyle w:val="9"/>
              <w:spacing w:line="349" w:lineRule="auto"/>
              <w:rPr>
                <w:rFonts w:hint="default" w:ascii="Times New Roman" w:hAnsi="Times New Roman" w:cs="Times New Roman"/>
              </w:rPr>
            </w:pPr>
          </w:p>
          <w:p>
            <w:pPr>
              <w:pStyle w:val="9"/>
              <w:spacing w:line="349" w:lineRule="auto"/>
              <w:rPr>
                <w:rFonts w:hint="default" w:ascii="Times New Roman" w:hAnsi="Times New Roman" w:cs="Times New Roman"/>
              </w:rPr>
            </w:pPr>
          </w:p>
          <w:p>
            <w:pPr>
              <w:spacing w:before="52" w:line="361" w:lineRule="auto"/>
              <w:ind w:left="116" w:right="219" w:hanging="1"/>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考察2025年本项目支出</w:t>
            </w:r>
            <w:r>
              <w:rPr>
                <w:rFonts w:hint="default" w:ascii="Times New Roman" w:hAnsi="Times New Roman" w:eastAsia="仿宋" w:cs="Times New Roman"/>
                <w:spacing w:val="-2"/>
                <w:sz w:val="16"/>
                <w:szCs w:val="16"/>
              </w:rPr>
              <w:t>成本是否有效控制。</w:t>
            </w:r>
          </w:p>
        </w:tc>
        <w:tc>
          <w:tcPr>
            <w:tcW w:w="760" w:type="dxa"/>
            <w:vAlign w:val="top"/>
          </w:tcPr>
          <w:p>
            <w:pPr>
              <w:pStyle w:val="9"/>
              <w:spacing w:line="349" w:lineRule="auto"/>
              <w:rPr>
                <w:rFonts w:hint="default" w:ascii="Times New Roman" w:hAnsi="Times New Roman" w:cs="Times New Roman"/>
              </w:rPr>
            </w:pPr>
          </w:p>
          <w:p>
            <w:pPr>
              <w:pStyle w:val="9"/>
              <w:spacing w:line="349" w:lineRule="auto"/>
              <w:rPr>
                <w:rFonts w:hint="default" w:ascii="Times New Roman" w:hAnsi="Times New Roman" w:cs="Times New Roman"/>
              </w:rPr>
            </w:pPr>
          </w:p>
          <w:p>
            <w:pPr>
              <w:spacing w:before="52" w:line="361" w:lineRule="auto"/>
              <w:ind w:left="115" w:right="170" w:hanging="2"/>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有效控</w:t>
            </w:r>
            <w:r>
              <w:rPr>
                <w:rFonts w:hint="default" w:ascii="Times New Roman" w:hAnsi="Times New Roman" w:eastAsia="仿宋" w:cs="Times New Roman"/>
                <w:sz w:val="16"/>
                <w:szCs w:val="16"/>
              </w:rPr>
              <w:t>制</w:t>
            </w:r>
          </w:p>
        </w:tc>
        <w:tc>
          <w:tcPr>
            <w:tcW w:w="1011" w:type="dxa"/>
            <w:vAlign w:val="top"/>
          </w:tcPr>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spacing w:before="52"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计划标准</w:t>
            </w:r>
          </w:p>
        </w:tc>
        <w:tc>
          <w:tcPr>
            <w:tcW w:w="1811" w:type="dxa"/>
            <w:vAlign w:val="top"/>
          </w:tcPr>
          <w:p>
            <w:pPr>
              <w:pStyle w:val="9"/>
              <w:spacing w:line="271" w:lineRule="auto"/>
              <w:rPr>
                <w:rFonts w:hint="default" w:ascii="Times New Roman" w:hAnsi="Times New Roman" w:cs="Times New Roman"/>
              </w:rPr>
            </w:pPr>
          </w:p>
          <w:p>
            <w:pPr>
              <w:pStyle w:val="9"/>
              <w:spacing w:line="271" w:lineRule="auto"/>
              <w:rPr>
                <w:rFonts w:hint="default" w:ascii="Times New Roman" w:hAnsi="Times New Roman" w:cs="Times New Roman"/>
              </w:rPr>
            </w:pPr>
          </w:p>
          <w:p>
            <w:pPr>
              <w:spacing w:before="52" w:line="361" w:lineRule="auto"/>
              <w:ind w:left="116" w:right="261"/>
              <w:jc w:val="both"/>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项目实施金额支出未</w:t>
            </w:r>
            <w:r>
              <w:rPr>
                <w:rFonts w:hint="default" w:ascii="Times New Roman" w:hAnsi="Times New Roman" w:eastAsia="仿宋" w:cs="Times New Roman"/>
                <w:spacing w:val="-4"/>
                <w:sz w:val="16"/>
                <w:szCs w:val="16"/>
              </w:rPr>
              <w:t>超过预算，得5分，</w:t>
            </w:r>
            <w:r>
              <w:rPr>
                <w:rFonts w:hint="default" w:ascii="Times New Roman" w:hAnsi="Times New Roman" w:eastAsia="仿宋" w:cs="Times New Roman"/>
                <w:spacing w:val="-6"/>
                <w:sz w:val="16"/>
                <w:szCs w:val="16"/>
              </w:rPr>
              <w:t>反之扣5分；</w:t>
            </w:r>
          </w:p>
        </w:tc>
        <w:tc>
          <w:tcPr>
            <w:tcW w:w="3959" w:type="dxa"/>
            <w:vAlign w:val="top"/>
          </w:tcPr>
          <w:p>
            <w:pPr>
              <w:spacing w:before="288" w:line="360" w:lineRule="auto"/>
              <w:ind w:left="115" w:right="166" w:firstLine="1"/>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根据项目单位提供的财务决算报表、国库集中支付凭证等资料，该项目总预算资金26980.13万元，项目</w:t>
            </w:r>
            <w:r>
              <w:rPr>
                <w:rFonts w:hint="default" w:ascii="Times New Roman" w:hAnsi="Times New Roman" w:eastAsia="仿宋" w:cs="Times New Roman"/>
                <w:spacing w:val="-3"/>
                <w:sz w:val="16"/>
                <w:szCs w:val="16"/>
              </w:rPr>
              <w:t>截止到2025年12月底，实际支付金额为25930.18</w:t>
            </w:r>
            <w:r>
              <w:rPr>
                <w:rFonts w:hint="default" w:ascii="Times New Roman" w:hAnsi="Times New Roman" w:eastAsia="仿宋" w:cs="Times New Roman"/>
                <w:spacing w:val="1"/>
                <w:sz w:val="16"/>
                <w:szCs w:val="16"/>
              </w:rPr>
              <w:t>万元，支付率为96.11%，项目总成本未超出预算总</w:t>
            </w:r>
            <w:r>
              <w:rPr>
                <w:rFonts w:hint="default" w:ascii="Times New Roman" w:hAnsi="Times New Roman" w:eastAsia="仿宋" w:cs="Times New Roman"/>
                <w:spacing w:val="-3"/>
                <w:sz w:val="16"/>
                <w:szCs w:val="16"/>
              </w:rPr>
              <w:t>额。综上，该指标得5分。</w:t>
            </w:r>
          </w:p>
        </w:tc>
        <w:tc>
          <w:tcPr>
            <w:tcW w:w="708" w:type="dxa"/>
            <w:vAlign w:val="top"/>
          </w:tcPr>
          <w:p>
            <w:pPr>
              <w:pStyle w:val="9"/>
              <w:spacing w:line="284"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spacing w:before="52" w:line="242" w:lineRule="auto"/>
              <w:ind w:left="276"/>
              <w:rPr>
                <w:rFonts w:hint="default" w:ascii="Times New Roman" w:hAnsi="Times New Roman" w:eastAsia="仿宋" w:cs="Times New Roman"/>
                <w:sz w:val="16"/>
                <w:szCs w:val="16"/>
              </w:rPr>
            </w:pPr>
            <w:r>
              <w:rPr>
                <w:rFonts w:hint="default" w:ascii="Times New Roman" w:hAnsi="Times New Roman" w:eastAsia="仿宋" w:cs="Times New Roman"/>
                <w:sz w:val="16"/>
                <w:szCs w:val="16"/>
              </w:rPr>
              <w:t>5</w:t>
            </w:r>
          </w:p>
        </w:tc>
        <w:tc>
          <w:tcPr>
            <w:tcW w:w="868" w:type="dxa"/>
            <w:vAlign w:val="top"/>
          </w:tcPr>
          <w:p>
            <w:pPr>
              <w:pStyle w:val="9"/>
              <w:spacing w:line="284"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pStyle w:val="9"/>
              <w:spacing w:line="285" w:lineRule="auto"/>
              <w:rPr>
                <w:rFonts w:hint="default" w:ascii="Times New Roman" w:hAnsi="Times New Roman" w:cs="Times New Roman"/>
              </w:rPr>
            </w:pPr>
          </w:p>
          <w:p>
            <w:pPr>
              <w:spacing w:before="52" w:line="242" w:lineRule="auto"/>
              <w:ind w:left="285"/>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14" w:hRule="atLeast"/>
        </w:trPr>
        <w:tc>
          <w:tcPr>
            <w:tcW w:w="952" w:type="dxa"/>
            <w:vAlign w:val="top"/>
          </w:tcPr>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spacing w:before="52" w:line="366" w:lineRule="auto"/>
              <w:ind w:left="118" w:right="210" w:hanging="9"/>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D项目效</w:t>
            </w:r>
            <w:r>
              <w:rPr>
                <w:rFonts w:hint="default" w:ascii="Times New Roman" w:hAnsi="Times New Roman" w:eastAsia="仿宋" w:cs="Times New Roman"/>
                <w:spacing w:val="-5"/>
                <w:sz w:val="16"/>
                <w:szCs w:val="16"/>
              </w:rPr>
              <w:t>益（20）</w:t>
            </w:r>
          </w:p>
        </w:tc>
        <w:tc>
          <w:tcPr>
            <w:tcW w:w="1331" w:type="dxa"/>
            <w:vAlign w:val="top"/>
          </w:tcPr>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spacing w:before="52" w:line="368" w:lineRule="auto"/>
              <w:ind w:left="113" w:right="380" w:hanging="8"/>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D1项目效益</w:t>
            </w:r>
            <w:r>
              <w:rPr>
                <w:rFonts w:hint="default" w:ascii="Times New Roman" w:hAnsi="Times New Roman" w:eastAsia="仿宋" w:cs="Times New Roman"/>
                <w:spacing w:val="-3"/>
                <w:sz w:val="16"/>
                <w:szCs w:val="16"/>
              </w:rPr>
              <w:t>（14）</w:t>
            </w:r>
          </w:p>
        </w:tc>
        <w:tc>
          <w:tcPr>
            <w:tcW w:w="1308" w:type="dxa"/>
            <w:vAlign w:val="top"/>
          </w:tcPr>
          <w:p>
            <w:pPr>
              <w:pStyle w:val="9"/>
              <w:spacing w:line="277" w:lineRule="auto"/>
              <w:rPr>
                <w:rFonts w:hint="default" w:ascii="Times New Roman" w:hAnsi="Times New Roman" w:cs="Times New Roman"/>
              </w:rPr>
            </w:pPr>
          </w:p>
          <w:p>
            <w:pPr>
              <w:pStyle w:val="9"/>
              <w:spacing w:line="277"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pStyle w:val="9"/>
              <w:spacing w:line="278" w:lineRule="auto"/>
              <w:rPr>
                <w:rFonts w:hint="default" w:ascii="Times New Roman" w:hAnsi="Times New Roman" w:cs="Times New Roman"/>
              </w:rPr>
            </w:pPr>
          </w:p>
          <w:p>
            <w:pPr>
              <w:spacing w:before="52" w:line="361" w:lineRule="auto"/>
              <w:ind w:left="134" w:right="198" w:hanging="28"/>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D101增加就业</w:t>
            </w:r>
            <w:r>
              <w:rPr>
                <w:rFonts w:hint="default" w:ascii="Times New Roman" w:hAnsi="Times New Roman" w:eastAsia="仿宋" w:cs="Times New Roman"/>
                <w:spacing w:val="-15"/>
                <w:sz w:val="16"/>
                <w:szCs w:val="16"/>
              </w:rPr>
              <w:t>岗位</w:t>
            </w:r>
          </w:p>
        </w:tc>
        <w:tc>
          <w:tcPr>
            <w:tcW w:w="756" w:type="dxa"/>
            <w:vAlign w:val="top"/>
          </w:tcPr>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spacing w:before="52" w:line="242" w:lineRule="auto"/>
              <w:ind w:left="270"/>
              <w:rPr>
                <w:rFonts w:hint="default" w:ascii="Times New Roman" w:hAnsi="Times New Roman" w:eastAsia="仿宋" w:cs="Times New Roman"/>
                <w:sz w:val="16"/>
                <w:szCs w:val="16"/>
              </w:rPr>
            </w:pPr>
            <w:r>
              <w:rPr>
                <w:rFonts w:hint="default" w:ascii="Times New Roman" w:hAnsi="Times New Roman" w:eastAsia="仿宋" w:cs="Times New Roman"/>
                <w:sz w:val="16"/>
                <w:szCs w:val="16"/>
              </w:rPr>
              <w:t>8</w:t>
            </w:r>
          </w:p>
        </w:tc>
        <w:tc>
          <w:tcPr>
            <w:tcW w:w="2008" w:type="dxa"/>
            <w:vAlign w:val="top"/>
          </w:tcPr>
          <w:p>
            <w:pPr>
              <w:pStyle w:val="9"/>
              <w:spacing w:line="318" w:lineRule="auto"/>
              <w:rPr>
                <w:rFonts w:hint="default" w:ascii="Times New Roman" w:hAnsi="Times New Roman" w:cs="Times New Roman"/>
              </w:rPr>
            </w:pPr>
          </w:p>
          <w:p>
            <w:pPr>
              <w:pStyle w:val="9"/>
              <w:spacing w:line="319" w:lineRule="auto"/>
              <w:rPr>
                <w:rFonts w:hint="default" w:ascii="Times New Roman" w:hAnsi="Times New Roman" w:cs="Times New Roman"/>
              </w:rPr>
            </w:pPr>
          </w:p>
          <w:p>
            <w:pPr>
              <w:pStyle w:val="9"/>
              <w:spacing w:line="319" w:lineRule="auto"/>
              <w:rPr>
                <w:rFonts w:hint="default" w:ascii="Times New Roman" w:hAnsi="Times New Roman" w:cs="Times New Roman"/>
              </w:rPr>
            </w:pPr>
          </w:p>
          <w:p>
            <w:pPr>
              <w:spacing w:before="52" w:line="361" w:lineRule="auto"/>
              <w:ind w:left="113" w:right="219" w:firstLine="1"/>
              <w:jc w:val="both"/>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考察2025年本项目在增</w:t>
            </w:r>
            <w:r>
              <w:rPr>
                <w:rFonts w:hint="default" w:ascii="Times New Roman" w:hAnsi="Times New Roman" w:eastAsia="仿宋" w:cs="Times New Roman"/>
                <w:spacing w:val="-1"/>
                <w:sz w:val="16"/>
                <w:szCs w:val="16"/>
              </w:rPr>
              <w:t>加就业岗位方面落实情</w:t>
            </w:r>
            <w:r>
              <w:rPr>
                <w:rFonts w:hint="default" w:ascii="Times New Roman" w:hAnsi="Times New Roman" w:eastAsia="仿宋" w:cs="Times New Roman"/>
                <w:spacing w:val="-5"/>
                <w:sz w:val="16"/>
                <w:szCs w:val="16"/>
              </w:rPr>
              <w:t>况。</w:t>
            </w:r>
          </w:p>
        </w:tc>
        <w:tc>
          <w:tcPr>
            <w:tcW w:w="760" w:type="dxa"/>
            <w:vAlign w:val="top"/>
          </w:tcPr>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spacing w:before="52" w:line="224" w:lineRule="auto"/>
              <w:ind w:left="115"/>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增加</w:t>
            </w:r>
          </w:p>
        </w:tc>
        <w:tc>
          <w:tcPr>
            <w:tcW w:w="1011" w:type="dxa"/>
            <w:vAlign w:val="top"/>
          </w:tcPr>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spacing w:before="52"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计划标准</w:t>
            </w:r>
          </w:p>
        </w:tc>
        <w:tc>
          <w:tcPr>
            <w:tcW w:w="1811" w:type="dxa"/>
            <w:vAlign w:val="top"/>
          </w:tcPr>
          <w:p>
            <w:pPr>
              <w:spacing w:before="77" w:line="360" w:lineRule="auto"/>
              <w:ind w:left="117" w:right="258" w:hanging="7"/>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①是否聘用城区环卫</w:t>
            </w:r>
            <w:r>
              <w:rPr>
                <w:rFonts w:hint="default" w:ascii="Times New Roman" w:hAnsi="Times New Roman" w:eastAsia="仿宋" w:cs="Times New Roman"/>
                <w:spacing w:val="-4"/>
                <w:sz w:val="16"/>
                <w:szCs w:val="16"/>
              </w:rPr>
              <w:t>人员。</w:t>
            </w:r>
          </w:p>
          <w:p>
            <w:pPr>
              <w:spacing w:line="360" w:lineRule="auto"/>
              <w:ind w:left="117" w:right="258" w:hanging="8"/>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②是否聘用园林管护</w:t>
            </w:r>
            <w:r>
              <w:rPr>
                <w:rFonts w:hint="default" w:ascii="Times New Roman" w:hAnsi="Times New Roman" w:eastAsia="仿宋" w:cs="Times New Roman"/>
                <w:spacing w:val="-4"/>
                <w:sz w:val="16"/>
                <w:szCs w:val="16"/>
              </w:rPr>
              <w:t>人员。</w:t>
            </w:r>
          </w:p>
          <w:p>
            <w:pPr>
              <w:spacing w:before="1" w:line="359" w:lineRule="auto"/>
              <w:ind w:left="119" w:right="258" w:hanging="10"/>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③是否聘用与项目有</w:t>
            </w:r>
            <w:r>
              <w:rPr>
                <w:rFonts w:hint="default" w:ascii="Times New Roman" w:hAnsi="Times New Roman" w:eastAsia="仿宋" w:cs="Times New Roman"/>
                <w:spacing w:val="-2"/>
                <w:sz w:val="16"/>
                <w:szCs w:val="16"/>
              </w:rPr>
              <w:t>关的其他工作人员</w:t>
            </w:r>
          </w:p>
          <w:p>
            <w:pPr>
              <w:spacing w:before="1" w:line="328" w:lineRule="auto"/>
              <w:ind w:left="114" w:right="258" w:firstLine="16"/>
              <w:rPr>
                <w:rFonts w:hint="default" w:ascii="Times New Roman" w:hAnsi="Times New Roman" w:eastAsia="仿宋" w:cs="Times New Roman"/>
                <w:sz w:val="16"/>
                <w:szCs w:val="16"/>
              </w:rPr>
            </w:pPr>
            <w:r>
              <w:rPr>
                <w:rFonts w:hint="default" w:ascii="Times New Roman" w:hAnsi="Times New Roman" w:eastAsia="仿宋" w:cs="Times New Roman"/>
                <w:spacing w:val="-7"/>
                <w:sz w:val="16"/>
                <w:szCs w:val="16"/>
              </w:rPr>
              <w:t>以上三项各占1/3的</w:t>
            </w:r>
            <w:r>
              <w:rPr>
                <w:rFonts w:hint="default" w:ascii="Times New Roman" w:hAnsi="Times New Roman" w:eastAsia="仿宋" w:cs="Times New Roman"/>
                <w:spacing w:val="-1"/>
                <w:sz w:val="16"/>
                <w:szCs w:val="16"/>
              </w:rPr>
              <w:t>权重分，满足得分，否则扣除对应分值。</w:t>
            </w:r>
          </w:p>
        </w:tc>
        <w:tc>
          <w:tcPr>
            <w:tcW w:w="3959" w:type="dxa"/>
            <w:vAlign w:val="top"/>
          </w:tcPr>
          <w:p>
            <w:pPr>
              <w:spacing w:before="73" w:line="350" w:lineRule="auto"/>
              <w:ind w:left="115" w:right="166"/>
              <w:jc w:val="both"/>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经评价组核实，区住建局开展“市政、园林、环卫一</w:t>
            </w:r>
            <w:r>
              <w:rPr>
                <w:rFonts w:hint="default" w:ascii="Times New Roman" w:hAnsi="Times New Roman" w:eastAsia="仿宋" w:cs="Times New Roman"/>
                <w:spacing w:val="-2"/>
                <w:sz w:val="16"/>
                <w:szCs w:val="16"/>
              </w:rPr>
              <w:t>体化”项目时，与哈密市北控北控城市服务有限公司</w:t>
            </w:r>
            <w:r>
              <w:rPr>
                <w:rFonts w:hint="default" w:ascii="Times New Roman" w:hAnsi="Times New Roman" w:eastAsia="仿宋" w:cs="Times New Roman"/>
                <w:spacing w:val="-1"/>
                <w:sz w:val="16"/>
                <w:szCs w:val="16"/>
              </w:rPr>
              <w:t>签订合同，哈密市北控北控城市服务有限公司面向社会招聘了585人，根据部门单位提供的</w:t>
            </w:r>
            <w:r>
              <w:rPr>
                <w:rFonts w:hint="default" w:ascii="Times New Roman" w:hAnsi="Times New Roman" w:eastAsia="仿宋" w:cs="Times New Roman"/>
                <w:spacing w:val="-1"/>
                <w:sz w:val="16"/>
                <w:szCs w:val="16"/>
                <w:lang w:val="en-US" w:eastAsia="zh-CN"/>
              </w:rPr>
              <w:t>9</w:t>
            </w:r>
            <w:r>
              <w:rPr>
                <w:rFonts w:hint="default" w:ascii="Times New Roman" w:hAnsi="Times New Roman" w:eastAsia="仿宋" w:cs="Times New Roman"/>
                <w:spacing w:val="-1"/>
                <w:sz w:val="16"/>
                <w:szCs w:val="16"/>
              </w:rPr>
              <w:t>月工资发放</w:t>
            </w:r>
            <w:r>
              <w:rPr>
                <w:rFonts w:hint="default" w:ascii="Times New Roman" w:hAnsi="Times New Roman" w:eastAsia="仿宋" w:cs="Times New Roman"/>
                <w:sz w:val="16"/>
                <w:szCs w:val="16"/>
              </w:rPr>
              <w:t>表，其中：园林社招人员296人，环卫人工社招人员</w:t>
            </w:r>
            <w:r>
              <w:rPr>
                <w:rFonts w:hint="default" w:ascii="Times New Roman" w:hAnsi="Times New Roman" w:eastAsia="仿宋" w:cs="Times New Roman"/>
                <w:spacing w:val="-2"/>
                <w:sz w:val="16"/>
                <w:szCs w:val="16"/>
              </w:rPr>
              <w:t>180人，环卫机械社招人员109人。通过每月工</w:t>
            </w:r>
            <w:r>
              <w:rPr>
                <w:rFonts w:hint="default" w:ascii="Times New Roman" w:hAnsi="Times New Roman" w:eastAsia="仿宋" w:cs="Times New Roman"/>
                <w:spacing w:val="-3"/>
                <w:sz w:val="16"/>
                <w:szCs w:val="16"/>
              </w:rPr>
              <w:t>资发</w:t>
            </w:r>
            <w:r>
              <w:rPr>
                <w:rFonts w:hint="default" w:ascii="Times New Roman" w:hAnsi="Times New Roman" w:eastAsia="仿宋" w:cs="Times New Roman"/>
                <w:spacing w:val="-1"/>
                <w:sz w:val="16"/>
                <w:szCs w:val="16"/>
              </w:rPr>
              <w:t>放表可知，每月人员会有所增加或减少，该项目的实施，为社会群众增加了就业岗位，为社招人员提供了</w:t>
            </w:r>
            <w:r>
              <w:rPr>
                <w:rFonts w:hint="default" w:ascii="Times New Roman" w:hAnsi="Times New Roman" w:eastAsia="仿宋" w:cs="Times New Roman"/>
                <w:spacing w:val="1"/>
                <w:sz w:val="16"/>
                <w:szCs w:val="16"/>
              </w:rPr>
              <w:t>一份就业保障。综上，故该指标得8分。</w:t>
            </w:r>
          </w:p>
        </w:tc>
        <w:tc>
          <w:tcPr>
            <w:tcW w:w="708" w:type="dxa"/>
            <w:vAlign w:val="top"/>
          </w:tcPr>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spacing w:before="52" w:line="242" w:lineRule="auto"/>
              <w:ind w:left="273"/>
              <w:rPr>
                <w:rFonts w:hint="default" w:ascii="Times New Roman" w:hAnsi="Times New Roman" w:eastAsia="仿宋" w:cs="Times New Roman"/>
                <w:sz w:val="16"/>
                <w:szCs w:val="16"/>
              </w:rPr>
            </w:pPr>
            <w:r>
              <w:rPr>
                <w:rFonts w:hint="default" w:ascii="Times New Roman" w:hAnsi="Times New Roman" w:eastAsia="仿宋" w:cs="Times New Roman"/>
                <w:sz w:val="16"/>
                <w:szCs w:val="16"/>
              </w:rPr>
              <w:t>8</w:t>
            </w:r>
          </w:p>
        </w:tc>
        <w:tc>
          <w:tcPr>
            <w:tcW w:w="868" w:type="dxa"/>
            <w:vAlign w:val="top"/>
          </w:tcPr>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3" w:lineRule="auto"/>
              <w:rPr>
                <w:rFonts w:hint="default" w:ascii="Times New Roman" w:hAnsi="Times New Roman" w:cs="Times New Roman"/>
              </w:rPr>
            </w:pPr>
          </w:p>
          <w:p>
            <w:pPr>
              <w:pStyle w:val="9"/>
              <w:spacing w:line="254" w:lineRule="auto"/>
              <w:rPr>
                <w:rFonts w:hint="default" w:ascii="Times New Roman" w:hAnsi="Times New Roman" w:cs="Times New Roman"/>
              </w:rPr>
            </w:pPr>
          </w:p>
          <w:p>
            <w:pPr>
              <w:spacing w:before="52" w:line="242" w:lineRule="auto"/>
              <w:ind w:left="285"/>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100%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15" w:type="default"/>
          <w:pgSz w:w="16839" w:h="11906"/>
          <w:pgMar w:top="1012" w:right="692" w:bottom="1256" w:left="668" w:header="0" w:footer="1003" w:gutter="0"/>
          <w:cols w:space="720" w:num="1"/>
        </w:sectPr>
      </w:pPr>
    </w:p>
    <w:p>
      <w:pPr>
        <w:spacing w:line="307" w:lineRule="auto"/>
        <w:rPr>
          <w:rFonts w:hint="default" w:ascii="Times New Roman" w:hAnsi="Times New Roman" w:cs="Times New Roman"/>
          <w:sz w:val="21"/>
        </w:rPr>
      </w:pPr>
    </w:p>
    <w:p>
      <w:pPr>
        <w:spacing w:before="78" w:line="222" w:lineRule="auto"/>
        <w:ind w:left="137" w:firstLine="466" w:firstLineChars="200"/>
        <w:rPr>
          <w:rFonts w:hint="default" w:ascii="Times New Roman" w:hAnsi="Times New Roman" w:eastAsia="仿宋" w:cs="Times New Roman"/>
          <w:sz w:val="24"/>
          <w:szCs w:val="24"/>
        </w:rPr>
      </w:pPr>
      <w:r>
        <w:rPr>
          <w:rFonts w:hint="default" w:ascii="Times New Roman" w:hAnsi="Times New Roman" w:eastAsia="仿宋" w:cs="Times New Roman"/>
          <w:b/>
          <w:bCs/>
          <w:spacing w:val="-4"/>
          <w:sz w:val="24"/>
          <w:szCs w:val="24"/>
        </w:rPr>
        <w:t>附件1：“市政、园林、环卫一体化”第三方服务采购项目绩效评价指标体系评</w:t>
      </w:r>
      <w:r>
        <w:rPr>
          <w:rFonts w:hint="default" w:ascii="Times New Roman" w:hAnsi="Times New Roman" w:eastAsia="仿宋" w:cs="Times New Roman"/>
          <w:b/>
          <w:bCs/>
          <w:spacing w:val="-5"/>
          <w:sz w:val="24"/>
          <w:szCs w:val="24"/>
        </w:rPr>
        <w:t>分表</w:t>
      </w:r>
    </w:p>
    <w:p>
      <w:pPr>
        <w:spacing w:line="160" w:lineRule="exact"/>
        <w:rPr>
          <w:rFonts w:hint="default" w:ascii="Times New Roman" w:hAnsi="Times New Roman" w:cs="Times New Roman"/>
        </w:rPr>
      </w:pPr>
    </w:p>
    <w:tbl>
      <w:tblPr>
        <w:tblStyle w:val="8"/>
        <w:tblW w:w="154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331"/>
        <w:gridCol w:w="1308"/>
        <w:gridCol w:w="756"/>
        <w:gridCol w:w="2008"/>
        <w:gridCol w:w="760"/>
        <w:gridCol w:w="1011"/>
        <w:gridCol w:w="1811"/>
        <w:gridCol w:w="3959"/>
        <w:gridCol w:w="708"/>
        <w:gridCol w:w="86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9" w:hRule="atLeast"/>
        </w:trPr>
        <w:tc>
          <w:tcPr>
            <w:tcW w:w="952" w:type="dxa"/>
            <w:vAlign w:val="top"/>
          </w:tcPr>
          <w:p>
            <w:pPr>
              <w:spacing w:before="96" w:line="222" w:lineRule="auto"/>
              <w:ind w:left="12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一级指标</w:t>
            </w:r>
          </w:p>
        </w:tc>
        <w:tc>
          <w:tcPr>
            <w:tcW w:w="1331" w:type="dxa"/>
            <w:vAlign w:val="top"/>
          </w:tcPr>
          <w:p>
            <w:pPr>
              <w:spacing w:before="96"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二级指标</w:t>
            </w:r>
          </w:p>
        </w:tc>
        <w:tc>
          <w:tcPr>
            <w:tcW w:w="1308" w:type="dxa"/>
            <w:vAlign w:val="top"/>
          </w:tcPr>
          <w:p>
            <w:pPr>
              <w:spacing w:before="96"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三级指标</w:t>
            </w:r>
          </w:p>
        </w:tc>
        <w:tc>
          <w:tcPr>
            <w:tcW w:w="756" w:type="dxa"/>
            <w:vAlign w:val="top"/>
          </w:tcPr>
          <w:p>
            <w:pPr>
              <w:spacing w:before="96" w:line="222" w:lineRule="auto"/>
              <w:ind w:left="203"/>
              <w:rPr>
                <w:rFonts w:hint="default" w:ascii="Times New Roman" w:hAnsi="Times New Roman" w:eastAsia="仿宋" w:cs="Times New Roman"/>
                <w:sz w:val="18"/>
                <w:szCs w:val="18"/>
              </w:rPr>
            </w:pPr>
            <w:r>
              <w:rPr>
                <w:rFonts w:hint="default" w:ascii="Times New Roman" w:hAnsi="Times New Roman" w:eastAsia="仿宋" w:cs="Times New Roman"/>
                <w:b/>
                <w:bCs/>
                <w:spacing w:val="-8"/>
                <w:sz w:val="18"/>
                <w:szCs w:val="18"/>
              </w:rPr>
              <w:t>权重</w:t>
            </w:r>
          </w:p>
        </w:tc>
        <w:tc>
          <w:tcPr>
            <w:tcW w:w="2008" w:type="dxa"/>
            <w:vAlign w:val="top"/>
          </w:tcPr>
          <w:p>
            <w:pPr>
              <w:spacing w:before="96" w:line="222" w:lineRule="auto"/>
              <w:ind w:left="478"/>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指标解释</w:t>
            </w:r>
          </w:p>
        </w:tc>
        <w:tc>
          <w:tcPr>
            <w:tcW w:w="760" w:type="dxa"/>
            <w:vAlign w:val="top"/>
          </w:tcPr>
          <w:p>
            <w:pPr>
              <w:spacing w:before="96" w:line="222" w:lineRule="auto"/>
              <w:ind w:left="115"/>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标杆值</w:t>
            </w:r>
          </w:p>
        </w:tc>
        <w:tc>
          <w:tcPr>
            <w:tcW w:w="1011" w:type="dxa"/>
            <w:vAlign w:val="top"/>
          </w:tcPr>
          <w:p>
            <w:pPr>
              <w:spacing w:before="96" w:line="222"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评分依据</w:t>
            </w:r>
          </w:p>
        </w:tc>
        <w:tc>
          <w:tcPr>
            <w:tcW w:w="1811" w:type="dxa"/>
            <w:vAlign w:val="top"/>
          </w:tcPr>
          <w:p>
            <w:pPr>
              <w:spacing w:before="96" w:line="222" w:lineRule="auto"/>
              <w:ind w:left="479"/>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评价标准</w:t>
            </w:r>
          </w:p>
        </w:tc>
        <w:tc>
          <w:tcPr>
            <w:tcW w:w="3959" w:type="dxa"/>
            <w:vAlign w:val="top"/>
          </w:tcPr>
          <w:p>
            <w:pPr>
              <w:spacing w:before="96" w:line="222" w:lineRule="auto"/>
              <w:ind w:left="1383"/>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评分过程</w:t>
            </w:r>
          </w:p>
        </w:tc>
        <w:tc>
          <w:tcPr>
            <w:tcW w:w="708" w:type="dxa"/>
            <w:vAlign w:val="top"/>
          </w:tcPr>
          <w:p>
            <w:pPr>
              <w:spacing w:before="96"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得分</w:t>
            </w:r>
          </w:p>
        </w:tc>
        <w:tc>
          <w:tcPr>
            <w:tcW w:w="868" w:type="dxa"/>
            <w:vAlign w:val="top"/>
          </w:tcPr>
          <w:p>
            <w:pPr>
              <w:spacing w:before="96"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931" w:hRule="atLeast"/>
        </w:trPr>
        <w:tc>
          <w:tcPr>
            <w:tcW w:w="952" w:type="dxa"/>
            <w:vAlign w:val="top"/>
          </w:tcPr>
          <w:p>
            <w:pPr>
              <w:pStyle w:val="9"/>
              <w:spacing w:line="241" w:lineRule="auto"/>
              <w:rPr>
                <w:rFonts w:hint="default" w:ascii="Times New Roman" w:hAnsi="Times New Roman" w:cs="Times New Roman"/>
              </w:rPr>
            </w:pPr>
          </w:p>
          <w:p>
            <w:pPr>
              <w:pStyle w:val="9"/>
              <w:spacing w:line="241" w:lineRule="auto"/>
              <w:rPr>
                <w:rFonts w:hint="default" w:ascii="Times New Roman" w:hAnsi="Times New Roman" w:cs="Times New Roman"/>
              </w:rPr>
            </w:pPr>
          </w:p>
          <w:p>
            <w:pPr>
              <w:pStyle w:val="9"/>
              <w:spacing w:line="241"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spacing w:before="52" w:line="366" w:lineRule="auto"/>
              <w:ind w:left="118" w:right="210" w:hanging="9"/>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D项目效</w:t>
            </w:r>
            <w:r>
              <w:rPr>
                <w:rFonts w:hint="default" w:ascii="Times New Roman" w:hAnsi="Times New Roman" w:eastAsia="仿宋" w:cs="Times New Roman"/>
                <w:spacing w:val="-5"/>
                <w:sz w:val="16"/>
                <w:szCs w:val="16"/>
              </w:rPr>
              <w:t>益（20）</w:t>
            </w:r>
          </w:p>
        </w:tc>
        <w:tc>
          <w:tcPr>
            <w:tcW w:w="1331" w:type="dxa"/>
            <w:vAlign w:val="top"/>
          </w:tcPr>
          <w:p>
            <w:pPr>
              <w:pStyle w:val="9"/>
              <w:spacing w:line="241" w:lineRule="auto"/>
              <w:rPr>
                <w:rFonts w:hint="default" w:ascii="Times New Roman" w:hAnsi="Times New Roman" w:cs="Times New Roman"/>
              </w:rPr>
            </w:pPr>
          </w:p>
          <w:p>
            <w:pPr>
              <w:pStyle w:val="9"/>
              <w:spacing w:line="241" w:lineRule="auto"/>
              <w:rPr>
                <w:rFonts w:hint="default" w:ascii="Times New Roman" w:hAnsi="Times New Roman" w:cs="Times New Roman"/>
              </w:rPr>
            </w:pPr>
          </w:p>
          <w:p>
            <w:pPr>
              <w:pStyle w:val="9"/>
              <w:spacing w:line="241"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pStyle w:val="9"/>
              <w:spacing w:line="242" w:lineRule="auto"/>
              <w:rPr>
                <w:rFonts w:hint="default" w:ascii="Times New Roman" w:hAnsi="Times New Roman" w:cs="Times New Roman"/>
              </w:rPr>
            </w:pPr>
          </w:p>
          <w:p>
            <w:pPr>
              <w:spacing w:before="52" w:line="368" w:lineRule="auto"/>
              <w:ind w:left="113" w:right="380" w:hanging="8"/>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D1项目效益</w:t>
            </w:r>
            <w:r>
              <w:rPr>
                <w:rFonts w:hint="default" w:ascii="Times New Roman" w:hAnsi="Times New Roman" w:eastAsia="仿宋" w:cs="Times New Roman"/>
                <w:spacing w:val="-3"/>
                <w:sz w:val="16"/>
                <w:szCs w:val="16"/>
              </w:rPr>
              <w:t>（14）</w:t>
            </w:r>
          </w:p>
        </w:tc>
        <w:tc>
          <w:tcPr>
            <w:tcW w:w="1308" w:type="dxa"/>
            <w:vAlign w:val="top"/>
          </w:tcPr>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spacing w:before="52" w:line="361" w:lineRule="auto"/>
              <w:ind w:left="114" w:right="198" w:hanging="8"/>
              <w:jc w:val="both"/>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D102提升居民生活质量和幸</w:t>
            </w:r>
            <w:r>
              <w:rPr>
                <w:rFonts w:hint="default" w:ascii="Times New Roman" w:hAnsi="Times New Roman" w:eastAsia="仿宋" w:cs="Times New Roman"/>
                <w:spacing w:val="-4"/>
                <w:sz w:val="16"/>
                <w:szCs w:val="16"/>
              </w:rPr>
              <w:t>福指数</w:t>
            </w:r>
          </w:p>
        </w:tc>
        <w:tc>
          <w:tcPr>
            <w:tcW w:w="756" w:type="dxa"/>
            <w:vAlign w:val="top"/>
          </w:tcPr>
          <w:p>
            <w:pPr>
              <w:pStyle w:val="9"/>
              <w:spacing w:line="255"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spacing w:before="52" w:line="242" w:lineRule="auto"/>
              <w:ind w:left="271"/>
              <w:rPr>
                <w:rFonts w:hint="default" w:ascii="Times New Roman" w:hAnsi="Times New Roman" w:eastAsia="仿宋" w:cs="Times New Roman"/>
                <w:sz w:val="16"/>
                <w:szCs w:val="16"/>
              </w:rPr>
            </w:pPr>
            <w:r>
              <w:rPr>
                <w:rFonts w:hint="default" w:ascii="Times New Roman" w:hAnsi="Times New Roman" w:eastAsia="仿宋" w:cs="Times New Roman"/>
                <w:sz w:val="16"/>
                <w:szCs w:val="16"/>
              </w:rPr>
              <w:t>6</w:t>
            </w:r>
          </w:p>
        </w:tc>
        <w:tc>
          <w:tcPr>
            <w:tcW w:w="2008" w:type="dxa"/>
            <w:vAlign w:val="top"/>
          </w:tcPr>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0"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pStyle w:val="9"/>
              <w:spacing w:line="251" w:lineRule="auto"/>
              <w:rPr>
                <w:rFonts w:hint="default" w:ascii="Times New Roman" w:hAnsi="Times New Roman" w:cs="Times New Roman"/>
              </w:rPr>
            </w:pPr>
          </w:p>
          <w:p>
            <w:pPr>
              <w:spacing w:before="52" w:line="361" w:lineRule="auto"/>
              <w:ind w:left="115" w:right="137"/>
              <w:jc w:val="both"/>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考察2025年本项目居民</w:t>
            </w:r>
            <w:r>
              <w:rPr>
                <w:rFonts w:hint="default" w:ascii="Times New Roman" w:hAnsi="Times New Roman" w:eastAsia="仿宋" w:cs="Times New Roman"/>
                <w:spacing w:val="-1"/>
                <w:sz w:val="16"/>
                <w:szCs w:val="16"/>
              </w:rPr>
              <w:t>生活质量和幸福指数有效</w:t>
            </w:r>
            <w:r>
              <w:rPr>
                <w:rFonts w:hint="default" w:ascii="Times New Roman" w:hAnsi="Times New Roman" w:eastAsia="仿宋" w:cs="Times New Roman"/>
                <w:spacing w:val="-6"/>
                <w:sz w:val="16"/>
                <w:szCs w:val="16"/>
              </w:rPr>
              <w:t>提升</w:t>
            </w:r>
          </w:p>
        </w:tc>
        <w:tc>
          <w:tcPr>
            <w:tcW w:w="760" w:type="dxa"/>
            <w:vAlign w:val="top"/>
          </w:tcPr>
          <w:p>
            <w:pPr>
              <w:pStyle w:val="9"/>
              <w:spacing w:line="255"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spacing w:before="52"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spacing w:val="-6"/>
                <w:sz w:val="16"/>
                <w:szCs w:val="16"/>
              </w:rPr>
              <w:t>提升</w:t>
            </w:r>
          </w:p>
        </w:tc>
        <w:tc>
          <w:tcPr>
            <w:tcW w:w="1011" w:type="dxa"/>
            <w:vAlign w:val="top"/>
          </w:tcPr>
          <w:p>
            <w:pPr>
              <w:pStyle w:val="9"/>
              <w:spacing w:line="255" w:lineRule="auto"/>
              <w:rPr>
                <w:rFonts w:hint="default" w:ascii="Times New Roman" w:hAnsi="Times New Roman" w:cs="Times New Roman"/>
              </w:rPr>
            </w:pPr>
          </w:p>
          <w:p>
            <w:pPr>
              <w:pStyle w:val="9"/>
              <w:spacing w:line="255"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spacing w:before="52"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计划标准</w:t>
            </w:r>
          </w:p>
        </w:tc>
        <w:tc>
          <w:tcPr>
            <w:tcW w:w="1811" w:type="dxa"/>
            <w:vAlign w:val="top"/>
          </w:tcPr>
          <w:p>
            <w:pPr>
              <w:pStyle w:val="9"/>
              <w:spacing w:line="283"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pStyle w:val="9"/>
              <w:spacing w:line="284" w:lineRule="auto"/>
              <w:rPr>
                <w:rFonts w:hint="default" w:ascii="Times New Roman" w:hAnsi="Times New Roman" w:cs="Times New Roman"/>
              </w:rPr>
            </w:pPr>
          </w:p>
          <w:p>
            <w:pPr>
              <w:spacing w:before="52" w:line="360" w:lineRule="auto"/>
              <w:ind w:left="118" w:right="284" w:hanging="8"/>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①城市市区主干道、</w:t>
            </w:r>
            <w:r>
              <w:rPr>
                <w:rFonts w:hint="default" w:ascii="Times New Roman" w:hAnsi="Times New Roman" w:eastAsia="仿宋" w:cs="Times New Roman"/>
                <w:spacing w:val="-2"/>
                <w:sz w:val="16"/>
                <w:szCs w:val="16"/>
              </w:rPr>
              <w:t>城区整洁度方面</w:t>
            </w:r>
          </w:p>
          <w:p>
            <w:pPr>
              <w:spacing w:before="2" w:line="359" w:lineRule="auto"/>
              <w:ind w:left="115" w:right="258" w:hanging="6"/>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②城市公共区域内的</w:t>
            </w:r>
            <w:r>
              <w:rPr>
                <w:rFonts w:hint="default" w:ascii="Times New Roman" w:hAnsi="Times New Roman" w:eastAsia="仿宋" w:cs="Times New Roman"/>
                <w:spacing w:val="-2"/>
                <w:sz w:val="16"/>
                <w:szCs w:val="16"/>
              </w:rPr>
              <w:t>湿地公园整洁度和绿</w:t>
            </w:r>
            <w:r>
              <w:rPr>
                <w:rFonts w:hint="default" w:ascii="Times New Roman" w:hAnsi="Times New Roman" w:eastAsia="仿宋" w:cs="Times New Roman"/>
                <w:spacing w:val="-4"/>
                <w:sz w:val="16"/>
                <w:szCs w:val="16"/>
              </w:rPr>
              <w:t>化方面</w:t>
            </w:r>
          </w:p>
          <w:p>
            <w:pPr>
              <w:spacing w:before="3" w:line="359" w:lineRule="auto"/>
              <w:ind w:left="114" w:right="179" w:hanging="5"/>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③设施功能满足度(能否满足不同群体需求)</w:t>
            </w:r>
            <w:r>
              <w:rPr>
                <w:rFonts w:hint="default" w:ascii="Times New Roman" w:hAnsi="Times New Roman" w:eastAsia="仿宋" w:cs="Times New Roman"/>
                <w:spacing w:val="-5"/>
                <w:sz w:val="16"/>
                <w:szCs w:val="16"/>
              </w:rPr>
              <w:t>以上三项各占1/3的</w:t>
            </w:r>
            <w:r>
              <w:rPr>
                <w:rFonts w:hint="default" w:ascii="Times New Roman" w:hAnsi="Times New Roman" w:eastAsia="仿宋" w:cs="Times New Roman"/>
                <w:spacing w:val="-1"/>
                <w:sz w:val="16"/>
                <w:szCs w:val="16"/>
              </w:rPr>
              <w:t>权重分，满足得分，</w:t>
            </w:r>
          </w:p>
          <w:p>
            <w:pPr>
              <w:spacing w:line="224" w:lineRule="auto"/>
              <w:ind w:left="119"/>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否则扣除对应分值。</w:t>
            </w:r>
          </w:p>
        </w:tc>
        <w:tc>
          <w:tcPr>
            <w:tcW w:w="3959" w:type="dxa"/>
            <w:vAlign w:val="top"/>
          </w:tcPr>
          <w:p>
            <w:pPr>
              <w:spacing w:before="76" w:line="360" w:lineRule="auto"/>
              <w:ind w:left="117" w:right="166" w:hanging="1"/>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经评价组核实，区住建局通过开展“市政、园林、环</w:t>
            </w:r>
            <w:r>
              <w:rPr>
                <w:rFonts w:hint="default" w:ascii="Times New Roman" w:hAnsi="Times New Roman" w:eastAsia="仿宋" w:cs="Times New Roman"/>
                <w:spacing w:val="-2"/>
                <w:sz w:val="16"/>
                <w:szCs w:val="16"/>
              </w:rPr>
              <w:t>卫一体化”项目，主要内容为三部分：城乡环卫保洁</w:t>
            </w:r>
            <w:r>
              <w:rPr>
                <w:rFonts w:hint="default" w:ascii="Times New Roman" w:hAnsi="Times New Roman" w:eastAsia="仿宋" w:cs="Times New Roman"/>
                <w:spacing w:val="-1"/>
                <w:sz w:val="16"/>
                <w:szCs w:val="16"/>
              </w:rPr>
              <w:t>运营工作内容包含：道路清扫保洁服务面积</w:t>
            </w:r>
          </w:p>
          <w:p>
            <w:pPr>
              <w:spacing w:line="360" w:lineRule="auto"/>
              <w:ind w:left="121" w:right="246" w:firstLine="1"/>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12629003.66平方米、城区垃圾收</w:t>
            </w:r>
            <w:r>
              <w:rPr>
                <w:rFonts w:hint="default" w:ascii="Times New Roman" w:hAnsi="Times New Roman" w:eastAsia="仿宋" w:cs="Times New Roman"/>
                <w:spacing w:val="-2"/>
                <w:sz w:val="16"/>
                <w:szCs w:val="16"/>
              </w:rPr>
              <w:t>运每年124319.57吨/年，城区114所公厕保洁工作、垃圾填埋场1</w:t>
            </w:r>
          </w:p>
          <w:p>
            <w:pPr>
              <w:spacing w:before="4" w:line="359" w:lineRule="auto"/>
              <w:ind w:left="116" w:right="166" w:firstLine="1"/>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座、城区冬季除雪面积9022901.12平方米。园</w:t>
            </w:r>
            <w:r>
              <w:rPr>
                <w:rFonts w:hint="default" w:ascii="Times New Roman" w:hAnsi="Times New Roman" w:eastAsia="仿宋" w:cs="Times New Roman"/>
                <w:spacing w:val="-2"/>
                <w:sz w:val="16"/>
                <w:szCs w:val="16"/>
              </w:rPr>
              <w:t>林绿</w:t>
            </w:r>
            <w:r>
              <w:rPr>
                <w:rFonts w:hint="default" w:ascii="Times New Roman" w:hAnsi="Times New Roman" w:eastAsia="仿宋" w:cs="Times New Roman"/>
                <w:spacing w:val="-1"/>
                <w:sz w:val="16"/>
                <w:szCs w:val="16"/>
              </w:rPr>
              <w:t>化及公园管理面积达6842546.11平方米，主要包含园林绿化养护、道路清洁、园林公园标识标牌、座凳和垃圾桶等各类景观设施设备的修护养护工作。市政养护工作包含：市政道路桥梁养护工作，如主车道、慢车道、人行道（护栏、路沿石、路平石、镶边石</w:t>
            </w:r>
          </w:p>
          <w:p>
            <w:pPr>
              <w:spacing w:line="348" w:lineRule="auto"/>
              <w:ind w:left="115" w:right="166" w:firstLine="6"/>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等）、排水管网、桥梁等设施修护养护工作。全区路</w:t>
            </w:r>
            <w:r>
              <w:rPr>
                <w:rFonts w:hint="default" w:ascii="Times New Roman" w:hAnsi="Times New Roman" w:eastAsia="仿宋" w:cs="Times New Roman"/>
                <w:spacing w:val="-2"/>
                <w:sz w:val="16"/>
                <w:szCs w:val="16"/>
              </w:rPr>
              <w:t>灯9759根（灯头19518盏）养护工作，包</w:t>
            </w:r>
            <w:r>
              <w:rPr>
                <w:rFonts w:hint="default" w:ascii="Times New Roman" w:hAnsi="Times New Roman" w:eastAsia="仿宋" w:cs="Times New Roman"/>
                <w:spacing w:val="-3"/>
                <w:sz w:val="16"/>
                <w:szCs w:val="16"/>
              </w:rPr>
              <w:t>含路灯箱</w:t>
            </w:r>
            <w:r>
              <w:rPr>
                <w:rFonts w:hint="default" w:ascii="Times New Roman" w:hAnsi="Times New Roman" w:eastAsia="仿宋" w:cs="Times New Roman"/>
                <w:spacing w:val="-1"/>
                <w:sz w:val="16"/>
                <w:szCs w:val="16"/>
              </w:rPr>
              <w:t>变、路灯电缆、路灯检查井、路灯配电柜等维修养护</w:t>
            </w:r>
            <w:r>
              <w:rPr>
                <w:rFonts w:hint="default" w:ascii="Times New Roman" w:hAnsi="Times New Roman" w:eastAsia="仿宋" w:cs="Times New Roman"/>
                <w:spacing w:val="1"/>
                <w:sz w:val="16"/>
                <w:szCs w:val="16"/>
              </w:rPr>
              <w:t>工作。而且通过智慧环卫系统，全天24小时监控工</w:t>
            </w:r>
            <w:r>
              <w:rPr>
                <w:rFonts w:hint="default" w:ascii="Times New Roman" w:hAnsi="Times New Roman" w:eastAsia="仿宋" w:cs="Times New Roman"/>
                <w:spacing w:val="-1"/>
                <w:sz w:val="16"/>
                <w:szCs w:val="16"/>
              </w:rPr>
              <w:t>作区域，如出现问题，立即报修整改。通过项目三个</w:t>
            </w:r>
            <w:r>
              <w:rPr>
                <w:rFonts w:hint="default" w:ascii="Times New Roman" w:hAnsi="Times New Roman" w:eastAsia="仿宋" w:cs="Times New Roman"/>
                <w:spacing w:val="-2"/>
                <w:sz w:val="16"/>
                <w:szCs w:val="16"/>
              </w:rPr>
              <w:t>方面落实了“市政、园林、环卫一体化”项目的养护</w:t>
            </w:r>
            <w:r>
              <w:rPr>
                <w:rFonts w:hint="default" w:ascii="Times New Roman" w:hAnsi="Times New Roman" w:eastAsia="仿宋" w:cs="Times New Roman"/>
                <w:spacing w:val="-1"/>
                <w:sz w:val="16"/>
                <w:szCs w:val="16"/>
              </w:rPr>
              <w:t>工作，保障市民不同需求，大大提升居民的生活质量</w:t>
            </w:r>
            <w:r>
              <w:rPr>
                <w:rFonts w:hint="default" w:ascii="Times New Roman" w:hAnsi="Times New Roman" w:eastAsia="仿宋" w:cs="Times New Roman"/>
                <w:spacing w:val="1"/>
                <w:sz w:val="16"/>
                <w:szCs w:val="16"/>
              </w:rPr>
              <w:t>和生活便捷度。综上，该指标得6分。</w:t>
            </w:r>
          </w:p>
        </w:tc>
        <w:tc>
          <w:tcPr>
            <w:tcW w:w="708" w:type="dxa"/>
            <w:vAlign w:val="top"/>
          </w:tcPr>
          <w:p>
            <w:pPr>
              <w:pStyle w:val="9"/>
              <w:spacing w:line="255"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spacing w:before="52" w:line="242" w:lineRule="auto"/>
              <w:ind w:left="274"/>
              <w:rPr>
                <w:rFonts w:hint="default" w:ascii="Times New Roman" w:hAnsi="Times New Roman" w:eastAsia="仿宋" w:cs="Times New Roman"/>
                <w:sz w:val="16"/>
                <w:szCs w:val="16"/>
              </w:rPr>
            </w:pPr>
            <w:r>
              <w:rPr>
                <w:rFonts w:hint="default" w:ascii="Times New Roman" w:hAnsi="Times New Roman" w:eastAsia="仿宋" w:cs="Times New Roman"/>
                <w:sz w:val="16"/>
                <w:szCs w:val="16"/>
              </w:rPr>
              <w:t>6</w:t>
            </w:r>
          </w:p>
        </w:tc>
        <w:tc>
          <w:tcPr>
            <w:tcW w:w="868" w:type="dxa"/>
            <w:vAlign w:val="top"/>
          </w:tcPr>
          <w:p>
            <w:pPr>
              <w:pStyle w:val="9"/>
              <w:spacing w:line="255"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pStyle w:val="9"/>
              <w:spacing w:line="256" w:lineRule="auto"/>
              <w:rPr>
                <w:rFonts w:hint="default" w:ascii="Times New Roman" w:hAnsi="Times New Roman" w:cs="Times New Roman"/>
              </w:rPr>
            </w:pPr>
          </w:p>
          <w:p>
            <w:pPr>
              <w:spacing w:before="52" w:line="242" w:lineRule="auto"/>
              <w:ind w:left="285"/>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100%</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16" w:type="default"/>
          <w:pgSz w:w="16839" w:h="11906"/>
          <w:pgMar w:top="1012" w:right="692" w:bottom="1256" w:left="668" w:header="0" w:footer="1003" w:gutter="0"/>
          <w:cols w:space="720" w:num="1"/>
        </w:sectPr>
      </w:pPr>
    </w:p>
    <w:p>
      <w:pPr>
        <w:spacing w:line="307" w:lineRule="auto"/>
        <w:rPr>
          <w:rFonts w:hint="default" w:ascii="Times New Roman" w:hAnsi="Times New Roman" w:cs="Times New Roman"/>
          <w:sz w:val="21"/>
        </w:rPr>
      </w:pPr>
    </w:p>
    <w:p>
      <w:pPr>
        <w:spacing w:before="78" w:line="222" w:lineRule="auto"/>
        <w:ind w:left="137" w:firstLine="466" w:firstLineChars="200"/>
        <w:rPr>
          <w:rFonts w:hint="default" w:ascii="Times New Roman" w:hAnsi="Times New Roman" w:eastAsia="仿宋" w:cs="Times New Roman"/>
          <w:sz w:val="24"/>
          <w:szCs w:val="24"/>
        </w:rPr>
      </w:pPr>
      <w:r>
        <w:rPr>
          <w:rFonts w:hint="default" w:ascii="Times New Roman" w:hAnsi="Times New Roman" w:eastAsia="仿宋" w:cs="Times New Roman"/>
          <w:b/>
          <w:bCs/>
          <w:spacing w:val="-4"/>
          <w:sz w:val="24"/>
          <w:szCs w:val="24"/>
        </w:rPr>
        <w:t>附件1：“市政、园林、环卫一体化”第三方服务采购项目绩效评价指标体系评</w:t>
      </w:r>
      <w:r>
        <w:rPr>
          <w:rFonts w:hint="default" w:ascii="Times New Roman" w:hAnsi="Times New Roman" w:eastAsia="仿宋" w:cs="Times New Roman"/>
          <w:b/>
          <w:bCs/>
          <w:spacing w:val="-5"/>
          <w:sz w:val="24"/>
          <w:szCs w:val="24"/>
        </w:rPr>
        <w:t>分表</w:t>
      </w:r>
    </w:p>
    <w:p>
      <w:pPr>
        <w:spacing w:line="160" w:lineRule="exact"/>
        <w:rPr>
          <w:rFonts w:hint="default" w:ascii="Times New Roman" w:hAnsi="Times New Roman" w:cs="Times New Roman"/>
        </w:rPr>
      </w:pPr>
    </w:p>
    <w:tbl>
      <w:tblPr>
        <w:tblStyle w:val="8"/>
        <w:tblW w:w="154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331"/>
        <w:gridCol w:w="1308"/>
        <w:gridCol w:w="756"/>
        <w:gridCol w:w="2008"/>
        <w:gridCol w:w="760"/>
        <w:gridCol w:w="1011"/>
        <w:gridCol w:w="1811"/>
        <w:gridCol w:w="3959"/>
        <w:gridCol w:w="708"/>
        <w:gridCol w:w="86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9" w:hRule="atLeast"/>
        </w:trPr>
        <w:tc>
          <w:tcPr>
            <w:tcW w:w="952" w:type="dxa"/>
            <w:vAlign w:val="top"/>
          </w:tcPr>
          <w:p>
            <w:pPr>
              <w:spacing w:before="96" w:line="222" w:lineRule="auto"/>
              <w:ind w:left="126"/>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一级指标</w:t>
            </w:r>
          </w:p>
        </w:tc>
        <w:tc>
          <w:tcPr>
            <w:tcW w:w="1331" w:type="dxa"/>
            <w:vAlign w:val="top"/>
          </w:tcPr>
          <w:p>
            <w:pPr>
              <w:spacing w:before="96"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二级指标</w:t>
            </w:r>
          </w:p>
        </w:tc>
        <w:tc>
          <w:tcPr>
            <w:tcW w:w="1308" w:type="dxa"/>
            <w:vAlign w:val="top"/>
          </w:tcPr>
          <w:p>
            <w:pPr>
              <w:spacing w:before="96" w:line="222" w:lineRule="auto"/>
              <w:ind w:left="120"/>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三级指标</w:t>
            </w:r>
          </w:p>
        </w:tc>
        <w:tc>
          <w:tcPr>
            <w:tcW w:w="756" w:type="dxa"/>
            <w:vAlign w:val="top"/>
          </w:tcPr>
          <w:p>
            <w:pPr>
              <w:spacing w:before="96" w:line="222" w:lineRule="auto"/>
              <w:ind w:left="203"/>
              <w:rPr>
                <w:rFonts w:hint="default" w:ascii="Times New Roman" w:hAnsi="Times New Roman" w:eastAsia="仿宋" w:cs="Times New Roman"/>
                <w:sz w:val="18"/>
                <w:szCs w:val="18"/>
              </w:rPr>
            </w:pPr>
            <w:r>
              <w:rPr>
                <w:rFonts w:hint="default" w:ascii="Times New Roman" w:hAnsi="Times New Roman" w:eastAsia="仿宋" w:cs="Times New Roman"/>
                <w:b/>
                <w:bCs/>
                <w:spacing w:val="-8"/>
                <w:sz w:val="18"/>
                <w:szCs w:val="18"/>
              </w:rPr>
              <w:t>权重</w:t>
            </w:r>
          </w:p>
        </w:tc>
        <w:tc>
          <w:tcPr>
            <w:tcW w:w="2008" w:type="dxa"/>
            <w:vAlign w:val="top"/>
          </w:tcPr>
          <w:p>
            <w:pPr>
              <w:spacing w:before="96" w:line="222" w:lineRule="auto"/>
              <w:ind w:left="478"/>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指标解释</w:t>
            </w:r>
          </w:p>
        </w:tc>
        <w:tc>
          <w:tcPr>
            <w:tcW w:w="760" w:type="dxa"/>
            <w:vAlign w:val="top"/>
          </w:tcPr>
          <w:p>
            <w:pPr>
              <w:spacing w:before="96" w:line="222" w:lineRule="auto"/>
              <w:ind w:left="115"/>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标杆值</w:t>
            </w:r>
          </w:p>
        </w:tc>
        <w:tc>
          <w:tcPr>
            <w:tcW w:w="1011" w:type="dxa"/>
            <w:vAlign w:val="top"/>
          </w:tcPr>
          <w:p>
            <w:pPr>
              <w:spacing w:before="96" w:line="222" w:lineRule="auto"/>
              <w:ind w:left="117"/>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评分依据</w:t>
            </w:r>
          </w:p>
        </w:tc>
        <w:tc>
          <w:tcPr>
            <w:tcW w:w="1811" w:type="dxa"/>
            <w:vAlign w:val="top"/>
          </w:tcPr>
          <w:p>
            <w:pPr>
              <w:spacing w:before="96" w:line="222" w:lineRule="auto"/>
              <w:ind w:left="479"/>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评价标准</w:t>
            </w:r>
          </w:p>
        </w:tc>
        <w:tc>
          <w:tcPr>
            <w:tcW w:w="3959" w:type="dxa"/>
            <w:vAlign w:val="top"/>
          </w:tcPr>
          <w:p>
            <w:pPr>
              <w:spacing w:before="96" w:line="222" w:lineRule="auto"/>
              <w:ind w:left="1383"/>
              <w:rPr>
                <w:rFonts w:hint="default" w:ascii="Times New Roman" w:hAnsi="Times New Roman" w:eastAsia="仿宋" w:cs="Times New Roman"/>
                <w:sz w:val="18"/>
                <w:szCs w:val="18"/>
              </w:rPr>
            </w:pPr>
            <w:r>
              <w:rPr>
                <w:rFonts w:hint="default" w:ascii="Times New Roman" w:hAnsi="Times New Roman" w:eastAsia="仿宋" w:cs="Times New Roman"/>
                <w:b/>
                <w:bCs/>
                <w:spacing w:val="-5"/>
                <w:sz w:val="18"/>
                <w:szCs w:val="18"/>
              </w:rPr>
              <w:t>评分过程</w:t>
            </w:r>
          </w:p>
        </w:tc>
        <w:tc>
          <w:tcPr>
            <w:tcW w:w="708" w:type="dxa"/>
            <w:vAlign w:val="top"/>
          </w:tcPr>
          <w:p>
            <w:pPr>
              <w:spacing w:before="96"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9"/>
                <w:sz w:val="18"/>
                <w:szCs w:val="18"/>
              </w:rPr>
              <w:t>得分</w:t>
            </w:r>
          </w:p>
        </w:tc>
        <w:tc>
          <w:tcPr>
            <w:tcW w:w="868" w:type="dxa"/>
            <w:vAlign w:val="top"/>
          </w:tcPr>
          <w:p>
            <w:pPr>
              <w:spacing w:before="96" w:line="222" w:lineRule="auto"/>
              <w:ind w:left="119"/>
              <w:rPr>
                <w:rFonts w:hint="default" w:ascii="Times New Roman" w:hAnsi="Times New Roman" w:eastAsia="仿宋" w:cs="Times New Roman"/>
                <w:sz w:val="18"/>
                <w:szCs w:val="18"/>
              </w:rPr>
            </w:pPr>
            <w:r>
              <w:rPr>
                <w:rFonts w:hint="default" w:ascii="Times New Roman" w:hAnsi="Times New Roman" w:eastAsia="仿宋" w:cs="Times New Roman"/>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421" w:hRule="atLeast"/>
        </w:trPr>
        <w:tc>
          <w:tcPr>
            <w:tcW w:w="952" w:type="dxa"/>
            <w:vAlign w:val="top"/>
          </w:tcPr>
          <w:p>
            <w:pPr>
              <w:pStyle w:val="9"/>
              <w:spacing w:line="282" w:lineRule="auto"/>
              <w:rPr>
                <w:rFonts w:hint="default" w:ascii="Times New Roman" w:hAnsi="Times New Roman" w:cs="Times New Roman"/>
              </w:rPr>
            </w:pPr>
          </w:p>
          <w:p>
            <w:pPr>
              <w:pStyle w:val="9"/>
              <w:spacing w:line="282" w:lineRule="auto"/>
              <w:rPr>
                <w:rFonts w:hint="default" w:ascii="Times New Roman" w:hAnsi="Times New Roman" w:cs="Times New Roman"/>
              </w:rPr>
            </w:pPr>
          </w:p>
          <w:p>
            <w:pPr>
              <w:pStyle w:val="9"/>
              <w:spacing w:line="282" w:lineRule="auto"/>
              <w:rPr>
                <w:rFonts w:hint="default" w:ascii="Times New Roman" w:hAnsi="Times New Roman" w:cs="Times New Roman"/>
              </w:rPr>
            </w:pPr>
          </w:p>
          <w:p>
            <w:pPr>
              <w:pStyle w:val="9"/>
              <w:spacing w:line="283" w:lineRule="auto"/>
              <w:rPr>
                <w:rFonts w:hint="default" w:ascii="Times New Roman" w:hAnsi="Times New Roman" w:cs="Times New Roman"/>
              </w:rPr>
            </w:pPr>
          </w:p>
          <w:p>
            <w:pPr>
              <w:pStyle w:val="9"/>
              <w:spacing w:line="283" w:lineRule="auto"/>
              <w:rPr>
                <w:rFonts w:hint="default" w:ascii="Times New Roman" w:hAnsi="Times New Roman" w:cs="Times New Roman"/>
              </w:rPr>
            </w:pPr>
          </w:p>
          <w:p>
            <w:pPr>
              <w:spacing w:before="52" w:line="366" w:lineRule="auto"/>
              <w:ind w:left="118" w:right="210" w:hanging="9"/>
              <w:rPr>
                <w:rFonts w:hint="default" w:ascii="Times New Roman" w:hAnsi="Times New Roman" w:eastAsia="仿宋" w:cs="Times New Roman"/>
                <w:sz w:val="16"/>
                <w:szCs w:val="16"/>
              </w:rPr>
            </w:pPr>
            <w:r>
              <w:rPr>
                <w:rFonts w:hint="default" w:ascii="Times New Roman" w:hAnsi="Times New Roman" w:eastAsia="仿宋" w:cs="Times New Roman"/>
                <w:spacing w:val="-4"/>
                <w:sz w:val="16"/>
                <w:szCs w:val="16"/>
              </w:rPr>
              <w:t>D项目效</w:t>
            </w:r>
            <w:r>
              <w:rPr>
                <w:rFonts w:hint="default" w:ascii="Times New Roman" w:hAnsi="Times New Roman" w:eastAsia="仿宋" w:cs="Times New Roman"/>
                <w:spacing w:val="-5"/>
                <w:sz w:val="16"/>
                <w:szCs w:val="16"/>
              </w:rPr>
              <w:t>益（20）</w:t>
            </w:r>
          </w:p>
        </w:tc>
        <w:tc>
          <w:tcPr>
            <w:tcW w:w="1331" w:type="dxa"/>
            <w:vAlign w:val="top"/>
          </w:tcPr>
          <w:p>
            <w:pPr>
              <w:pStyle w:val="9"/>
              <w:spacing w:line="261" w:lineRule="auto"/>
              <w:rPr>
                <w:rFonts w:hint="default" w:ascii="Times New Roman" w:hAnsi="Times New Roman" w:cs="Times New Roman"/>
              </w:rPr>
            </w:pPr>
          </w:p>
          <w:p>
            <w:pPr>
              <w:pStyle w:val="9"/>
              <w:spacing w:line="261" w:lineRule="auto"/>
              <w:rPr>
                <w:rFonts w:hint="default" w:ascii="Times New Roman" w:hAnsi="Times New Roman" w:cs="Times New Roman"/>
              </w:rPr>
            </w:pPr>
          </w:p>
          <w:p>
            <w:pPr>
              <w:pStyle w:val="9"/>
              <w:spacing w:line="261" w:lineRule="auto"/>
              <w:rPr>
                <w:rFonts w:hint="default" w:ascii="Times New Roman" w:hAnsi="Times New Roman" w:cs="Times New Roman"/>
              </w:rPr>
            </w:pPr>
          </w:p>
          <w:p>
            <w:pPr>
              <w:pStyle w:val="9"/>
              <w:spacing w:line="261" w:lineRule="auto"/>
              <w:rPr>
                <w:rFonts w:hint="default" w:ascii="Times New Roman" w:hAnsi="Times New Roman" w:cs="Times New Roman"/>
              </w:rPr>
            </w:pPr>
          </w:p>
          <w:p>
            <w:pPr>
              <w:pStyle w:val="9"/>
              <w:spacing w:line="261"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spacing w:before="52" w:line="224" w:lineRule="auto"/>
              <w:ind w:left="105"/>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D2满意度（6）</w:t>
            </w:r>
          </w:p>
        </w:tc>
        <w:tc>
          <w:tcPr>
            <w:tcW w:w="1308" w:type="dxa"/>
            <w:vAlign w:val="top"/>
          </w:tcPr>
          <w:p>
            <w:pPr>
              <w:pStyle w:val="9"/>
              <w:spacing w:line="282" w:lineRule="auto"/>
              <w:rPr>
                <w:rFonts w:hint="default" w:ascii="Times New Roman" w:hAnsi="Times New Roman" w:cs="Times New Roman"/>
              </w:rPr>
            </w:pPr>
          </w:p>
          <w:p>
            <w:pPr>
              <w:pStyle w:val="9"/>
              <w:spacing w:line="282" w:lineRule="auto"/>
              <w:rPr>
                <w:rFonts w:hint="default" w:ascii="Times New Roman" w:hAnsi="Times New Roman" w:cs="Times New Roman"/>
              </w:rPr>
            </w:pPr>
          </w:p>
          <w:p>
            <w:pPr>
              <w:pStyle w:val="9"/>
              <w:spacing w:line="282" w:lineRule="auto"/>
              <w:rPr>
                <w:rFonts w:hint="default" w:ascii="Times New Roman" w:hAnsi="Times New Roman" w:cs="Times New Roman"/>
              </w:rPr>
            </w:pPr>
          </w:p>
          <w:p>
            <w:pPr>
              <w:pStyle w:val="9"/>
              <w:spacing w:line="283" w:lineRule="auto"/>
              <w:rPr>
                <w:rFonts w:hint="default" w:ascii="Times New Roman" w:hAnsi="Times New Roman" w:cs="Times New Roman"/>
              </w:rPr>
            </w:pPr>
          </w:p>
          <w:p>
            <w:pPr>
              <w:pStyle w:val="9"/>
              <w:spacing w:line="283" w:lineRule="auto"/>
              <w:rPr>
                <w:rFonts w:hint="default" w:ascii="Times New Roman" w:hAnsi="Times New Roman" w:cs="Times New Roman"/>
              </w:rPr>
            </w:pPr>
          </w:p>
          <w:p>
            <w:pPr>
              <w:spacing w:before="52" w:line="361" w:lineRule="auto"/>
              <w:ind w:left="114" w:right="198" w:hanging="8"/>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D201城市居民</w:t>
            </w:r>
            <w:r>
              <w:rPr>
                <w:rFonts w:hint="default" w:ascii="Times New Roman" w:hAnsi="Times New Roman" w:eastAsia="仿宋" w:cs="Times New Roman"/>
                <w:spacing w:val="-4"/>
                <w:sz w:val="16"/>
                <w:szCs w:val="16"/>
              </w:rPr>
              <w:t>满意度</w:t>
            </w:r>
          </w:p>
        </w:tc>
        <w:tc>
          <w:tcPr>
            <w:tcW w:w="756" w:type="dxa"/>
            <w:vAlign w:val="top"/>
          </w:tcPr>
          <w:p>
            <w:pPr>
              <w:pStyle w:val="9"/>
              <w:spacing w:line="261" w:lineRule="auto"/>
              <w:rPr>
                <w:rFonts w:hint="default" w:ascii="Times New Roman" w:hAnsi="Times New Roman" w:cs="Times New Roman"/>
              </w:rPr>
            </w:pPr>
          </w:p>
          <w:p>
            <w:pPr>
              <w:pStyle w:val="9"/>
              <w:spacing w:line="261" w:lineRule="auto"/>
              <w:rPr>
                <w:rFonts w:hint="default" w:ascii="Times New Roman" w:hAnsi="Times New Roman" w:cs="Times New Roman"/>
              </w:rPr>
            </w:pPr>
          </w:p>
          <w:p>
            <w:pPr>
              <w:pStyle w:val="9"/>
              <w:spacing w:line="261" w:lineRule="auto"/>
              <w:rPr>
                <w:rFonts w:hint="default" w:ascii="Times New Roman" w:hAnsi="Times New Roman" w:cs="Times New Roman"/>
              </w:rPr>
            </w:pPr>
          </w:p>
          <w:p>
            <w:pPr>
              <w:pStyle w:val="9"/>
              <w:spacing w:line="261"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spacing w:before="52" w:line="242" w:lineRule="auto"/>
              <w:ind w:left="271"/>
              <w:rPr>
                <w:rFonts w:hint="default" w:ascii="Times New Roman" w:hAnsi="Times New Roman" w:eastAsia="仿宋" w:cs="Times New Roman"/>
                <w:sz w:val="16"/>
                <w:szCs w:val="16"/>
              </w:rPr>
            </w:pPr>
            <w:r>
              <w:rPr>
                <w:rFonts w:hint="default" w:ascii="Times New Roman" w:hAnsi="Times New Roman" w:eastAsia="仿宋" w:cs="Times New Roman"/>
                <w:sz w:val="16"/>
                <w:szCs w:val="16"/>
              </w:rPr>
              <w:t>6</w:t>
            </w:r>
          </w:p>
        </w:tc>
        <w:tc>
          <w:tcPr>
            <w:tcW w:w="2008" w:type="dxa"/>
            <w:vAlign w:val="top"/>
          </w:tcPr>
          <w:p>
            <w:pPr>
              <w:pStyle w:val="9"/>
              <w:spacing w:line="282" w:lineRule="auto"/>
              <w:rPr>
                <w:rFonts w:hint="default" w:ascii="Times New Roman" w:hAnsi="Times New Roman" w:cs="Times New Roman"/>
              </w:rPr>
            </w:pPr>
          </w:p>
          <w:p>
            <w:pPr>
              <w:pStyle w:val="9"/>
              <w:spacing w:line="282" w:lineRule="auto"/>
              <w:rPr>
                <w:rFonts w:hint="default" w:ascii="Times New Roman" w:hAnsi="Times New Roman" w:cs="Times New Roman"/>
              </w:rPr>
            </w:pPr>
          </w:p>
          <w:p>
            <w:pPr>
              <w:pStyle w:val="9"/>
              <w:spacing w:line="282" w:lineRule="auto"/>
              <w:rPr>
                <w:rFonts w:hint="default" w:ascii="Times New Roman" w:hAnsi="Times New Roman" w:cs="Times New Roman"/>
              </w:rPr>
            </w:pPr>
          </w:p>
          <w:p>
            <w:pPr>
              <w:pStyle w:val="9"/>
              <w:spacing w:line="283" w:lineRule="auto"/>
              <w:rPr>
                <w:rFonts w:hint="default" w:ascii="Times New Roman" w:hAnsi="Times New Roman" w:cs="Times New Roman"/>
              </w:rPr>
            </w:pPr>
          </w:p>
          <w:p>
            <w:pPr>
              <w:pStyle w:val="9"/>
              <w:spacing w:line="283" w:lineRule="auto"/>
              <w:rPr>
                <w:rFonts w:hint="default" w:ascii="Times New Roman" w:hAnsi="Times New Roman" w:cs="Times New Roman"/>
              </w:rPr>
            </w:pPr>
          </w:p>
          <w:p>
            <w:pPr>
              <w:spacing w:before="52" w:line="361" w:lineRule="auto"/>
              <w:ind w:left="115" w:right="137"/>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考察城市居民对本项目开</w:t>
            </w:r>
            <w:r>
              <w:rPr>
                <w:rFonts w:hint="default" w:ascii="Times New Roman" w:hAnsi="Times New Roman" w:eastAsia="仿宋" w:cs="Times New Roman"/>
                <w:spacing w:val="-2"/>
                <w:sz w:val="16"/>
                <w:szCs w:val="16"/>
              </w:rPr>
              <w:t>展的满意度程度。</w:t>
            </w:r>
          </w:p>
        </w:tc>
        <w:tc>
          <w:tcPr>
            <w:tcW w:w="760" w:type="dxa"/>
            <w:vAlign w:val="top"/>
          </w:tcPr>
          <w:p>
            <w:pPr>
              <w:pStyle w:val="9"/>
              <w:spacing w:line="261" w:lineRule="auto"/>
              <w:rPr>
                <w:rFonts w:hint="default" w:ascii="Times New Roman" w:hAnsi="Times New Roman" w:cs="Times New Roman"/>
              </w:rPr>
            </w:pPr>
          </w:p>
          <w:p>
            <w:pPr>
              <w:pStyle w:val="9"/>
              <w:spacing w:line="261" w:lineRule="auto"/>
              <w:rPr>
                <w:rFonts w:hint="default" w:ascii="Times New Roman" w:hAnsi="Times New Roman" w:cs="Times New Roman"/>
              </w:rPr>
            </w:pPr>
          </w:p>
          <w:p>
            <w:pPr>
              <w:pStyle w:val="9"/>
              <w:spacing w:line="261" w:lineRule="auto"/>
              <w:rPr>
                <w:rFonts w:hint="default" w:ascii="Times New Roman" w:hAnsi="Times New Roman" w:cs="Times New Roman"/>
              </w:rPr>
            </w:pPr>
          </w:p>
          <w:p>
            <w:pPr>
              <w:pStyle w:val="9"/>
              <w:spacing w:line="261"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spacing w:before="52" w:line="242" w:lineRule="auto"/>
              <w:ind w:left="126"/>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≥95%</w:t>
            </w:r>
          </w:p>
        </w:tc>
        <w:tc>
          <w:tcPr>
            <w:tcW w:w="1011" w:type="dxa"/>
            <w:vAlign w:val="top"/>
          </w:tcPr>
          <w:p>
            <w:pPr>
              <w:pStyle w:val="9"/>
              <w:spacing w:line="261" w:lineRule="auto"/>
              <w:rPr>
                <w:rFonts w:hint="default" w:ascii="Times New Roman" w:hAnsi="Times New Roman" w:cs="Times New Roman"/>
              </w:rPr>
            </w:pPr>
          </w:p>
          <w:p>
            <w:pPr>
              <w:pStyle w:val="9"/>
              <w:spacing w:line="261" w:lineRule="auto"/>
              <w:rPr>
                <w:rFonts w:hint="default" w:ascii="Times New Roman" w:hAnsi="Times New Roman" w:cs="Times New Roman"/>
              </w:rPr>
            </w:pPr>
          </w:p>
          <w:p>
            <w:pPr>
              <w:pStyle w:val="9"/>
              <w:spacing w:line="261" w:lineRule="auto"/>
              <w:rPr>
                <w:rFonts w:hint="default" w:ascii="Times New Roman" w:hAnsi="Times New Roman" w:cs="Times New Roman"/>
              </w:rPr>
            </w:pPr>
          </w:p>
          <w:p>
            <w:pPr>
              <w:pStyle w:val="9"/>
              <w:spacing w:line="261" w:lineRule="auto"/>
              <w:rPr>
                <w:rFonts w:hint="default" w:ascii="Times New Roman" w:hAnsi="Times New Roman" w:cs="Times New Roman"/>
              </w:rPr>
            </w:pPr>
          </w:p>
          <w:p>
            <w:pPr>
              <w:pStyle w:val="9"/>
              <w:spacing w:line="261"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spacing w:before="52" w:line="224" w:lineRule="auto"/>
              <w:ind w:left="116"/>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计划标准</w:t>
            </w:r>
          </w:p>
        </w:tc>
        <w:tc>
          <w:tcPr>
            <w:tcW w:w="1811" w:type="dxa"/>
            <w:vAlign w:val="top"/>
          </w:tcPr>
          <w:p>
            <w:pPr>
              <w:pStyle w:val="9"/>
              <w:spacing w:line="275" w:lineRule="auto"/>
              <w:rPr>
                <w:rFonts w:hint="default" w:ascii="Times New Roman" w:hAnsi="Times New Roman" w:cs="Times New Roman"/>
              </w:rPr>
            </w:pPr>
          </w:p>
          <w:p>
            <w:pPr>
              <w:pStyle w:val="9"/>
              <w:spacing w:line="275" w:lineRule="auto"/>
              <w:rPr>
                <w:rFonts w:hint="default" w:ascii="Times New Roman" w:hAnsi="Times New Roman" w:cs="Times New Roman"/>
              </w:rPr>
            </w:pPr>
          </w:p>
          <w:p>
            <w:pPr>
              <w:pStyle w:val="9"/>
              <w:spacing w:line="276" w:lineRule="auto"/>
              <w:rPr>
                <w:rFonts w:hint="default" w:ascii="Times New Roman" w:hAnsi="Times New Roman" w:cs="Times New Roman"/>
              </w:rPr>
            </w:pPr>
          </w:p>
          <w:p>
            <w:pPr>
              <w:pStyle w:val="9"/>
              <w:spacing w:line="276" w:lineRule="auto"/>
              <w:rPr>
                <w:rFonts w:hint="default" w:ascii="Times New Roman" w:hAnsi="Times New Roman" w:cs="Times New Roman"/>
              </w:rPr>
            </w:pPr>
          </w:p>
          <w:p>
            <w:pPr>
              <w:spacing w:before="52" w:line="224" w:lineRule="auto"/>
              <w:ind w:left="117"/>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达到目标值得满分，</w:t>
            </w:r>
          </w:p>
          <w:p>
            <w:pPr>
              <w:spacing w:before="118" w:line="365" w:lineRule="auto"/>
              <w:ind w:left="113" w:right="220" w:firstLine="1"/>
              <w:jc w:val="both"/>
              <w:rPr>
                <w:rFonts w:hint="default" w:ascii="Times New Roman" w:hAnsi="Times New Roman" w:eastAsia="仿宋" w:cs="Times New Roman"/>
                <w:sz w:val="16"/>
                <w:szCs w:val="16"/>
              </w:rPr>
            </w:pPr>
            <w:r>
              <w:rPr>
                <w:rFonts w:hint="default" w:ascii="Times New Roman" w:hAnsi="Times New Roman" w:eastAsia="仿宋" w:cs="Times New Roman"/>
                <w:spacing w:val="-3"/>
                <w:sz w:val="16"/>
                <w:szCs w:val="16"/>
              </w:rPr>
              <w:t>低于则每降低1%扣除</w:t>
            </w:r>
            <w:r>
              <w:rPr>
                <w:rFonts w:hint="default" w:ascii="Times New Roman" w:hAnsi="Times New Roman" w:eastAsia="仿宋" w:cs="Times New Roman"/>
                <w:spacing w:val="-1"/>
                <w:sz w:val="16"/>
                <w:szCs w:val="16"/>
              </w:rPr>
              <w:t>5%的权重分，扣完为</w:t>
            </w:r>
            <w:r>
              <w:rPr>
                <w:rFonts w:hint="default" w:ascii="Times New Roman" w:hAnsi="Times New Roman" w:eastAsia="仿宋" w:cs="Times New Roman"/>
                <w:spacing w:val="-4"/>
                <w:sz w:val="16"/>
                <w:szCs w:val="16"/>
              </w:rPr>
              <w:t>止。</w:t>
            </w:r>
          </w:p>
        </w:tc>
        <w:tc>
          <w:tcPr>
            <w:tcW w:w="3959" w:type="dxa"/>
            <w:vAlign w:val="top"/>
          </w:tcPr>
          <w:p>
            <w:pPr>
              <w:pStyle w:val="9"/>
              <w:spacing w:line="327" w:lineRule="auto"/>
              <w:rPr>
                <w:rFonts w:hint="default" w:ascii="Times New Roman" w:hAnsi="Times New Roman" w:cs="Times New Roman"/>
              </w:rPr>
            </w:pPr>
          </w:p>
          <w:p>
            <w:pPr>
              <w:spacing w:before="52" w:line="360" w:lineRule="auto"/>
              <w:ind w:left="116" w:right="166"/>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根据该项目主要实施内容，项目主要考察城市居民对本项目开展的满意度程度，评价组随机发放</w:t>
            </w:r>
            <w:r>
              <w:rPr>
                <w:rFonts w:hint="default" w:ascii="Times New Roman" w:hAnsi="Times New Roman" w:eastAsia="仿宋" w:cs="Times New Roman"/>
                <w:spacing w:val="-2"/>
                <w:sz w:val="16"/>
                <w:szCs w:val="16"/>
              </w:rPr>
              <w:t>50份问卷，实际收回50份问卷，对城市道路环卫清洁工作</w:t>
            </w:r>
            <w:r>
              <w:rPr>
                <w:rFonts w:hint="default" w:ascii="Times New Roman" w:hAnsi="Times New Roman" w:eastAsia="仿宋" w:cs="Times New Roman"/>
                <w:spacing w:val="-1"/>
                <w:sz w:val="16"/>
                <w:szCs w:val="16"/>
              </w:rPr>
              <w:t>满意度、对城市公园、广场绿化和保洁工作满意</w:t>
            </w:r>
          </w:p>
          <w:p>
            <w:pPr>
              <w:spacing w:before="1" w:line="359" w:lineRule="auto"/>
              <w:ind w:left="120" w:right="166" w:hanging="4"/>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度、对每日居住区域的垃圾回收工作满意度、对每日市政清扫、清运车辆的出行是否造成您出行影响方</w:t>
            </w:r>
          </w:p>
          <w:p>
            <w:pPr>
              <w:spacing w:before="2" w:line="360" w:lineRule="auto"/>
              <w:ind w:left="116" w:right="207" w:firstLine="3"/>
              <w:rPr>
                <w:rFonts w:hint="default" w:ascii="Times New Roman" w:hAnsi="Times New Roman" w:eastAsia="仿宋" w:cs="Times New Roman"/>
                <w:sz w:val="16"/>
                <w:szCs w:val="16"/>
              </w:rPr>
            </w:pPr>
            <w:r>
              <w:rPr>
                <w:rFonts w:hint="default" w:ascii="Times New Roman" w:hAnsi="Times New Roman" w:eastAsia="仿宋" w:cs="Times New Roman"/>
                <w:spacing w:val="-2"/>
                <w:sz w:val="16"/>
                <w:szCs w:val="16"/>
              </w:rPr>
              <w:t>面、对城区内市政养护的设施设备满意度，5方面做</w:t>
            </w:r>
            <w:r>
              <w:rPr>
                <w:rFonts w:hint="default" w:ascii="Times New Roman" w:hAnsi="Times New Roman" w:eastAsia="仿宋" w:cs="Times New Roman"/>
                <w:spacing w:val="1"/>
                <w:sz w:val="16"/>
                <w:szCs w:val="16"/>
              </w:rPr>
              <w:t>出满意度调查，受益对象整体满意度达99%。综上，</w:t>
            </w:r>
            <w:r>
              <w:rPr>
                <w:rFonts w:hint="default" w:ascii="Times New Roman" w:hAnsi="Times New Roman" w:eastAsia="仿宋" w:cs="Times New Roman"/>
                <w:spacing w:val="2"/>
                <w:sz w:val="16"/>
                <w:szCs w:val="16"/>
              </w:rPr>
              <w:t>该指标得6分。</w:t>
            </w:r>
          </w:p>
        </w:tc>
        <w:tc>
          <w:tcPr>
            <w:tcW w:w="708" w:type="dxa"/>
            <w:vAlign w:val="top"/>
          </w:tcPr>
          <w:p>
            <w:pPr>
              <w:pStyle w:val="9"/>
              <w:spacing w:line="261" w:lineRule="auto"/>
              <w:rPr>
                <w:rFonts w:hint="default" w:ascii="Times New Roman" w:hAnsi="Times New Roman" w:cs="Times New Roman"/>
              </w:rPr>
            </w:pPr>
          </w:p>
          <w:p>
            <w:pPr>
              <w:pStyle w:val="9"/>
              <w:spacing w:line="261" w:lineRule="auto"/>
              <w:rPr>
                <w:rFonts w:hint="default" w:ascii="Times New Roman" w:hAnsi="Times New Roman" w:cs="Times New Roman"/>
              </w:rPr>
            </w:pPr>
          </w:p>
          <w:p>
            <w:pPr>
              <w:pStyle w:val="9"/>
              <w:spacing w:line="261" w:lineRule="auto"/>
              <w:rPr>
                <w:rFonts w:hint="default" w:ascii="Times New Roman" w:hAnsi="Times New Roman" w:cs="Times New Roman"/>
              </w:rPr>
            </w:pPr>
          </w:p>
          <w:p>
            <w:pPr>
              <w:pStyle w:val="9"/>
              <w:spacing w:line="261"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spacing w:before="52" w:line="242" w:lineRule="auto"/>
              <w:ind w:left="274"/>
              <w:rPr>
                <w:rFonts w:hint="default" w:ascii="Times New Roman" w:hAnsi="Times New Roman" w:eastAsia="仿宋" w:cs="Times New Roman"/>
                <w:sz w:val="16"/>
                <w:szCs w:val="16"/>
              </w:rPr>
            </w:pPr>
            <w:r>
              <w:rPr>
                <w:rFonts w:hint="default" w:ascii="Times New Roman" w:hAnsi="Times New Roman" w:eastAsia="仿宋" w:cs="Times New Roman"/>
                <w:sz w:val="16"/>
                <w:szCs w:val="16"/>
              </w:rPr>
              <w:t>6</w:t>
            </w:r>
          </w:p>
        </w:tc>
        <w:tc>
          <w:tcPr>
            <w:tcW w:w="868" w:type="dxa"/>
            <w:vAlign w:val="top"/>
          </w:tcPr>
          <w:p>
            <w:pPr>
              <w:pStyle w:val="9"/>
              <w:spacing w:line="261" w:lineRule="auto"/>
              <w:rPr>
                <w:rFonts w:hint="default" w:ascii="Times New Roman" w:hAnsi="Times New Roman" w:cs="Times New Roman"/>
              </w:rPr>
            </w:pPr>
          </w:p>
          <w:p>
            <w:pPr>
              <w:pStyle w:val="9"/>
              <w:spacing w:line="261" w:lineRule="auto"/>
              <w:rPr>
                <w:rFonts w:hint="default" w:ascii="Times New Roman" w:hAnsi="Times New Roman" w:cs="Times New Roman"/>
              </w:rPr>
            </w:pPr>
          </w:p>
          <w:p>
            <w:pPr>
              <w:pStyle w:val="9"/>
              <w:spacing w:line="261" w:lineRule="auto"/>
              <w:rPr>
                <w:rFonts w:hint="default" w:ascii="Times New Roman" w:hAnsi="Times New Roman" w:cs="Times New Roman"/>
              </w:rPr>
            </w:pPr>
          </w:p>
          <w:p>
            <w:pPr>
              <w:pStyle w:val="9"/>
              <w:spacing w:line="261"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pStyle w:val="9"/>
              <w:spacing w:line="262" w:lineRule="auto"/>
              <w:rPr>
                <w:rFonts w:hint="default" w:ascii="Times New Roman" w:hAnsi="Times New Roman" w:cs="Times New Roman"/>
              </w:rPr>
            </w:pPr>
          </w:p>
          <w:p>
            <w:pPr>
              <w:spacing w:before="52" w:line="242" w:lineRule="auto"/>
              <w:ind w:left="285"/>
              <w:rPr>
                <w:rFonts w:hint="default" w:ascii="Times New Roman" w:hAnsi="Times New Roman" w:eastAsia="仿宋" w:cs="Times New Roman"/>
                <w:sz w:val="16"/>
                <w:szCs w:val="16"/>
              </w:rPr>
            </w:pPr>
            <w:r>
              <w:rPr>
                <w:rFonts w:hint="default" w:ascii="Times New Roman" w:hAnsi="Times New Roman" w:eastAsia="仿宋" w:cs="Times New Roman"/>
                <w:spacing w:val="-5"/>
                <w:sz w:val="16"/>
                <w:szCs w:val="16"/>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49" w:hRule="atLeast"/>
        </w:trPr>
        <w:tc>
          <w:tcPr>
            <w:tcW w:w="952" w:type="dxa"/>
            <w:vAlign w:val="top"/>
          </w:tcPr>
          <w:p>
            <w:pPr>
              <w:spacing w:before="94" w:line="225" w:lineRule="auto"/>
              <w:ind w:left="445"/>
              <w:rPr>
                <w:rFonts w:hint="default" w:ascii="Times New Roman" w:hAnsi="Times New Roman" w:eastAsia="仿宋" w:cs="Times New Roman"/>
                <w:sz w:val="16"/>
                <w:szCs w:val="16"/>
              </w:rPr>
            </w:pPr>
            <w:r>
              <w:rPr>
                <w:rFonts w:hint="default" w:ascii="Times New Roman" w:hAnsi="Times New Roman" w:eastAsia="仿宋" w:cs="Times New Roman"/>
                <w:spacing w:val="-8"/>
                <w:sz w:val="16"/>
                <w:szCs w:val="16"/>
              </w:rPr>
              <w:t>总分</w:t>
            </w:r>
          </w:p>
        </w:tc>
        <w:tc>
          <w:tcPr>
            <w:tcW w:w="1331" w:type="dxa"/>
            <w:vAlign w:val="top"/>
          </w:tcPr>
          <w:p>
            <w:pPr>
              <w:pStyle w:val="9"/>
              <w:rPr>
                <w:rFonts w:hint="default" w:ascii="Times New Roman" w:hAnsi="Times New Roman" w:cs="Times New Roman"/>
              </w:rPr>
            </w:pPr>
          </w:p>
        </w:tc>
        <w:tc>
          <w:tcPr>
            <w:tcW w:w="1308" w:type="dxa"/>
            <w:vAlign w:val="top"/>
          </w:tcPr>
          <w:p>
            <w:pPr>
              <w:pStyle w:val="9"/>
              <w:rPr>
                <w:rFonts w:hint="default" w:ascii="Times New Roman" w:hAnsi="Times New Roman" w:cs="Times New Roman"/>
              </w:rPr>
            </w:pPr>
          </w:p>
        </w:tc>
        <w:tc>
          <w:tcPr>
            <w:tcW w:w="756" w:type="dxa"/>
            <w:vAlign w:val="top"/>
          </w:tcPr>
          <w:p>
            <w:pPr>
              <w:spacing w:before="94" w:line="242" w:lineRule="auto"/>
              <w:ind w:left="121"/>
              <w:rPr>
                <w:rFonts w:hint="default" w:ascii="Times New Roman" w:hAnsi="Times New Roman" w:eastAsia="仿宋" w:cs="Times New Roman"/>
                <w:sz w:val="16"/>
                <w:szCs w:val="16"/>
              </w:rPr>
            </w:pPr>
            <w:r>
              <w:rPr>
                <w:rFonts w:hint="default" w:ascii="Times New Roman" w:hAnsi="Times New Roman" w:eastAsia="仿宋" w:cs="Times New Roman"/>
                <w:spacing w:val="-6"/>
                <w:sz w:val="16"/>
                <w:szCs w:val="16"/>
              </w:rPr>
              <w:t>100</w:t>
            </w:r>
          </w:p>
        </w:tc>
        <w:tc>
          <w:tcPr>
            <w:tcW w:w="2008" w:type="dxa"/>
            <w:vAlign w:val="top"/>
          </w:tcPr>
          <w:p>
            <w:pPr>
              <w:pStyle w:val="9"/>
              <w:rPr>
                <w:rFonts w:hint="default" w:ascii="Times New Roman" w:hAnsi="Times New Roman" w:cs="Times New Roman"/>
              </w:rPr>
            </w:pPr>
          </w:p>
        </w:tc>
        <w:tc>
          <w:tcPr>
            <w:tcW w:w="760" w:type="dxa"/>
            <w:vAlign w:val="top"/>
          </w:tcPr>
          <w:p>
            <w:pPr>
              <w:pStyle w:val="9"/>
              <w:rPr>
                <w:rFonts w:hint="default" w:ascii="Times New Roman" w:hAnsi="Times New Roman" w:cs="Times New Roman"/>
              </w:rPr>
            </w:pPr>
          </w:p>
        </w:tc>
        <w:tc>
          <w:tcPr>
            <w:tcW w:w="1011" w:type="dxa"/>
            <w:vAlign w:val="top"/>
          </w:tcPr>
          <w:p>
            <w:pPr>
              <w:pStyle w:val="9"/>
              <w:rPr>
                <w:rFonts w:hint="default" w:ascii="Times New Roman" w:hAnsi="Times New Roman" w:cs="Times New Roman"/>
              </w:rPr>
            </w:pPr>
          </w:p>
        </w:tc>
        <w:tc>
          <w:tcPr>
            <w:tcW w:w="1811" w:type="dxa"/>
            <w:vAlign w:val="top"/>
          </w:tcPr>
          <w:p>
            <w:pPr>
              <w:pStyle w:val="9"/>
              <w:rPr>
                <w:rFonts w:hint="default" w:ascii="Times New Roman" w:hAnsi="Times New Roman" w:cs="Times New Roman"/>
              </w:rPr>
            </w:pPr>
          </w:p>
        </w:tc>
        <w:tc>
          <w:tcPr>
            <w:tcW w:w="3959" w:type="dxa"/>
            <w:vAlign w:val="top"/>
          </w:tcPr>
          <w:p>
            <w:pPr>
              <w:pStyle w:val="9"/>
              <w:rPr>
                <w:rFonts w:hint="default" w:ascii="Times New Roman" w:hAnsi="Times New Roman" w:cs="Times New Roman"/>
              </w:rPr>
            </w:pPr>
          </w:p>
        </w:tc>
        <w:tc>
          <w:tcPr>
            <w:tcW w:w="708" w:type="dxa"/>
            <w:vAlign w:val="top"/>
          </w:tcPr>
          <w:p>
            <w:pPr>
              <w:spacing w:before="94" w:line="242" w:lineRule="auto"/>
              <w:ind w:left="113"/>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88.94</w:t>
            </w:r>
          </w:p>
        </w:tc>
        <w:tc>
          <w:tcPr>
            <w:tcW w:w="868" w:type="dxa"/>
            <w:vAlign w:val="top"/>
          </w:tcPr>
          <w:p>
            <w:pPr>
              <w:spacing w:before="94" w:line="242" w:lineRule="auto"/>
              <w:ind w:left="113"/>
              <w:rPr>
                <w:rFonts w:hint="default" w:ascii="Times New Roman" w:hAnsi="Times New Roman" w:eastAsia="仿宋" w:cs="Times New Roman"/>
                <w:sz w:val="16"/>
                <w:szCs w:val="16"/>
              </w:rPr>
            </w:pPr>
            <w:r>
              <w:rPr>
                <w:rFonts w:hint="default" w:ascii="Times New Roman" w:hAnsi="Times New Roman" w:eastAsia="仿宋" w:cs="Times New Roman"/>
                <w:spacing w:val="-1"/>
                <w:sz w:val="16"/>
                <w:szCs w:val="16"/>
              </w:rPr>
              <w:t>88.94%</w:t>
            </w:r>
          </w:p>
        </w:tc>
      </w:tr>
    </w:tbl>
    <w:p>
      <w:pPr>
        <w:rPr>
          <w:rFonts w:hint="default" w:ascii="Times New Roman" w:hAnsi="Times New Roman" w:cs="Times New Roman"/>
          <w:sz w:val="21"/>
        </w:rPr>
      </w:pPr>
    </w:p>
    <w:p>
      <w:pPr>
        <w:rPr>
          <w:rFonts w:hint="default" w:ascii="Times New Roman" w:hAnsi="Times New Roman" w:eastAsia="Arial" w:cs="Times New Roman"/>
          <w:sz w:val="21"/>
          <w:szCs w:val="21"/>
        </w:rPr>
        <w:sectPr>
          <w:footerReference r:id="rId17" w:type="default"/>
          <w:pgSz w:w="16839" w:h="11906"/>
          <w:pgMar w:top="1012" w:right="692" w:bottom="1256" w:left="668" w:header="0" w:footer="1003" w:gutter="0"/>
          <w:cols w:space="720" w:num="1"/>
        </w:sectPr>
      </w:pPr>
    </w:p>
    <w:p>
      <w:pPr>
        <w:spacing w:before="101" w:line="227" w:lineRule="auto"/>
        <w:ind w:left="46"/>
        <w:rPr>
          <w:rFonts w:hint="default" w:ascii="Times New Roman" w:hAnsi="Times New Roman" w:eastAsia="楷体" w:cs="Times New Roman"/>
          <w:sz w:val="32"/>
          <w:szCs w:val="32"/>
        </w:rPr>
      </w:pPr>
      <w:r>
        <w:rPr>
          <w:rFonts w:hint="default" w:ascii="Times New Roman" w:hAnsi="Times New Roman" w:eastAsia="楷体" w:cs="Times New Roman"/>
          <w:b/>
          <w:bCs/>
          <w:spacing w:val="1"/>
          <w:sz w:val="32"/>
          <w:szCs w:val="32"/>
        </w:rPr>
        <w:t>附件2：满意度调查问卷分析报告</w:t>
      </w:r>
    </w:p>
    <w:p>
      <w:pPr>
        <w:spacing w:line="330" w:lineRule="auto"/>
        <w:rPr>
          <w:rFonts w:hint="default" w:ascii="Times New Roman" w:hAnsi="Times New Roman" w:cs="Times New Roman"/>
          <w:sz w:val="21"/>
        </w:rPr>
      </w:pPr>
    </w:p>
    <w:p>
      <w:pPr>
        <w:spacing w:line="331" w:lineRule="auto"/>
        <w:rPr>
          <w:rFonts w:hint="default" w:ascii="Times New Roman" w:hAnsi="Times New Roman" w:cs="Times New Roman"/>
          <w:sz w:val="21"/>
        </w:rPr>
      </w:pPr>
    </w:p>
    <w:p>
      <w:pPr>
        <w:spacing w:before="101" w:line="226" w:lineRule="auto"/>
        <w:jc w:val="center"/>
        <w:rPr>
          <w:rFonts w:hint="default" w:ascii="Times New Roman" w:hAnsi="Times New Roman" w:eastAsia="黑体" w:cs="Times New Roman"/>
          <w:sz w:val="31"/>
          <w:szCs w:val="31"/>
        </w:rPr>
      </w:pPr>
      <w:r>
        <w:rPr>
          <w:rFonts w:hint="default" w:ascii="Times New Roman" w:hAnsi="Times New Roman" w:eastAsia="方正小标宋简体" w:cs="Times New Roman"/>
          <w:b/>
          <w:bCs/>
          <w:spacing w:val="6"/>
          <w:sz w:val="44"/>
          <w:szCs w:val="44"/>
        </w:rPr>
        <w:t>“市政、园林、环卫一体化”第三方服务采购项目受益群众满意度调查分析报告</w:t>
      </w:r>
    </w:p>
    <w:p>
      <w:pPr>
        <w:spacing w:line="275" w:lineRule="auto"/>
        <w:rPr>
          <w:rFonts w:hint="default" w:ascii="Times New Roman" w:hAnsi="Times New Roman" w:cs="Times New Roman"/>
          <w:sz w:val="21"/>
        </w:rPr>
      </w:pPr>
    </w:p>
    <w:p>
      <w:pPr>
        <w:spacing w:line="276" w:lineRule="auto"/>
        <w:rPr>
          <w:rFonts w:hint="default" w:ascii="Times New Roman" w:hAnsi="Times New Roman" w:cs="Times New Roman"/>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7" w:firstLineChars="200"/>
        <w:textAlignment w:val="baseline"/>
        <w:rPr>
          <w:rFonts w:hint="default" w:ascii="Times New Roman" w:hAnsi="Times New Roman" w:eastAsia="仿宋" w:cs="Times New Roman"/>
          <w:sz w:val="32"/>
          <w:szCs w:val="32"/>
        </w:rPr>
      </w:pPr>
      <w:r>
        <w:rPr>
          <w:rFonts w:hint="default" w:ascii="Times New Roman" w:hAnsi="Times New Roman" w:eastAsia="仿宋" w:cs="Times New Roman"/>
          <w:b/>
          <w:bCs/>
          <w:color w:val="262626"/>
          <w:spacing w:val="6"/>
          <w:sz w:val="32"/>
          <w:szCs w:val="32"/>
        </w:rPr>
        <w:t>调查报告前言</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color w:val="333333"/>
          <w:spacing w:val="0"/>
          <w:position w:val="0"/>
          <w:sz w:val="32"/>
          <w:szCs w:val="32"/>
        </w:rPr>
      </w:pPr>
      <w:r>
        <w:rPr>
          <w:rFonts w:hint="default" w:ascii="Times New Roman" w:hAnsi="Times New Roman" w:eastAsia="仿宋_GB2312" w:cs="Times New Roman"/>
          <w:color w:val="333333"/>
          <w:spacing w:val="0"/>
          <w:position w:val="0"/>
          <w:sz w:val="32"/>
          <w:szCs w:val="32"/>
        </w:rPr>
        <w:t>本次调查旨在了解受访者对“市政、园林、环卫一体化”第三方服务采购项目、项目实施后城市环境、园林绿化、市政养护等改善程度的满意度情况。通过问卷调查收集到的数据将有助于评估目前项目的实施效果，为进一步提升城市市政工作、园林绿化和环卫工作提供参考和指导。</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spacing w:val="0"/>
          <w:position w:val="0"/>
          <w:sz w:val="32"/>
          <w:szCs w:val="32"/>
        </w:rPr>
      </w:pPr>
      <w:r>
        <w:rPr>
          <w:rFonts w:hint="default" w:ascii="Times New Roman" w:hAnsi="Times New Roman" w:eastAsia="仿宋_GB2312" w:cs="Times New Roman"/>
          <w:color w:val="333333"/>
          <w:spacing w:val="0"/>
          <w:position w:val="0"/>
          <w:sz w:val="32"/>
          <w:szCs w:val="32"/>
        </w:rPr>
        <w:t>在调查过程中，我们收集到了受访者对以上几个方面的满意度反馈，这些反馈将有助于我们更加全面地了解受访者对养护工程的认知和评价。接下来，我们将对这些数据进行整理和分析，以期为相关部门提供更有针对性的改进建议。感谢所有参与调查的受访者，您的意见和建议对我们的工作具有重要意义。</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auto"/>
          <w:spacing w:val="0"/>
          <w:position w:val="0"/>
          <w:sz w:val="32"/>
          <w:szCs w:val="32"/>
        </w:rPr>
      </w:pPr>
      <w:r>
        <w:rPr>
          <w:rFonts w:hint="default" w:ascii="Times New Roman" w:hAnsi="Times New Roman" w:eastAsia="仿宋_GB2312" w:cs="Times New Roman"/>
          <w:b w:val="0"/>
          <w:bCs w:val="0"/>
          <w:spacing w:val="0"/>
          <w:position w:val="0"/>
          <w:sz w:val="32"/>
          <w:szCs w:val="32"/>
        </w:rPr>
        <w:t>第1题您对城市道路环卫清洁工作是否满意</w:t>
      </w:r>
      <w:r>
        <w:rPr>
          <w:rFonts w:hint="default" w:ascii="Times New Roman" w:hAnsi="Times New Roman" w:eastAsia="仿宋_GB2312" w:cs="Times New Roman"/>
          <w:color w:val="auto"/>
          <w:spacing w:val="0"/>
          <w:position w:val="0"/>
          <w:sz w:val="32"/>
          <w:szCs w:val="32"/>
        </w:rPr>
        <w:t>[单选题]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cs="Times New Roman"/>
        </w:rPr>
      </w:pPr>
      <w:r>
        <w:rPr>
          <w:rFonts w:hint="default" w:ascii="Times New Roman" w:hAnsi="Times New Roman" w:eastAsia="仿宋_GB2312" w:cs="Times New Roman"/>
          <w:color w:val="333333"/>
          <w:spacing w:val="0"/>
          <w:position w:val="0"/>
          <w:sz w:val="32"/>
          <w:szCs w:val="32"/>
        </w:rPr>
        <w:t>分析结论：根据数据表格，针对</w:t>
      </w:r>
      <w:r>
        <w:rPr>
          <w:rFonts w:hint="default" w:ascii="Times New Roman" w:hAnsi="Times New Roman" w:eastAsia="仿宋_GB2312" w:cs="Times New Roman"/>
          <w:spacing w:val="0"/>
          <w:position w:val="0"/>
          <w:sz w:val="32"/>
          <w:szCs w:val="32"/>
        </w:rPr>
        <w:t>城市道路环卫清洁工作</w:t>
      </w:r>
      <w:r>
        <w:rPr>
          <w:rFonts w:hint="default" w:ascii="Times New Roman" w:hAnsi="Times New Roman" w:eastAsia="仿宋_GB2312" w:cs="Times New Roman"/>
          <w:color w:val="333333"/>
          <w:spacing w:val="0"/>
          <w:position w:val="0"/>
          <w:sz w:val="32"/>
          <w:szCs w:val="32"/>
        </w:rPr>
        <w:t>程度的满意度调查结果，99%的人表示满意，仅1%的人表示不满意。可以看出大多数人对城市道路环卫清洁工</w:t>
      </w:r>
      <w:r>
        <w:rPr>
          <w:rFonts w:hint="default" w:ascii="Times New Roman" w:hAnsi="Times New Roman" w:eastAsia="仿宋_GB2312" w:cs="Times New Roman"/>
          <w:color w:val="333333"/>
          <w:spacing w:val="8"/>
          <w:sz w:val="32"/>
          <w:szCs w:val="32"/>
        </w:rPr>
        <w:t>作感到满</w:t>
      </w:r>
      <w:r>
        <w:rPr>
          <w:rFonts w:hint="default" w:ascii="Times New Roman" w:hAnsi="Times New Roman" w:eastAsia="仿宋_GB2312" w:cs="Times New Roman"/>
          <w:color w:val="333333"/>
          <w:spacing w:val="-7"/>
          <w:sz w:val="32"/>
          <w:szCs w:val="32"/>
        </w:rPr>
        <w:t>意。</w:t>
      </w:r>
      <w:r>
        <w:rPr>
          <w:rFonts w:hint="default" w:ascii="Times New Roman" w:hAnsi="Times New Roman" w:cs="Times New Roman"/>
          <w:position w:val="-102"/>
        </w:rPr>
        <w:drawing>
          <wp:anchor distT="0" distB="0" distL="0" distR="0" simplePos="0" relativeHeight="251661312" behindDoc="0" locked="0" layoutInCell="1" allowOverlap="1">
            <wp:simplePos x="0" y="0"/>
            <wp:positionH relativeFrom="column">
              <wp:posOffset>245110</wp:posOffset>
            </wp:positionH>
            <wp:positionV relativeFrom="paragraph">
              <wp:posOffset>-1389380</wp:posOffset>
            </wp:positionV>
            <wp:extent cx="3307715" cy="3018155"/>
            <wp:effectExtent l="0" t="0" r="14605" b="14605"/>
            <wp:wrapTopAndBottom/>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6"/>
                    <a:stretch>
                      <a:fillRect/>
                    </a:stretch>
                  </pic:blipFill>
                  <pic:spPr>
                    <a:xfrm>
                      <a:off x="0" y="0"/>
                      <a:ext cx="3307715" cy="3018155"/>
                    </a:xfrm>
                    <a:prstGeom prst="rect">
                      <a:avLst/>
                    </a:prstGeom>
                  </pic:spPr>
                </pic:pic>
              </a:graphicData>
            </a:graphic>
          </wp:anchor>
        </w:drawing>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333333"/>
          <w:spacing w:val="0"/>
          <w:position w:val="0"/>
          <w:sz w:val="32"/>
          <w:szCs w:val="32"/>
        </w:rPr>
      </w:pPr>
      <w:r>
        <w:rPr>
          <w:rFonts w:hint="default" w:ascii="Times New Roman" w:hAnsi="Times New Roman" w:eastAsia="仿宋_GB2312" w:cs="Times New Roman"/>
          <w:color w:val="333333"/>
          <w:spacing w:val="0"/>
          <w:position w:val="0"/>
          <w:sz w:val="32"/>
          <w:szCs w:val="32"/>
        </w:rPr>
        <w:t>第2题您对城市公园、广场绿化的保洁工作是否满意[单选题]</w:t>
      </w:r>
      <w:bookmarkStart w:id="23" w:name="_GoBack"/>
      <w:bookmarkEnd w:id="23"/>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333333"/>
          <w:spacing w:val="0"/>
          <w:position w:val="0"/>
          <w:sz w:val="32"/>
          <w:szCs w:val="32"/>
        </w:rPr>
      </w:pPr>
      <w:r>
        <w:rPr>
          <w:rFonts w:hint="default" w:ascii="Times New Roman" w:hAnsi="Times New Roman" w:eastAsia="仿宋_GB2312" w:cs="Times New Roman"/>
          <w:color w:val="333333"/>
          <w:spacing w:val="0"/>
          <w:position w:val="0"/>
          <w:sz w:val="32"/>
          <w:szCs w:val="32"/>
        </w:rPr>
        <w:t>分析结论：根据数据分析，项目实施后改善城市城区内公园、广场绿化和保洁工作程度的满意度高达100%。这表明大多数受访者对项目实施后的环境改善感到满意，反映了项目取得了较为积极的成效。</w:t>
      </w:r>
    </w:p>
    <w:p>
      <w:pPr>
        <w:pStyle w:val="2"/>
        <w:rPr>
          <w:rFonts w:hint="default" w:ascii="Times New Roman" w:hAnsi="Times New Roman" w:cs="Times New Roman"/>
        </w:rPr>
      </w:pPr>
    </w:p>
    <w:p>
      <w:pPr>
        <w:spacing w:line="412" w:lineRule="auto"/>
        <w:rPr>
          <w:rFonts w:hint="default" w:ascii="Times New Roman" w:hAnsi="Times New Roman" w:eastAsia="仿宋" w:cs="Times New Roman"/>
          <w:sz w:val="20"/>
          <w:szCs w:val="20"/>
        </w:rPr>
        <w:sectPr>
          <w:footerReference r:id="rId18" w:type="default"/>
          <w:pgSz w:w="11906" w:h="16839"/>
          <w:pgMar w:top="1431" w:right="1785" w:bottom="1256" w:left="1785" w:header="0" w:footer="1003" w:gutter="0"/>
          <w:cols w:space="720" w:num="1"/>
        </w:sectPr>
      </w:pPr>
      <w:r>
        <w:rPr>
          <w:rFonts w:hint="default" w:ascii="Times New Roman" w:hAnsi="Times New Roman" w:cs="Times New Roman"/>
          <w:position w:val="-102"/>
        </w:rPr>
        <w:drawing>
          <wp:inline distT="0" distB="0" distL="0" distR="0">
            <wp:extent cx="3503295" cy="3258185"/>
            <wp:effectExtent l="0" t="0" r="1905" b="3175"/>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7"/>
                    <a:stretch>
                      <a:fillRect/>
                    </a:stretch>
                  </pic:blipFill>
                  <pic:spPr>
                    <a:xfrm>
                      <a:off x="0" y="0"/>
                      <a:ext cx="3503675" cy="3258312"/>
                    </a:xfrm>
                    <a:prstGeom prst="rect">
                      <a:avLst/>
                    </a:prstGeom>
                  </pic:spPr>
                </pic:pic>
              </a:graphicData>
            </a:graphic>
          </wp:inline>
        </w:drawing>
      </w:r>
    </w:p>
    <w:p>
      <w:pPr>
        <w:spacing w:line="294" w:lineRule="auto"/>
        <w:rPr>
          <w:rFonts w:hint="default" w:ascii="Times New Roman" w:hAnsi="Times New Roman" w:cs="Times New Roman"/>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333333"/>
          <w:spacing w:val="0"/>
          <w:position w:val="0"/>
          <w:sz w:val="32"/>
          <w:szCs w:val="32"/>
        </w:rPr>
      </w:pPr>
      <w:r>
        <w:rPr>
          <w:rFonts w:hint="default" w:ascii="Times New Roman" w:hAnsi="Times New Roman" w:eastAsia="仿宋_GB2312" w:cs="Times New Roman"/>
          <w:color w:val="333333"/>
          <w:spacing w:val="0"/>
          <w:position w:val="0"/>
          <w:sz w:val="32"/>
          <w:szCs w:val="32"/>
        </w:rPr>
        <w:t>第3题您对每日居住区域的垃圾回收工作是否满意[单选题]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333333"/>
          <w:spacing w:val="0"/>
          <w:position w:val="0"/>
          <w:sz w:val="32"/>
          <w:szCs w:val="32"/>
        </w:rPr>
      </w:pPr>
      <w:r>
        <w:rPr>
          <w:rFonts w:hint="default" w:ascii="Times New Roman" w:hAnsi="Times New Roman" w:eastAsia="仿宋_GB2312" w:cs="Times New Roman"/>
          <w:color w:val="333333"/>
          <w:spacing w:val="0"/>
          <w:position w:val="0"/>
          <w:sz w:val="32"/>
          <w:szCs w:val="32"/>
        </w:rPr>
        <w:t>分析结论：根据数据分析，99%的人表示满意，仅1%的人表示不满意。这表明大多数受访者对项目实施后的成效，感到满意。</w:t>
      </w:r>
    </w:p>
    <w:p>
      <w:pPr>
        <w:spacing w:line="309" w:lineRule="auto"/>
        <w:rPr>
          <w:rFonts w:hint="default" w:ascii="Times New Roman" w:hAnsi="Times New Roman" w:cs="Times New Roman"/>
          <w:sz w:val="21"/>
        </w:rPr>
      </w:pPr>
    </w:p>
    <w:p>
      <w:pPr>
        <w:spacing w:line="309" w:lineRule="auto"/>
        <w:rPr>
          <w:rFonts w:hint="default" w:ascii="Times New Roman" w:hAnsi="Times New Roman" w:cs="Times New Roman"/>
          <w:sz w:val="21"/>
        </w:rPr>
      </w:pPr>
    </w:p>
    <w:p>
      <w:pPr>
        <w:spacing w:line="5100" w:lineRule="exact"/>
        <w:ind w:firstLine="1497"/>
        <w:rPr>
          <w:rFonts w:hint="default" w:ascii="Times New Roman" w:hAnsi="Times New Roman" w:cs="Times New Roman"/>
        </w:rPr>
      </w:pPr>
      <w:r>
        <w:rPr>
          <w:rFonts w:hint="default" w:ascii="Times New Roman" w:hAnsi="Times New Roman" w:cs="Times New Roman"/>
          <w:position w:val="-102"/>
        </w:rPr>
        <w:drawing>
          <wp:inline distT="0" distB="0" distL="0" distR="0">
            <wp:extent cx="3657600" cy="323850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6"/>
                    <a:stretch>
                      <a:fillRect/>
                    </a:stretch>
                  </pic:blipFill>
                  <pic:spPr>
                    <a:xfrm>
                      <a:off x="0" y="0"/>
                      <a:ext cx="3657600" cy="3238500"/>
                    </a:xfrm>
                    <a:prstGeom prst="rect">
                      <a:avLst/>
                    </a:prstGeom>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333333"/>
          <w:spacing w:val="0"/>
          <w:position w:val="0"/>
          <w:sz w:val="32"/>
          <w:szCs w:val="32"/>
        </w:rPr>
      </w:pPr>
      <w:r>
        <w:rPr>
          <w:rFonts w:hint="default" w:ascii="Times New Roman" w:hAnsi="Times New Roman" w:eastAsia="仿宋_GB2312" w:cs="Times New Roman"/>
          <w:color w:val="333333"/>
          <w:spacing w:val="0"/>
          <w:position w:val="0"/>
          <w:sz w:val="32"/>
          <w:szCs w:val="32"/>
        </w:rPr>
        <w:t>第4题每日市政清扫、清运车辆的出行是否对您的出行造成影响[单选题]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color w:val="333333"/>
          <w:spacing w:val="-34"/>
          <w:position w:val="0"/>
          <w:sz w:val="32"/>
          <w:szCs w:val="32"/>
        </w:rPr>
      </w:pPr>
      <w:r>
        <w:rPr>
          <w:rFonts w:hint="default" w:ascii="Times New Roman" w:hAnsi="Times New Roman" w:eastAsia="仿宋_GB2312" w:cs="Times New Roman"/>
          <w:color w:val="333333"/>
          <w:spacing w:val="0"/>
          <w:position w:val="0"/>
          <w:sz w:val="32"/>
          <w:szCs w:val="32"/>
        </w:rPr>
        <w:t>分析结论：根据数据分析，100%的受访者对每日市政清扫、清运车辆工作期间，没有影响到居民的工作和日常生活。</w:t>
      </w:r>
      <w:r>
        <w:rPr>
          <w:rFonts w:hint="default" w:ascii="Times New Roman" w:hAnsi="Times New Roman" w:eastAsia="仿宋_GB2312" w:cs="Times New Roman"/>
          <w:color w:val="333333"/>
          <w:spacing w:val="-34"/>
          <w:position w:val="0"/>
          <w:sz w:val="32"/>
          <w:szCs w:val="32"/>
        </w:rPr>
        <w:t>因此，大多数人对项目实施对日常生活的影响表示无影响。</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04" w:firstLineChars="200"/>
        <w:jc w:val="both"/>
        <w:textAlignment w:val="baseline"/>
        <w:rPr>
          <w:rFonts w:hint="default" w:ascii="Times New Roman" w:hAnsi="Times New Roman" w:eastAsia="仿宋_GB2312" w:cs="Times New Roman"/>
          <w:color w:val="333333"/>
          <w:spacing w:val="-34"/>
          <w:position w:val="0"/>
          <w:sz w:val="32"/>
          <w:szCs w:val="32"/>
        </w:rPr>
        <w:sectPr>
          <w:footerReference r:id="rId19" w:type="default"/>
          <w:pgSz w:w="11906" w:h="16839"/>
          <w:pgMar w:top="1431" w:right="1785" w:bottom="1256" w:left="1785" w:header="0" w:footer="1003" w:gutter="0"/>
          <w:cols w:space="720" w:num="1"/>
        </w:sectPr>
      </w:pPr>
    </w:p>
    <w:p>
      <w:pPr>
        <w:spacing w:line="305" w:lineRule="auto"/>
        <w:rPr>
          <w:rFonts w:hint="default" w:ascii="Times New Roman" w:hAnsi="Times New Roman" w:cs="Times New Roman"/>
          <w:sz w:val="21"/>
        </w:rPr>
      </w:pPr>
    </w:p>
    <w:p>
      <w:pPr>
        <w:spacing w:line="305" w:lineRule="auto"/>
        <w:rPr>
          <w:rFonts w:hint="default" w:ascii="Times New Roman" w:hAnsi="Times New Roman" w:cs="Times New Roman"/>
          <w:sz w:val="21"/>
        </w:rPr>
      </w:pPr>
    </w:p>
    <w:p>
      <w:pPr>
        <w:spacing w:line="305" w:lineRule="auto"/>
        <w:rPr>
          <w:rFonts w:hint="default" w:ascii="Times New Roman" w:hAnsi="Times New Roman" w:cs="Times New Roman"/>
          <w:sz w:val="21"/>
        </w:rPr>
      </w:pPr>
    </w:p>
    <w:p>
      <w:pPr>
        <w:spacing w:line="5131" w:lineRule="exact"/>
        <w:ind w:firstLine="1617"/>
        <w:rPr>
          <w:rFonts w:hint="default" w:ascii="Times New Roman" w:hAnsi="Times New Roman" w:cs="Times New Roman"/>
        </w:rPr>
      </w:pPr>
      <w:r>
        <w:rPr>
          <w:rFonts w:hint="default" w:ascii="Times New Roman" w:hAnsi="Times New Roman" w:cs="Times New Roman"/>
          <w:position w:val="-102"/>
        </w:rPr>
        <w:drawing>
          <wp:inline distT="0" distB="0" distL="0" distR="0">
            <wp:extent cx="3503295" cy="325818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27"/>
                    <a:stretch>
                      <a:fillRect/>
                    </a:stretch>
                  </pic:blipFill>
                  <pic:spPr>
                    <a:xfrm>
                      <a:off x="0" y="0"/>
                      <a:ext cx="3503675" cy="3258312"/>
                    </a:xfrm>
                    <a:prstGeom prst="rect">
                      <a:avLst/>
                    </a:prstGeom>
                  </pic:spPr>
                </pic:pic>
              </a:graphicData>
            </a:graphic>
          </wp:inline>
        </w:drawing>
      </w:r>
    </w:p>
    <w:p>
      <w:pPr>
        <w:spacing w:line="270" w:lineRule="auto"/>
        <w:rPr>
          <w:rFonts w:hint="default" w:ascii="Times New Roman" w:hAnsi="Times New Roman" w:cs="Times New Roman"/>
          <w:sz w:val="21"/>
        </w:rPr>
      </w:pPr>
    </w:p>
    <w:p>
      <w:pPr>
        <w:spacing w:line="270" w:lineRule="auto"/>
        <w:rPr>
          <w:rFonts w:hint="default" w:ascii="Times New Roman" w:hAnsi="Times New Roman" w:cs="Times New Roman"/>
          <w:sz w:val="21"/>
        </w:rPr>
      </w:pPr>
    </w:p>
    <w:p>
      <w:pPr>
        <w:spacing w:line="270" w:lineRule="auto"/>
        <w:rPr>
          <w:rFonts w:hint="default" w:ascii="Times New Roman" w:hAnsi="Times New Roman" w:cs="Times New Roman"/>
          <w:sz w:val="21"/>
        </w:rPr>
      </w:pPr>
    </w:p>
    <w:p>
      <w:pPr>
        <w:spacing w:line="270" w:lineRule="auto"/>
        <w:rPr>
          <w:rFonts w:hint="default" w:ascii="Times New Roman" w:hAnsi="Times New Roman" w:cs="Times New Roman"/>
          <w:sz w:val="21"/>
        </w:rPr>
      </w:pPr>
    </w:p>
    <w:p>
      <w:pPr>
        <w:spacing w:line="270" w:lineRule="auto"/>
        <w:rPr>
          <w:rFonts w:hint="default" w:ascii="Times New Roman" w:hAnsi="Times New Roman" w:cs="Times New Roman"/>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333333"/>
          <w:spacing w:val="0"/>
          <w:position w:val="0"/>
          <w:sz w:val="32"/>
          <w:szCs w:val="32"/>
        </w:rPr>
      </w:pPr>
      <w:r>
        <w:rPr>
          <w:rFonts w:hint="default" w:ascii="Times New Roman" w:hAnsi="Times New Roman" w:eastAsia="仿宋_GB2312" w:cs="Times New Roman"/>
          <w:color w:val="333333"/>
          <w:spacing w:val="0"/>
          <w:position w:val="0"/>
          <w:sz w:val="32"/>
          <w:szCs w:val="32"/>
        </w:rPr>
        <w:t>第5题您对城区内市政养护的设施设备是否满意[单选题]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333333"/>
          <w:spacing w:val="0"/>
          <w:position w:val="0"/>
          <w:sz w:val="32"/>
          <w:szCs w:val="32"/>
        </w:rPr>
      </w:pPr>
      <w:r>
        <w:rPr>
          <w:rFonts w:hint="default" w:ascii="Times New Roman" w:hAnsi="Times New Roman" w:eastAsia="仿宋_GB2312" w:cs="Times New Roman"/>
          <w:color w:val="333333"/>
          <w:spacing w:val="0"/>
          <w:position w:val="0"/>
          <w:sz w:val="32"/>
          <w:szCs w:val="32"/>
        </w:rPr>
        <w:t>分析结论：根据数据分析，100%的受访者对城市内的路灯养护、道路桥梁养护、公用设施养护等工作表示满意。因此，大多数人对城区内市政养护的设施设备养护工作表示满意。</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仿宋_GB2312" w:cs="Times New Roman"/>
          <w:color w:val="333333"/>
          <w:spacing w:val="0"/>
          <w:position w:val="0"/>
          <w:sz w:val="32"/>
          <w:szCs w:val="32"/>
        </w:rPr>
        <w:sectPr>
          <w:footerReference r:id="rId20" w:type="default"/>
          <w:pgSz w:w="11906" w:h="16839"/>
          <w:pgMar w:top="1431" w:right="1785" w:bottom="1253" w:left="1785" w:header="0" w:footer="1003" w:gutter="0"/>
          <w:cols w:space="720" w:num="1"/>
        </w:sectPr>
      </w:pPr>
    </w:p>
    <w:p>
      <w:pPr>
        <w:spacing w:line="305" w:lineRule="auto"/>
        <w:rPr>
          <w:rFonts w:hint="default" w:ascii="Times New Roman" w:hAnsi="Times New Roman" w:cs="Times New Roman"/>
          <w:sz w:val="21"/>
        </w:rPr>
      </w:pPr>
    </w:p>
    <w:p>
      <w:pPr>
        <w:spacing w:line="305" w:lineRule="auto"/>
        <w:rPr>
          <w:rFonts w:hint="default" w:ascii="Times New Roman" w:hAnsi="Times New Roman" w:cs="Times New Roman"/>
          <w:sz w:val="21"/>
        </w:rPr>
      </w:pPr>
    </w:p>
    <w:p>
      <w:pPr>
        <w:spacing w:line="305" w:lineRule="auto"/>
        <w:rPr>
          <w:rFonts w:hint="default" w:ascii="Times New Roman" w:hAnsi="Times New Roman" w:cs="Times New Roman"/>
          <w:sz w:val="21"/>
        </w:rPr>
      </w:pPr>
    </w:p>
    <w:p>
      <w:pPr>
        <w:spacing w:line="5131" w:lineRule="exact"/>
        <w:ind w:firstLine="1617"/>
        <w:rPr>
          <w:rFonts w:hint="default" w:ascii="Times New Roman" w:hAnsi="Times New Roman" w:cs="Times New Roman"/>
        </w:rPr>
      </w:pPr>
      <w:r>
        <w:rPr>
          <w:rFonts w:hint="default" w:ascii="Times New Roman" w:hAnsi="Times New Roman" w:cs="Times New Roman"/>
          <w:position w:val="-102"/>
        </w:rPr>
        <w:drawing>
          <wp:inline distT="0" distB="0" distL="0" distR="0">
            <wp:extent cx="3503295" cy="325818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27"/>
                    <a:stretch>
                      <a:fillRect/>
                    </a:stretch>
                  </pic:blipFill>
                  <pic:spPr>
                    <a:xfrm>
                      <a:off x="0" y="0"/>
                      <a:ext cx="3503675" cy="3258312"/>
                    </a:xfrm>
                    <a:prstGeom prst="rect">
                      <a:avLst/>
                    </a:prstGeom>
                  </pic:spPr>
                </pic:pic>
              </a:graphicData>
            </a:graphic>
          </wp:inline>
        </w:drawing>
      </w:r>
    </w:p>
    <w:p>
      <w:pPr>
        <w:spacing w:line="301" w:lineRule="auto"/>
        <w:rPr>
          <w:rFonts w:hint="default" w:ascii="Times New Roman" w:hAnsi="Times New Roman" w:cs="Times New Roman"/>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default" w:ascii="Times New Roman" w:hAnsi="Times New Roman" w:eastAsia="黑体" w:cs="Times New Roman"/>
          <w:color w:val="333333"/>
          <w:spacing w:val="0"/>
          <w:position w:val="0"/>
          <w:sz w:val="32"/>
          <w:szCs w:val="32"/>
        </w:rPr>
      </w:pPr>
      <w:r>
        <w:rPr>
          <w:rFonts w:hint="default" w:ascii="Times New Roman" w:hAnsi="Times New Roman" w:eastAsia="黑体" w:cs="Times New Roman"/>
          <w:color w:val="333333"/>
          <w:spacing w:val="0"/>
          <w:position w:val="0"/>
          <w:sz w:val="32"/>
          <w:szCs w:val="32"/>
        </w:rPr>
        <w:t>三、总结分析</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color w:val="333333"/>
          <w:spacing w:val="0"/>
          <w:position w:val="0"/>
          <w:sz w:val="32"/>
          <w:szCs w:val="32"/>
        </w:rPr>
      </w:pPr>
      <w:r>
        <w:rPr>
          <w:rFonts w:hint="default" w:ascii="Times New Roman" w:hAnsi="Times New Roman" w:eastAsia="仿宋_GB2312" w:cs="Times New Roman"/>
          <w:color w:val="333333"/>
          <w:spacing w:val="0"/>
          <w:position w:val="0"/>
          <w:sz w:val="32"/>
          <w:szCs w:val="32"/>
        </w:rPr>
        <w:t>根据问卷调查结果统计数据显示，针对城市道路环卫清洁工作的满意度方面，有99%的受访者表示满意。对城市公园、广场绿化的保洁工作的满意度方面，有99%的受访者表示满意。对每日居住区域的垃圾回收工作的满意度方面，有100%的受访者表示满意。对每日市政清扫、清运车辆的出行是否对您的出行造成影响，有100%的受访者表示无影响。对城区内市政养护的设施设备的满意度方面，有100%的受访者表示满意。</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color w:val="333333"/>
          <w:spacing w:val="0"/>
          <w:position w:val="0"/>
          <w:sz w:val="32"/>
          <w:szCs w:val="32"/>
        </w:rPr>
      </w:pPr>
      <w:r>
        <w:rPr>
          <w:rFonts w:hint="default" w:ascii="Times New Roman" w:hAnsi="Times New Roman" w:eastAsia="仿宋_GB2312" w:cs="Times New Roman"/>
          <w:color w:val="333333"/>
          <w:spacing w:val="0"/>
          <w:position w:val="0"/>
          <w:sz w:val="32"/>
          <w:szCs w:val="32"/>
        </w:rPr>
        <w:t>综合以上数据分析可知，99%受访者对城市道路环卫清洁工作、城市公园、广场绿化的保洁工作、每日居住区域的垃圾回收工作、城区内市政养护的设施设备都表示满意。整体而言，受访者对“市政、园林、环卫一体化”工作评价较为正面，但仍有少部分受访者对部分方面存在一定的不满意，建议相关部门在后续工作中重点关注不满意意见，进一步提升服务质量，以满足更多市民的需求和期待。</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Times New Roman" w:hAnsi="Times New Roman" w:eastAsia="仿宋_GB2312" w:cs="Times New Roman"/>
          <w:color w:val="333333"/>
          <w:spacing w:val="0"/>
          <w:position w:val="0"/>
          <w:sz w:val="32"/>
          <w:szCs w:val="32"/>
        </w:rPr>
        <w:sectPr>
          <w:footerReference r:id="rId21" w:type="default"/>
          <w:pgSz w:w="11906" w:h="16839"/>
          <w:pgMar w:top="1431" w:right="1785" w:bottom="1256" w:left="1785" w:header="0" w:footer="1003" w:gutter="0"/>
          <w:cols w:space="720" w:num="1"/>
        </w:sectPr>
      </w:pPr>
    </w:p>
    <w:p>
      <w:pPr>
        <w:spacing w:line="296" w:lineRule="auto"/>
        <w:rPr>
          <w:rFonts w:hint="default" w:ascii="Times New Roman" w:hAnsi="Times New Roman" w:cs="Times New Roman"/>
          <w:sz w:val="21"/>
        </w:rPr>
      </w:pPr>
    </w:p>
    <w:p>
      <w:pPr>
        <w:spacing w:before="100" w:line="228" w:lineRule="auto"/>
        <w:ind w:firstLine="301" w:firstLineChars="100"/>
        <w:rPr>
          <w:rFonts w:hint="default" w:ascii="Times New Roman" w:hAnsi="Times New Roman" w:cs="Times New Roman"/>
          <w:sz w:val="21"/>
        </w:rPr>
      </w:pPr>
      <w:r>
        <w:rPr>
          <w:rFonts w:hint="default" w:ascii="Times New Roman" w:hAnsi="Times New Roman" w:eastAsia="仿宋" w:cs="Times New Roman"/>
          <w:b/>
          <w:bCs/>
          <w:sz w:val="30"/>
          <w:szCs w:val="30"/>
        </w:rPr>
        <w:t>附件3.基础数据表1、附件4.基础数据表2</w:t>
      </w:r>
    </w:p>
    <w:p>
      <w:pPr>
        <w:spacing w:line="274" w:lineRule="auto"/>
        <w:rPr>
          <w:rFonts w:hint="default" w:ascii="Times New Roman" w:hAnsi="Times New Roman" w:cs="Times New Roman"/>
          <w:sz w:val="21"/>
        </w:rPr>
      </w:pPr>
    </w:p>
    <w:p>
      <w:pPr>
        <w:spacing w:line="274" w:lineRule="auto"/>
        <w:rPr>
          <w:rFonts w:hint="default" w:ascii="Times New Roman" w:hAnsi="Times New Roman" w:eastAsia="宋体" w:cs="Times New Roman"/>
          <w:sz w:val="21"/>
          <w:lang w:eastAsia="zh-CN"/>
        </w:rPr>
      </w:pPr>
      <w:r>
        <w:rPr>
          <w:rFonts w:hint="default" w:ascii="Times New Roman" w:hAnsi="Times New Roman" w:eastAsia="宋体" w:cs="Times New Roman"/>
          <w:sz w:val="21"/>
          <w:lang w:eastAsia="zh-CN"/>
        </w:rPr>
        <w:drawing>
          <wp:inline distT="0" distB="0" distL="114300" distR="114300">
            <wp:extent cx="8127365" cy="4384675"/>
            <wp:effectExtent l="0" t="0" r="10795" b="4445"/>
            <wp:docPr id="3" name="图片 3" descr="2ac5e26d-5b56-4b53-9977-ebc4b4ddbf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ac5e26d-5b56-4b53-9977-ebc4b4ddbf97"/>
                    <pic:cNvPicPr>
                      <a:picLocks noChangeAspect="1"/>
                    </pic:cNvPicPr>
                  </pic:nvPicPr>
                  <pic:blipFill>
                    <a:blip r:embed="rId28"/>
                    <a:stretch>
                      <a:fillRect/>
                    </a:stretch>
                  </pic:blipFill>
                  <pic:spPr>
                    <a:xfrm>
                      <a:off x="0" y="0"/>
                      <a:ext cx="8127365" cy="4384675"/>
                    </a:xfrm>
                    <a:prstGeom prst="rect">
                      <a:avLst/>
                    </a:prstGeom>
                  </pic:spPr>
                </pic:pic>
              </a:graphicData>
            </a:graphic>
          </wp:inline>
        </w:drawing>
      </w:r>
    </w:p>
    <w:p>
      <w:pPr>
        <w:spacing w:line="280" w:lineRule="auto"/>
        <w:rPr>
          <w:rFonts w:hint="default" w:ascii="Times New Roman" w:hAnsi="Times New Roman" w:cs="Times New Roman"/>
          <w:sz w:val="21"/>
        </w:rPr>
      </w:pPr>
    </w:p>
    <w:p>
      <w:pPr>
        <w:spacing w:line="280" w:lineRule="auto"/>
        <w:rPr>
          <w:rFonts w:hint="default" w:ascii="Times New Roman" w:hAnsi="Times New Roman" w:cs="Times New Roman"/>
          <w:sz w:val="21"/>
        </w:rPr>
      </w:pPr>
    </w:p>
    <w:p>
      <w:pPr>
        <w:spacing w:line="280" w:lineRule="auto"/>
        <w:rPr>
          <w:rFonts w:hint="default" w:ascii="Times New Roman" w:hAnsi="Times New Roman" w:cs="Times New Roman"/>
        </w:rPr>
      </w:pPr>
      <w:r>
        <w:rPr>
          <w:rFonts w:hint="default" w:ascii="Times New Roman" w:hAnsi="Times New Roman" w:eastAsia="宋体" w:cs="Times New Roman"/>
          <w:sz w:val="21"/>
          <w:lang w:eastAsia="zh-CN"/>
        </w:rPr>
        <w:drawing>
          <wp:inline distT="0" distB="0" distL="114300" distR="114300">
            <wp:extent cx="8166100" cy="3541395"/>
            <wp:effectExtent l="0" t="0" r="2540" b="9525"/>
            <wp:docPr id="5" name="图片 5" descr="618f7d61-339f-46b1-8c85-34c72c143d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18f7d61-339f-46b1-8c85-34c72c143dd6"/>
                    <pic:cNvPicPr>
                      <a:picLocks noChangeAspect="1"/>
                    </pic:cNvPicPr>
                  </pic:nvPicPr>
                  <pic:blipFill>
                    <a:blip r:embed="rId29"/>
                    <a:stretch>
                      <a:fillRect/>
                    </a:stretch>
                  </pic:blipFill>
                  <pic:spPr>
                    <a:xfrm>
                      <a:off x="0" y="0"/>
                      <a:ext cx="8166100" cy="3541395"/>
                    </a:xfrm>
                    <a:prstGeom prst="rect">
                      <a:avLst/>
                    </a:prstGeom>
                  </pic:spPr>
                </pic:pic>
              </a:graphicData>
            </a:graphic>
          </wp:inline>
        </w:drawing>
      </w:r>
    </w:p>
    <w:p>
      <w:pPr>
        <w:spacing w:line="6096" w:lineRule="exact"/>
        <w:rPr>
          <w:rFonts w:hint="default" w:ascii="Times New Roman" w:hAnsi="Times New Roman" w:cs="Times New Roman"/>
        </w:rPr>
        <w:sectPr>
          <w:footerReference r:id="rId22" w:type="default"/>
          <w:pgSz w:w="16839" w:h="11906"/>
          <w:pgMar w:top="1012" w:right="2063" w:bottom="1256" w:left="1910" w:header="0" w:footer="1003" w:gutter="0"/>
          <w:cols w:space="720" w:num="1"/>
        </w:sectPr>
      </w:pPr>
    </w:p>
    <w:p>
      <w:pPr>
        <w:spacing w:line="295" w:lineRule="auto"/>
        <w:rPr>
          <w:rFonts w:hint="default" w:ascii="Times New Roman" w:hAnsi="Times New Roman" w:cs="Times New Roman"/>
          <w:sz w:val="21"/>
        </w:rPr>
      </w:pPr>
    </w:p>
    <w:p>
      <w:pPr>
        <w:spacing w:before="101" w:line="228" w:lineRule="auto"/>
        <w:ind w:left="46"/>
        <w:rPr>
          <w:rFonts w:hint="default" w:ascii="Times New Roman" w:hAnsi="Times New Roman" w:eastAsia="仿宋" w:cs="Times New Roman"/>
          <w:sz w:val="30"/>
          <w:szCs w:val="30"/>
        </w:rPr>
      </w:pPr>
      <w:r>
        <w:rPr>
          <w:rFonts w:hint="default" w:ascii="Times New Roman" w:hAnsi="Times New Roman" w:eastAsia="仿宋" w:cs="Times New Roman"/>
          <w:b/>
          <w:bCs/>
          <w:spacing w:val="-5"/>
          <w:sz w:val="30"/>
          <w:szCs w:val="30"/>
        </w:rPr>
        <w:t>附件5：现场照片</w:t>
      </w:r>
    </w:p>
    <w:p>
      <w:pPr>
        <w:spacing w:before="231" w:line="12014" w:lineRule="exact"/>
        <w:ind w:firstLine="11"/>
        <w:rPr>
          <w:rFonts w:hint="default" w:ascii="Times New Roman" w:hAnsi="Times New Roman" w:cs="Times New Roman"/>
        </w:rPr>
      </w:pPr>
      <w:r>
        <w:rPr>
          <w:rFonts w:hint="default" w:ascii="Times New Roman" w:hAnsi="Times New Roman" w:cs="Times New Roman"/>
          <w:position w:val="-240"/>
        </w:rPr>
        <w:drawing>
          <wp:inline distT="0" distB="0" distL="0" distR="0">
            <wp:extent cx="5277485" cy="762889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30"/>
                    <a:stretch>
                      <a:fillRect/>
                    </a:stretch>
                  </pic:blipFill>
                  <pic:spPr>
                    <a:xfrm>
                      <a:off x="0" y="0"/>
                      <a:ext cx="5277611" cy="7629144"/>
                    </a:xfrm>
                    <a:prstGeom prst="rect">
                      <a:avLst/>
                    </a:prstGeom>
                  </pic:spPr>
                </pic:pic>
              </a:graphicData>
            </a:graphic>
          </wp:inline>
        </w:drawing>
      </w:r>
    </w:p>
    <w:p>
      <w:pPr>
        <w:spacing w:line="12014" w:lineRule="exact"/>
        <w:rPr>
          <w:rFonts w:hint="default" w:ascii="Times New Roman" w:hAnsi="Times New Roman" w:cs="Times New Roman"/>
        </w:rPr>
        <w:sectPr>
          <w:footerReference r:id="rId23" w:type="default"/>
          <w:pgSz w:w="11906" w:h="16839"/>
          <w:pgMar w:top="1431" w:right="1785" w:bottom="1256" w:left="1785" w:header="0" w:footer="1003" w:gutter="0"/>
          <w:cols w:space="720" w:num="1"/>
        </w:sectPr>
      </w:pPr>
    </w:p>
    <w:p>
      <w:pPr>
        <w:spacing w:line="277" w:lineRule="auto"/>
        <w:rPr>
          <w:rFonts w:hint="default" w:ascii="Times New Roman" w:hAnsi="Times New Roman" w:cs="Times New Roman"/>
          <w:sz w:val="21"/>
        </w:rPr>
      </w:pPr>
    </w:p>
    <w:p>
      <w:pPr>
        <w:spacing w:line="277" w:lineRule="auto"/>
        <w:rPr>
          <w:rFonts w:hint="default" w:ascii="Times New Roman" w:hAnsi="Times New Roman" w:cs="Times New Roman"/>
          <w:sz w:val="21"/>
        </w:rPr>
      </w:pPr>
    </w:p>
    <w:p>
      <w:pPr>
        <w:spacing w:line="277" w:lineRule="auto"/>
        <w:rPr>
          <w:rFonts w:hint="default" w:ascii="Times New Roman" w:hAnsi="Times New Roman" w:cs="Times New Roman"/>
          <w:sz w:val="21"/>
        </w:rPr>
      </w:pPr>
    </w:p>
    <w:p>
      <w:pPr>
        <w:spacing w:line="6231" w:lineRule="exact"/>
        <w:ind w:firstLine="11"/>
        <w:rPr>
          <w:rFonts w:hint="default" w:ascii="Times New Roman" w:hAnsi="Times New Roman" w:cs="Times New Roman"/>
        </w:rPr>
      </w:pPr>
      <w:r>
        <w:rPr>
          <w:rFonts w:hint="default" w:ascii="Times New Roman" w:hAnsi="Times New Roman" w:cs="Times New Roman"/>
          <w:position w:val="-124"/>
        </w:rPr>
        <w:drawing>
          <wp:inline distT="0" distB="0" distL="0" distR="0">
            <wp:extent cx="5277485" cy="395605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31"/>
                    <a:stretch>
                      <a:fillRect/>
                    </a:stretch>
                  </pic:blipFill>
                  <pic:spPr>
                    <a:xfrm>
                      <a:off x="0" y="0"/>
                      <a:ext cx="5277611" cy="3956303"/>
                    </a:xfrm>
                    <a:prstGeom prst="rect">
                      <a:avLst/>
                    </a:prstGeom>
                  </pic:spPr>
                </pic:pic>
              </a:graphicData>
            </a:graphic>
          </wp:inline>
        </w:drawing>
      </w:r>
    </w:p>
    <w:p>
      <w:pPr>
        <w:spacing w:before="141" w:line="5352" w:lineRule="exact"/>
        <w:ind w:firstLine="11"/>
        <w:rPr>
          <w:rFonts w:hint="default" w:ascii="Times New Roman" w:hAnsi="Times New Roman" w:cs="Times New Roman"/>
        </w:rPr>
      </w:pPr>
      <w:r>
        <w:rPr>
          <w:rFonts w:hint="default" w:ascii="Times New Roman" w:hAnsi="Times New Roman" w:cs="Times New Roman"/>
          <w:position w:val="-107"/>
        </w:rPr>
        <w:drawing>
          <wp:inline distT="0" distB="0" distL="0" distR="0">
            <wp:extent cx="5277485" cy="339852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32"/>
                    <a:stretch>
                      <a:fillRect/>
                    </a:stretch>
                  </pic:blipFill>
                  <pic:spPr>
                    <a:xfrm>
                      <a:off x="0" y="0"/>
                      <a:ext cx="5277611" cy="3398520"/>
                    </a:xfrm>
                    <a:prstGeom prst="rect">
                      <a:avLst/>
                    </a:prstGeom>
                  </pic:spPr>
                </pic:pic>
              </a:graphicData>
            </a:graphic>
          </wp:inline>
        </w:drawing>
      </w:r>
    </w:p>
    <w:sectPr>
      <w:footerReference r:id="rId24" w:type="default"/>
      <w:pgSz w:w="11906" w:h="16839"/>
      <w:pgMar w:top="1431" w:right="1785" w:bottom="1256" w:left="1785" w:header="0" w:footer="1003"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Narrow">
    <w:panose1 w:val="020B0606020202030204"/>
    <w:charset w:val="00"/>
    <w:family w:val="swiss"/>
    <w:pitch w:val="default"/>
    <w:sig w:usb0="00000287" w:usb1="00000800" w:usb2="00000000" w:usb3="00000000" w:csb0="2000009F" w:csb1="DFD7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669"/>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CWlnYUAgAAFQQAAA4AAABkcnMvZTJvRG9jLnhtbK1Ty47TMBTdI/EP&#10;lvc0aRFD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gJaWdhQCAAAVBAAADgAAAAAAAAAB&#10;ACAAAAAfAQAAZHJzL2Uyb0RvYy54bWxQSwUGAAAAAAYABgBZAQAApQ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662"/>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2DWsUAgAAFQQAAA4AAABkcnMvZTJvRG9jLnhtbK1Ty47TMBTdI/EP&#10;lvc0aRGjUj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2zYNaxQCAAAVBAAADgAAAAAAAAAB&#10;ACAAAAAfAQAAZHJzL2Uyb0RvYy54bWxQSwUGAAAAAAYABgBZAQAApQ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541"/>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KyQwkT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CyskMJEwIAABUEAAAOAAAAAAAAAAEA&#10;IAAAAB8BAABkcnMvZTJvRG9jLnhtbFBLBQYAAAAABgAGAFkBAACk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541"/>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VMiuIU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NUyK4hQCAAAVBAAADgAAAAAAAAAB&#10;ACAAAAAfAQAAZHJzL2Uyb0RvYy54bWxQSwUGAAAAAAYABgBZAQAApQ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541"/>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fkHQ0V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HfkHQ0VAgAAFQQAAA4AAAAAAAAA&#10;AQAgAAAAHwEAAGRycy9lMm9Eb2MueG1sUEsFBgAAAAAGAAYAWQEAAKY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541"/>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q3aO4V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Hq3aO4VAgAAFQQAAA4AAAAAAAAA&#10;AQAgAAAAHwEAAGRycy9lMm9Eb2MueG1sUEsFBgAAAAAGAAYAWQEAAKY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541"/>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gf/wEVAgAAFQQAAA4AAABkcnMvZTJvRG9jLnhtbK1Ty47TMBTdI/EP&#10;lvc0adG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Dgf/wEVAgAAFQQAAA4AAAAAAAAA&#10;AQAgAAAAHwEAAGRycy9lMm9Eb2MueG1sUEsFBgAAAAAGAAYAWQEAAKY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541"/>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v+E26hQCAAAVBAAADgAAAAAAAAAB&#10;ACAAAAAfAQAAZHJzL2Uyb0RvYy54bWxQSwUGAAAAAAYABgBZAQAApQ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541"/>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1JoQUVAgAAFQQAAA4AAABkcnMvZTJvRG9jLnhtbK1Ty47TMBTdI/EP&#10;lvc0aRFD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P1JoQUVAgAAFQQAAA4AAAAAAAAA&#10;AQAgAAAAHwEAAGRycy9lMm9Eb2MueG1sUEsFBgAAAAAGAAYAWQEAAKY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541"/>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RBrfcU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5EGt9xQCAAAVBAAADgAAAAAAAAAB&#10;ACAAAAAfAQAAZHJzL2Uyb0RvYy54bWxQSwUGAAAAAAYABgBZAQAApQ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541"/>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bpOhgVAgAAFQQAAA4AAABkcnMvZTJvRG9jLnhtbK1Ty47TMBTdI/EP&#10;lvc0aRGjUj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KbpOhgVAgAAFQQAAA4AAAAAAAAA&#10;AQAgAAAAHwEAAGRycy9lMm9Eb2MueG1sUEsFBgAAAAAGAAYAWQEAAKY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550"/>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5K3pfhcCAAAVBAAADgAAAAAA&#10;AAABACAAAAAfAQAAZHJzL2Uyb0RvYy54bWxQSwUGAAAAAAYABgBZAQAAqA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550"/>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YFfpEU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pgV+kRQCAAAVBAAADgAAAAAAAAAB&#10;ACAAAAAfAQAAZHJzL2Uyb0RvYy54bWxQSwUGAAAAAAYABgBZAQAApQ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7550"/>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H7t3oV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H7t3oVAgAAFQQAAA4AAAAAAAAA&#10;AQAgAAAAHwEAAGRycy9lMm9Eb2MueG1sUEsFBgAAAAAGAAYAWQEAAKY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251"/>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GNTIJUVAgAAFQQAAA4AAAAAAAAA&#10;AQAgAAAAHwEAAGRycy9lMm9Eb2MueG1sUEsFBgAAAAAGAAYAWQEAAKY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251"/>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4AVXYVAgAAFQQAAA4AAABkcnMvZTJvRG9jLnhtbK1Ty47TMBTdI/EP&#10;lvc0aQdG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Xr2mRDOFHZ2+fzv9+HX6+ZVAB4Ba62fw21h4hu6t6bDoQe+hjHN3&#10;lVPxxkQEdkB9vMArukB4DJpOptMcJg7b8ED+7DHcOh/eCaNIFArqsL8EKzusfehdB5dYTZtVI2Xa&#10;odSkLej11Z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G4AVXYVAgAAFQQAAA4AAAAAAAAA&#10;AQAgAAAAHwEAAGRycy9lMm9Eb2MueG1sUEsFBgAAAAAGAAYAWQEAAKY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8" w:lineRule="auto"/>
      <w:ind w:left="4251"/>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yowpkVAgAAFQQAAA4AAAAAAAAA&#10;AQAgAAAAHwEAAGRycy9lMm9Eb2MueG1sUEsFBgAAAAAGAAYAWQEAAKY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251"/>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KtWC3IVAgAAFQQAAA4AAAAAAAAA&#10;AQAgAAAAHwEAAGRycy9lMm9Eb2MueG1sUEsFBgAAAAAGAAYAWQEAAKY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6307"/>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n+nJ0VAgAAFQQAAA4AAABkcnMvZTJvRG9jLnhtbK1Ty47TMBTdI/EP&#10;lvc0aUcM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Xr2hRDOFHZ2+fzv9+HX6+ZVAB4Ba62fw21h4hu6t6bDoQe+hjHN3&#10;lVPxxkQEdkB9vMArukB4DJpOptMcJg7b8ED+7DHcOh/eCaNIFArqsL8EKzusfehdB5dYTZtVI2Xa&#10;odSkLej11e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On+nJ0VAgAAFQQAAA4AAAAAAAAA&#10;AQAgAAAAHwEAAGRycy9lMm9Eb2MueG1sUEsFBgAAAAAGAAYAWQEAAKY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250"/>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D2kG8V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PD2kG8VAgAAFQQAAA4AAAAAAAAA&#10;AQAgAAAAHwEAAGRycy9lMm9Eb2MueG1sUEsFBgAAAAAGAAYAWQEAAKY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250"/>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JeB4AVAgAAFQQAAA4AAABkcnMvZTJvRG9jLnhtbK1Ty47TMBTdI/EP&#10;lvc0aUeMSt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Xr2hRDOFHZ2+fzv9+HX6+ZVAB4Ba62fw21h4hu6t6bDoQe+hjHN3&#10;lVPxxkQEdkB9vMArukB4DJpOptMcJg7b8ED+7DHcOh/eCaNIFArqsL8EKzusfehdB5dYTZtVI2Xa&#10;odSkLej11e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LJeB4AVAgAAFQQAAA4AAAAAAAAA&#10;AQAgAAAAHwEAAGRycy9lMm9Eb2MueG1sUEsFBgAAAAAGAAYAWQEAAKY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60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val="1"/>
  <w:documentProtection w:enforcement="0"/>
  <w:characterSpacingControl w:val="doNotCompress"/>
  <w:compat>
    <w:spaceForUL/>
    <w:ulTrailSpace/>
    <w:useFELayout/>
    <w:compatSetting w:name="compatibilityMode" w:uri="http://schemas.microsoft.com/office/word" w:val="14"/>
  </w:compat>
  <w:rsids>
    <w:rsidRoot w:val="00000000"/>
    <w:rsid w:val="01C40DDD"/>
    <w:rsid w:val="02873BB9"/>
    <w:rsid w:val="06FA704F"/>
    <w:rsid w:val="08144141"/>
    <w:rsid w:val="09BE6D68"/>
    <w:rsid w:val="0B1B1342"/>
    <w:rsid w:val="0BA26ACE"/>
    <w:rsid w:val="0CA710DF"/>
    <w:rsid w:val="0DE3083D"/>
    <w:rsid w:val="11F569EE"/>
    <w:rsid w:val="1BC7354C"/>
    <w:rsid w:val="1C752FA8"/>
    <w:rsid w:val="1DC37776"/>
    <w:rsid w:val="1E8219AC"/>
    <w:rsid w:val="1F59624F"/>
    <w:rsid w:val="20566FDD"/>
    <w:rsid w:val="23052BAC"/>
    <w:rsid w:val="23C71C0F"/>
    <w:rsid w:val="25986E01"/>
    <w:rsid w:val="26377822"/>
    <w:rsid w:val="27B17CBE"/>
    <w:rsid w:val="2C7F56C9"/>
    <w:rsid w:val="349124F1"/>
    <w:rsid w:val="35BC17D5"/>
    <w:rsid w:val="36C236CC"/>
    <w:rsid w:val="383817DD"/>
    <w:rsid w:val="38BB22C0"/>
    <w:rsid w:val="3D2F0AF9"/>
    <w:rsid w:val="3F60143E"/>
    <w:rsid w:val="41DA54D8"/>
    <w:rsid w:val="42C45840"/>
    <w:rsid w:val="440E76BA"/>
    <w:rsid w:val="44670B79"/>
    <w:rsid w:val="45C91690"/>
    <w:rsid w:val="50010EFC"/>
    <w:rsid w:val="500876B4"/>
    <w:rsid w:val="50D852D8"/>
    <w:rsid w:val="51C615D4"/>
    <w:rsid w:val="52BB0A0D"/>
    <w:rsid w:val="562F7AA7"/>
    <w:rsid w:val="57315AD3"/>
    <w:rsid w:val="576D24F2"/>
    <w:rsid w:val="58AE2DC2"/>
    <w:rsid w:val="599E6993"/>
    <w:rsid w:val="5D30024A"/>
    <w:rsid w:val="5F434264"/>
    <w:rsid w:val="64043E8E"/>
    <w:rsid w:val="67211A19"/>
    <w:rsid w:val="6C117498"/>
    <w:rsid w:val="6CF748E0"/>
    <w:rsid w:val="6CFA492D"/>
    <w:rsid w:val="6E2E144E"/>
    <w:rsid w:val="73B01345"/>
    <w:rsid w:val="77CF26E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customStyle="1" w:styleId="2">
    <w:name w:val="Default"/>
    <w:semiHidden/>
    <w:qFormat/>
    <w:uiPriority w:val="0"/>
    <w:pPr>
      <w:widowControl w:val="0"/>
      <w:autoSpaceDE w:val="0"/>
      <w:autoSpaceDN w:val="0"/>
      <w:adjustRightInd w:val="0"/>
    </w:pPr>
    <w:rPr>
      <w:rFonts w:ascii="Arial Narrow" w:hAnsi="Arial Narrow" w:eastAsia="宋体" w:cs="Arial Narrow"/>
      <w:color w:val="000000"/>
      <w:sz w:val="24"/>
      <w:szCs w:val="24"/>
      <w:lang w:val="en-US" w:eastAsia="zh-CN" w:bidi="ar-SA"/>
    </w:rPr>
  </w:style>
  <w:style w:type="paragraph" w:styleId="3">
    <w:name w:val="Body Text"/>
    <w:basedOn w:val="1"/>
    <w:semiHidden/>
    <w:qFormat/>
    <w:uiPriority w:val="0"/>
    <w:rPr>
      <w:rFonts w:ascii="华文仿宋" w:hAnsi="华文仿宋" w:eastAsia="华文仿宋" w:cs="华文仿宋"/>
      <w:sz w:val="31"/>
      <w:szCs w:val="3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8">
    <w:name w:val="Table Normal"/>
    <w:semiHidden/>
    <w:unhideWhenUsed/>
    <w:qFormat/>
    <w:uiPriority w:val="0"/>
    <w:tblPr>
      <w:tblLayout w:type="fixed"/>
      <w:tblCellMar>
        <w:top w:w="0" w:type="dxa"/>
        <w:left w:w="0" w:type="dxa"/>
        <w:bottom w:w="0" w:type="dxa"/>
        <w:right w:w="0" w:type="dxa"/>
      </w:tblCellMar>
    </w:tblPr>
  </w:style>
  <w:style w:type="paragraph" w:customStyle="1" w:styleId="9">
    <w:name w:val="Table Text"/>
    <w:basedOn w:val="1"/>
    <w:semiHidden/>
    <w:qFormat/>
    <w:uiPriority w:val="0"/>
    <w:rPr>
      <w:rFonts w:ascii="Arial" w:hAnsi="Arial" w:eastAsia="Arial" w:cs="Arial"/>
      <w:sz w:val="21"/>
      <w:szCs w:val="21"/>
      <w:lang w:val="en-US" w:eastAsia="en-US" w:bidi="ar-SA"/>
    </w:rPr>
  </w:style>
  <w:style w:type="paragraph" w:customStyle="1" w:styleId="10">
    <w:name w:val="市局绩效-正文"/>
    <w:basedOn w:val="1"/>
    <w:qFormat/>
    <w:uiPriority w:val="0"/>
    <w:pPr>
      <w:spacing w:line="600" w:lineRule="exact"/>
      <w:ind w:firstLine="200" w:firstLineChars="200"/>
    </w:pPr>
    <w:rPr>
      <w:rFonts w:ascii="Times New Roman" w:hAnsi="Times New Roman" w:eastAsia="仿宋_GB2312"/>
      <w:sz w:val="32"/>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7.jpeg"/><Relationship Id="rId31" Type="http://schemas.openxmlformats.org/officeDocument/2006/relationships/image" Target="media/image6.jpeg"/><Relationship Id="rId30" Type="http://schemas.openxmlformats.org/officeDocument/2006/relationships/image" Target="media/image5.png"/><Relationship Id="rId3" Type="http://schemas.openxmlformats.org/officeDocument/2006/relationships/footer" Target="footer1.xml"/><Relationship Id="rId29" Type="http://schemas.openxmlformats.org/officeDocument/2006/relationships/image" Target="media/image4.png"/><Relationship Id="rId28" Type="http://schemas.openxmlformats.org/officeDocument/2006/relationships/image" Target="media/image3.png"/><Relationship Id="rId27" Type="http://schemas.openxmlformats.org/officeDocument/2006/relationships/image" Target="media/image2.jpeg"/><Relationship Id="rId26" Type="http://schemas.openxmlformats.org/officeDocument/2006/relationships/image" Target="media/image1.png"/><Relationship Id="rId25" Type="http://schemas.openxmlformats.org/officeDocument/2006/relationships/theme" Target="theme/theme1.xml"/><Relationship Id="rId24" Type="http://schemas.openxmlformats.org/officeDocument/2006/relationships/footer" Target="footer22.xml"/><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2022</Words>
  <Characters>2214</Characters>
  <TotalTime>20</TotalTime>
  <ScaleCrop>false</ScaleCrop>
  <LinksUpToDate>false</LinksUpToDate>
  <CharactersWithSpaces>2402</CharactersWithSpaces>
  <Application>WPS Office_11.8.2.8621_F1E327BC-269C-435d-A152-05C5408002CA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2026-09-21T17:37:00Z</dcterms:created>
  <dc:creator>Userlyz</dc:creator>
  <cp:lastModifiedBy>Administrator</cp:lastModifiedBy>
  <dcterms:modified xsi:type="dcterms:W3CDTF">2026-10-23T04:43:06Z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2026-10-15T16:38:53Z</vt:filetime>
  </property>
  <property fmtid="{D5CDD505-2E9C-101B-9397-08002B2CF9AE}" pid="4" name="KSOTemplateDocerSaveRecord">
    <vt:lpwstr>eyJoZGlkIjoiN2YzNjBkOTgyNWQ1YTMxYzM3MzMwNWFiODNmOWIzYWMiLCJ1c2VySWQiOiI3NTc1MDIxMjYifQ==</vt:lpwstr>
  </property>
  <property fmtid="{D5CDD505-2E9C-101B-9397-08002B2CF9AE}" pid="5" name="KSOProductBuildVer">
    <vt:lpwstr>2052-11.8.2.8621</vt:lpwstr>
  </property>
  <property fmtid="{D5CDD505-2E9C-101B-9397-08002B2CF9AE}" pid="6" name="ICV">
    <vt:lpwstr>8C88F290E80B4EBF985B6812FC9F4B98_12</vt:lpwstr>
  </property>
</Properties>
</file>