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伊州区城市生态绿化养护项目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新疆维吾尔自治区哈密河国家湿地公园管理处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新疆维吾尔自治区哈密河国家湿地公园管理处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牟宗军</w:t>
      </w:r>
    </w:p>
    <w:p>
      <w:pPr>
        <w:spacing w:line="540" w:lineRule="exact"/>
        <w:ind w:left="273" w:firstLine="567"/>
        <w:rPr>
          <w:rFonts w:hAnsi="宋体" w:eastAsia="仿宋_GB2312" w:cs="宋体"/>
          <w:kern w:val="0"/>
          <w:sz w:val="30"/>
          <w:szCs w:val="30"/>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2025年05月16日</w:t>
      </w:r>
      <w:bookmarkStart w:id="0" w:name="_GoBack"/>
      <w:bookmarkEnd w:id="0"/>
    </w:p>
    <w:p>
      <w:pPr>
        <w:spacing w:line="540" w:lineRule="exact"/>
        <w:rPr>
          <w:rStyle w:val="18"/>
          <w:rFonts w:ascii="黑体" w:hAnsi="黑体" w:eastAsia="黑体"/>
          <w:b w:val="0"/>
          <w:spacing w:val="-4"/>
          <w:sz w:val="32"/>
          <w:szCs w:val="32"/>
        </w:rPr>
      </w:pP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一、基本情况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（一）项目概况</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新疆维吾尔自治区哈密河国家湿地公园管理处，伊州区城市生态绿化养护项目预算资金2203万元，主要为新增哈密河流域生态治理政府购买第三方湿地公园管护服务，按照管辖区域对中心景观轴、湿地公园内进行管理和整治。改善湿地公园生态环境，恢复河坝生态环境，营造干净、整洁的环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主要内容：哈密河生态恢复工程的浇灌、整枝修剪、施肥，种植除草、病虫害防治、涂白、支撑、补植和防寒、园林设施的维护和保养、绿地内卫生环境整治等内容。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实施主体：哈密河国家湿地公园管理处主要职责是贯彻执行国家、自治区、市、区有关湿地保护的政策、法规，负责哈密河景观带及湿地公园综合管理工作；负责湿地公园管理处人力资源管理、资金流动和湿地公园相关档案的管理；组织协调有关部门开展湿地公园的科研，野生动物的保护、救助及疫病监测与防治；开展湿地保护的宣传教育活动;负责对湿地生态系统进行日常管理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人员编制和领导职数：哈密河国家湿地公园管理处核定全额预算事业编制30名，实有人数29人，退休49人，财政聘用7人，领导职数核定为两人。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伊州区城市生态绿化养护项目计划拨付2203万元，项目于2024年1月1日批复预算资金2203万元，截至2024年12月31日，项目用于支付湿地公园绿化维护及公园设施管护，项目资金支付2203万元，资金到位率100%，预算执行率为100%。</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总体目标为：该项目计划投入2203万资金，计划管理12个公园，主要为哈密河生态恢复工程的浇灌、整枝修剪、施肥，种植除草、病虫害防治、涂白、支撑、补植和防寒、园林设施的维护和保养、绿地内卫生环境整治等内容，使周边群众加强对湿地的了解，提高湿地保护意识，为区域社会经济的可持续发展提供生态环境保</w:t>
      </w:r>
      <w:r>
        <w:rPr>
          <w:rStyle w:val="18"/>
          <w:rFonts w:hint="eastAsia" w:ascii="仿宋_GB2312" w:hAnsi="仿宋_GB2312" w:eastAsia="仿宋_GB2312" w:cs="仿宋_GB2312"/>
          <w:b w:val="0"/>
          <w:bCs w:val="0"/>
          <w:spacing w:val="-4"/>
          <w:sz w:val="32"/>
          <w:szCs w:val="32"/>
          <w:lang w:val="en-US" w:eastAsia="zh-CN"/>
        </w:rPr>
        <w:t>护</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数量指标：生态绿化养护湿地数不低于10处；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质量指标：生态绿化养护覆盖率达到95%；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时效指标：生态绿化养护及时率达到100%。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经济成本指标：城市生态绿化养护实际成本不高于2203万元。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生态效益指标：有效改善湿地等生态系统功能；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社会效益指标：有效推动湿地保护与恢复力度。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满意度指标：市民满意度不低于95%。</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我单位根据《自治区财政支出绩效评价管理暂行办法》（新财预〔2018〕189号）文件精神，对伊州区城市生态绿化养护项目绩效目标实现情况进行自评。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本项目评价指标体系采用项目绩效自评表与决策、过程自定指标相结合方式，其中项目决策17分，项目过程23分，项目产出22分，项目效益20分，项目满意度8分，详细情况见附件2：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项目立项：立项依据充分性，权重2分；立项程序规范性，权重2分。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预算编制：测算标准合理性，权重3分；测算过程细化度，权重2分。</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数量指标：生态绿化养护湿地数量，权重6分；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质量指标：生态绿化养护覆盖率，权重5分；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时效指标：生态绿化养护及时率，权重5分。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成本指标：城市生态绿化养护实际成本，权重6分。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社会效益指标：有效推动湿地保护与恢复力度，权重10分；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生态效益指标：有效改善湿地等生态系统功能，权重10分。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服务对象满意度指标：市民满意度，权重8分。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伊州区城市生态绿化养护项目绩效评价主要通过项目单位自评、主管部门监督、财政部门参评的方式开展绩效评价工作。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发放调查问卷开展湿地公园周边市民满意度调查工作。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本次项目自评满分100分，自评得分</w:t>
      </w:r>
      <w:r>
        <w:rPr>
          <w:rStyle w:val="18"/>
          <w:rFonts w:hint="eastAsia" w:ascii="仿宋_GB2312" w:hAnsi="仿宋_GB2312" w:eastAsia="仿宋_GB2312" w:cs="仿宋_GB2312"/>
          <w:b w:val="0"/>
          <w:bCs w:val="0"/>
          <w:spacing w:val="-4"/>
          <w:sz w:val="32"/>
          <w:szCs w:val="32"/>
          <w:lang w:val="en-US" w:eastAsia="zh-CN"/>
        </w:rPr>
        <w:t>10</w:t>
      </w:r>
      <w:r>
        <w:rPr>
          <w:rStyle w:val="18"/>
          <w:rFonts w:hint="eastAsia" w:ascii="仿宋_GB2312" w:hAnsi="仿宋_GB2312" w:eastAsia="仿宋_GB2312" w:cs="仿宋_GB2312"/>
          <w:b w:val="0"/>
          <w:bCs w:val="0"/>
          <w:spacing w:val="-4"/>
          <w:sz w:val="32"/>
          <w:szCs w:val="32"/>
        </w:rPr>
        <w:t>0分，自评结果为“优”，其中项目决策得分17分，项目过程得分23分，项目产出得分22分，项目效益得分20分，项目满意度得分8分。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决策方面，立项依据较为充分，绩效目标明确，测算标准合理；项目过程方面，资金到位及时，管理制度较为健全；项目产出方面，通过公园管护项目的实施，解决了哈密市湿地公园十园两广场等公共休闲场所公园环境卫生及管护的问题；项目效益方面，对生态环境改善有一定的影响；项目满意度方面，为市民提供了舒适的环境。</w:t>
      </w:r>
    </w:p>
    <w:p>
      <w:pPr>
        <w:spacing w:line="540" w:lineRule="exact"/>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pPr>
        <w:spacing w:line="540" w:lineRule="exact"/>
        <w:rPr>
          <w:rStyle w:val="18"/>
          <w:rFonts w:hint="eastAsia" w:ascii="仿宋_GB2312" w:hAnsi="仿宋_GB2312" w:eastAsia="仿宋_GB2312" w:cs="仿宋_GB2312"/>
          <w:b w:val="0"/>
          <w:bCs w:val="0"/>
          <w:spacing w:val="-4"/>
          <w:sz w:val="32"/>
          <w:szCs w:val="32"/>
          <w:lang w:eastAsia="zh-CN"/>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1.项目立项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（1）立项依据充分性，满分4分，得分4分，得分率100%。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本项目是由哈密河国家湿地公园管理处提出申报，于2024年1月批复设立，2024年我单位组织实施该项目。项目立项符合国家法律法规、自治区和地区行业发展规划和政策要求，属于本部门履职所需。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（1）绩效目标明确性，满分4分，得分4分，得分率</w:t>
      </w:r>
      <w:r>
        <w:rPr>
          <w:rStyle w:val="18"/>
          <w:rFonts w:hint="eastAsia" w:ascii="仿宋_GB2312" w:hAnsi="仿宋_GB2312" w:eastAsia="仿宋_GB2312" w:cs="仿宋_GB2312"/>
          <w:b w:val="0"/>
          <w:bCs w:val="0"/>
          <w:spacing w:val="-4"/>
          <w:sz w:val="32"/>
          <w:szCs w:val="32"/>
          <w:lang w:val="en-US" w:eastAsia="zh-CN"/>
        </w:rPr>
        <w:t>100</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本项目已将项目绩效目标细化分解为具体的绩效指标，并通过清晰、可衡量的指标值予以体现，与项目目标任务数或计划数相对应。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根据决策依据编制工作计划和经费预算，经过与部门市政府分管领导进行沟通、筛选确定经费预算计划，上党委会研究确定最终预算方案。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预算编制经过科学论证，内容与项目内容匹配，项目投资额与工作任务相匹配。</w:t>
      </w:r>
      <w:r>
        <w:rPr>
          <w:rStyle w:val="18"/>
          <w:rFonts w:hint="eastAsia" w:ascii="仿宋_GB2312" w:hAnsi="仿宋_GB2312" w:eastAsia="仿宋_GB2312" w:cs="仿宋_GB2312"/>
          <w:b w:val="0"/>
          <w:bCs w:val="0"/>
          <w:spacing w:val="-4"/>
          <w:sz w:val="32"/>
          <w:szCs w:val="32"/>
          <w:lang w:eastAsia="zh-CN"/>
        </w:rPr>
        <w:tab/>
      </w:r>
    </w:p>
    <w:p>
      <w:pPr>
        <w:spacing w:line="540" w:lineRule="exact"/>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伊州区城市生态绿化养护项目计划拨付2203万元，项目于2024年1月1日批复预算资金2203万元，资金到位率100%。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该项目所需财政资金能够足额拨付到位，到位率100%，分别于2024年5月、9月、11月、12月共计支付2203万元，牵头单位能够及时足额按照合同约定将专项资金拨付给单位，预算执行率为100%。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8"/>
          <w:rFonts w:hint="eastAsia" w:ascii="仿宋_GB2312" w:hAnsi="仿宋_GB2312" w:eastAsia="仿宋_GB2312" w:cs="仿宋_GB2312"/>
          <w:b w:val="0"/>
          <w:bCs w:val="0"/>
          <w:spacing w:val="-4"/>
          <w:sz w:val="32"/>
          <w:szCs w:val="32"/>
          <w:lang w:val="en-US" w:eastAsia="zh-CN"/>
        </w:rPr>
        <w:t>经</w:t>
      </w:r>
      <w:r>
        <w:rPr>
          <w:rStyle w:val="18"/>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我单位制定了《项目经费管理》等相关项目管理办法，明确资金支付流程、适用范围与项目主管机构、项目实施管理机构、项目承担单位和项目负责人的主要职责与分工，同时对财政专项资金进行严格管理，基本做到了专款专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由部门提出经费预算支出可行性方案，经过与市政府分管领导沟通后，报党委会议研究执行，财务对资金的使用合法合规性进行监督，年底对资金使用效果进行自评。</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“生态绿化养护湿地数”，满分6分，得分6分，得分率100%。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预期指标值为“=10处”， 根据实地勘察与合同约定得出实际完成12处，与预期目标一致。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“生态绿化养护覆盖率”，满分5分，得分5分，得分率100%。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预期指标值为“≥95%”， 根据现场核查可知，及时完成项目。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“生态绿化养护及时率”，满分5分，得分5分，得分率100%。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预期指标值为“=100%”，根据实际情况按照合同约定已及时完成约定任务，与预期目标指标一致。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“城市生态绿化养护实际成本”，满分6分，得分6分，得分率100%。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预期指标值为“=2203万元”， 于2024年12月支付2203万元，与预期目标指标一致。</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“推动湿地保护与恢复力度”，满分15分，得分10分，得分率100%。预期指标值为“有效推动”，与预期目标指标略有差异，对湿地保护恢复力度仍需继续完善。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2.生态效益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“改善湿地等生态系统功能”，满分15分，得分10分，得分率100%。预期指标值为“有效改善”，与预期目标指标略有差异，对生态环境的改善仍需继续完善。</w:t>
      </w:r>
    </w:p>
    <w:p>
      <w:pPr>
        <w:spacing w:line="540" w:lineRule="exact"/>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“市民满意度”指标，满分8分，得分8分，得分率100%。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居民满意度分别从生态环境绿地种植满意度、空气质量改善满意度、植被物种保护与恢复满意度、湿地公园卫生环境满意度及绿植覆盖情况满意度五方面进行统计调查，调查得出，居民对以上五项均表示满意。预期指标值为“≥95%”，实际完成率为100%，与预期目标指标一致。</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五</w:t>
      </w:r>
      <w:r>
        <w:rPr>
          <w:rStyle w:val="18"/>
          <w:rFonts w:hint="eastAsia" w:ascii="仿宋_GB2312" w:hAnsi="仿宋_GB2312" w:eastAsia="仿宋_GB2312" w:cs="仿宋_GB2312"/>
          <w:b w:val="0"/>
          <w:spacing w:val="-4"/>
          <w:sz w:val="32"/>
          <w:szCs w:val="32"/>
        </w:rPr>
        <w:t>、主要经验及做法、存在的问题及原因分析</w:t>
      </w:r>
    </w:p>
    <w:p>
      <w:pPr>
        <w:spacing w:line="540" w:lineRule="exact"/>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用制度和流程规范项目管理和财务管理的各个环节，将项目管理过程中的相关法律法规作为制度和流程的骨架和根本。近几年来项目工作形成的具备基础功能的项目与财务管理制度和流程，项目实施过程中的各项环节能够在制度的框架内基本有序运行，而受人为因素的影响较小，因此，2024年湿地公园基础设施建设项目总体上得以有序开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1.资金支付不及时</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管理处作为本项目的建设单位，其资金支付全部由伊州区财政进行直接支付，在申请支付递交材料时存在部门之间对接不及时、不充分的情况，另一方面由于伊州区财政紧张的现实条件，限制了资金支付进度。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在下一步的项目管理中，管理处除了将进一步完善项目管理制度和财务管理制度之外，在与财政部门对接方面应当更加主动，主动对接、主动协调，保证资金支付过程中材料递交流程不拖延。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2.湿地教育培训及宣传教育需加强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本项目实施方案对湿地教育培训作出了明确计划，在具体实施过程中落实不够全面准确。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湿地教育培训工作十分重要，在湿地概念不断规范化、制度化、法治化的时代背景下，湿地公园管理机构对工作人员湿地相关业务能力不断增强的需求与日俱增，在下一步开展湿地培训相关工作时，管理处应当充分科学地统筹湿地教育培训工作，尽可能按照计划开展全面的湿地教育培训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在项目编制过程中，管理处应当充分将完成目标和客观条件科学地结合起来，多提意见和建议，使实施方案更加符合现实需要。在项目实施过程中加强管理，提高项目流程监测和复盘频率，确保项目在预算内进行。</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项目与</w:t>
      </w:r>
      <w:r>
        <w:rPr>
          <w:rStyle w:val="18"/>
          <w:rFonts w:hint="eastAsia" w:ascii="仿宋_GB2312" w:hAnsi="仿宋_GB2312" w:eastAsia="仿宋_GB2312" w:cs="仿宋_GB2312"/>
          <w:b w:val="0"/>
          <w:bCs w:val="0"/>
          <w:spacing w:val="-4"/>
          <w:sz w:val="32"/>
          <w:szCs w:val="32"/>
          <w:lang w:val="en-US" w:eastAsia="zh-CN"/>
        </w:rPr>
        <w:t>财</w:t>
      </w:r>
      <w:r>
        <w:rPr>
          <w:rStyle w:val="18"/>
          <w:rFonts w:hint="eastAsia" w:ascii="仿宋_GB2312" w:hAnsi="仿宋_GB2312" w:eastAsia="仿宋_GB2312" w:cs="仿宋_GB2312"/>
          <w:b w:val="0"/>
          <w:bCs w:val="0"/>
          <w:spacing w:val="-4"/>
          <w:sz w:val="32"/>
          <w:szCs w:val="32"/>
        </w:rPr>
        <w:t>务管理过程中虽然有基本的制度和流程，但是仍然有较大的巩固和完善的空间，尤其是涉及项目办公室与财务室协同工作时，彼此间沟通不充分、不及时的弊病就完全显示出来了。另一方面，单位与单位之间的沟通协调存在阻碍，比如管理处与财政部门之间的协调。分析其原因，首先是管理处业务科室和财务科室之间缺乏“协同作战”的工作意识，忽视了共同点而放大了差异点，在制度上也存在契合度不够的问题，没有能够为双方提供制度保障。其次是单位与单位之间天然存在着壁垒，降低了沟通协调效率，时间在这一来一往之间白白浪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仿宋_GB2312" w:hAnsi="仿宋_GB2312" w:eastAsia="仿宋_GB2312" w:cs="仿宋_GB2312"/>
          <w:b w:val="0"/>
          <w:bCs w:val="0"/>
          <w:spacing w:val="-4"/>
          <w:sz w:val="32"/>
          <w:szCs w:val="32"/>
          <w:lang w:val="en-US" w:eastAsia="zh-CN"/>
        </w:rPr>
        <w:t>健</w:t>
      </w:r>
      <w:r>
        <w:rPr>
          <w:rStyle w:val="18"/>
          <w:rFonts w:hint="eastAsia" w:ascii="仿宋_GB2312" w:hAnsi="仿宋_GB2312" w:eastAsia="仿宋_GB2312" w:cs="仿宋_GB2312"/>
          <w:b w:val="0"/>
          <w:bCs w:val="0"/>
          <w:spacing w:val="-4"/>
          <w:sz w:val="32"/>
          <w:szCs w:val="32"/>
        </w:rPr>
        <w:t>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4.绩效档案归档工作有待提高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5.项目支出绩效评价存在</w:t>
      </w:r>
      <w:r>
        <w:rPr>
          <w:rStyle w:val="18"/>
          <w:rFonts w:hint="eastAsia" w:ascii="仿宋_GB2312" w:hAnsi="仿宋_GB2312" w:eastAsia="仿宋_GB2312" w:cs="仿宋_GB2312"/>
          <w:b w:val="0"/>
          <w:bCs w:val="0"/>
          <w:spacing w:val="-4"/>
          <w:sz w:val="32"/>
          <w:szCs w:val="32"/>
          <w:lang w:val="en-US" w:eastAsia="zh-CN"/>
        </w:rPr>
        <w:t>局</w:t>
      </w:r>
      <w:r>
        <w:rPr>
          <w:rStyle w:val="18"/>
          <w:rFonts w:hint="eastAsia" w:ascii="仿宋_GB2312" w:hAnsi="仿宋_GB2312" w:eastAsia="仿宋_GB2312" w:cs="仿宋_GB2312"/>
          <w:b w:val="0"/>
          <w:bCs w:val="0"/>
          <w:spacing w:val="-4"/>
          <w:sz w:val="32"/>
          <w:szCs w:val="32"/>
        </w:rPr>
        <w:t>限</w:t>
      </w:r>
      <w:r>
        <w:rPr>
          <w:rStyle w:val="18"/>
          <w:rFonts w:hint="eastAsia" w:ascii="仿宋_GB2312" w:hAnsi="仿宋_GB2312" w:eastAsia="仿宋_GB2312" w:cs="仿宋_GB2312"/>
          <w:b w:val="0"/>
          <w:bCs w:val="0"/>
          <w:spacing w:val="-4"/>
          <w:sz w:val="32"/>
          <w:szCs w:val="32"/>
          <w:lang w:val="en-US" w:eastAsia="zh-CN"/>
        </w:rPr>
        <w:t>性</w:t>
      </w:r>
      <w:r>
        <w:rPr>
          <w:rStyle w:val="18"/>
          <w:rFonts w:hint="eastAsia" w:ascii="仿宋_GB2312" w:hAnsi="仿宋_GB2312" w:eastAsia="仿宋_GB2312" w:cs="仿宋_GB2312"/>
          <w:b w:val="0"/>
          <w:bCs w:val="0"/>
          <w:spacing w:val="-4"/>
          <w:sz w:val="32"/>
          <w:szCs w:val="32"/>
        </w:rPr>
        <w:t>，客观性有待加强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支出绩效评价工作还存在自我审定的单位限性，项目支出绩效工作有较大弹性，评价报告多单位限于描述项目实施情况，对问题避重就轻，对项目的打分松紧不一，会影响评价质量，在客观性和公正性上说服力不强。</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u w:val="dotted"/>
          <w:lang w:val="en-US" w:eastAsia="zh-CN"/>
        </w:rPr>
        <w:t>六</w:t>
      </w:r>
      <w:r>
        <w:rPr>
          <w:rStyle w:val="18"/>
          <w:rFonts w:hint="eastAsia" w:ascii="仿宋_GB2312" w:hAnsi="仿宋_GB2312" w:eastAsia="仿宋_GB2312" w:cs="仿宋_GB2312"/>
          <w:b w:val="0"/>
          <w:spacing w:val="-4"/>
          <w:sz w:val="32"/>
          <w:szCs w:val="32"/>
        </w:rPr>
        <w:t>、有关建议</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是项目业务制度和财务制度有待进一步完善。项目管理方面，无论是业务方面还是财务方面，其管理工作开展仍然略显粗糙，不够精细，存在一味追求进度的情况，建议完善项目管理业务和财务日志制度，及时对项目实施过程中的重要事件进行记录，以便于随时进行复盘，这一过程形成的经验和教训对后续的项目实施过程具有很重要的指导和借鉴意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是项目在实施过程中的业务流程和财务管理并不是独立的两个过程，彼此间存在着紧密的联系。在整个项目实施过程中，业务管理和财务管理工作中存在“孤军奋战”的情况，二者各自为政导致项目推进效率缓慢。建议在制度建设中引入项目联动会议机制，以短会的形式对项目新进展和遇到的问题及时对接通气、互通有无，促进业务和财务的联动，进而提高项目推进效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三是要加大宣传力度，通过多种方式、多种渠道广泛开展宣传工作。</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七</w:t>
      </w:r>
      <w:r>
        <w:rPr>
          <w:rStyle w:val="18"/>
          <w:rFonts w:hint="eastAsia" w:ascii="仿宋_GB2312" w:hAnsi="仿宋_GB2312" w:eastAsia="仿宋_GB2312" w:cs="仿宋_GB2312"/>
          <w:b w:val="0"/>
          <w:spacing w:val="-4"/>
          <w:sz w:val="32"/>
          <w:szCs w:val="32"/>
        </w:rPr>
        <w:t>、其他需要说明的问题</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565751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6"/>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7"/>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4"/>
    <w:qFormat/>
    <w:uiPriority w:val="10"/>
    <w:pPr>
      <w:widowControl/>
      <w:spacing w:before="240" w:after="60"/>
      <w:jc w:val="center"/>
      <w:outlineLvl w:val="0"/>
    </w:pPr>
    <w:rPr>
      <w:rFonts w:ascii="Cambria" w:hAnsi="Cambria" w:eastAsia="宋体"/>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Calibri" w:hAnsi="Calibri"/>
      <w:b/>
      <w:i/>
      <w:iCs/>
    </w:rPr>
  </w:style>
  <w:style w:type="paragraph" w:customStyle="1" w:styleId="20">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1">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2">
    <w:name w:val="Quote"/>
    <w:basedOn w:val="1"/>
    <w:next w:val="1"/>
    <w:link w:val="36"/>
    <w:qFormat/>
    <w:uiPriority w:val="29"/>
    <w:pPr>
      <w:widowControl/>
      <w:jc w:val="left"/>
    </w:pPr>
    <w:rPr>
      <w:rFonts w:ascii="Calibri" w:hAnsi="Calibri" w:eastAsia="宋体"/>
      <w:i/>
      <w:kern w:val="0"/>
      <w:sz w:val="24"/>
    </w:rPr>
  </w:style>
  <w:style w:type="paragraph" w:customStyle="1" w:styleId="23">
    <w:name w:val="Intense Quote"/>
    <w:basedOn w:val="1"/>
    <w:next w:val="1"/>
    <w:link w:val="37"/>
    <w:qFormat/>
    <w:uiPriority w:val="30"/>
    <w:pPr>
      <w:widowControl/>
      <w:ind w:left="720" w:right="720"/>
      <w:jc w:val="left"/>
    </w:pPr>
    <w:rPr>
      <w:rFonts w:ascii="Calibri" w:hAnsi="Calibri" w:eastAsia="宋体"/>
      <w:b/>
      <w:i/>
      <w:kern w:val="0"/>
      <w:sz w:val="24"/>
      <w:szCs w:val="22"/>
    </w:rPr>
  </w:style>
  <w:style w:type="paragraph" w:customStyle="1" w:styleId="24">
    <w:name w:val="TOC 标题1"/>
    <w:basedOn w:val="2"/>
    <w:next w:val="1"/>
    <w:semiHidden/>
    <w:unhideWhenUsed/>
    <w:qFormat/>
    <w:uiPriority w:val="39"/>
    <w:pPr>
      <w:outlineLvl w:val="9"/>
    </w:pPr>
    <w:rPr>
      <w:lang w:eastAsia="en-US" w:bidi="en-US"/>
    </w:rPr>
  </w:style>
  <w:style w:type="character" w:customStyle="1" w:styleId="25">
    <w:name w:val="标题 1 字符"/>
    <w:basedOn w:val="17"/>
    <w:link w:val="2"/>
    <w:qFormat/>
    <w:uiPriority w:val="9"/>
    <w:rPr>
      <w:rFonts w:ascii="Cambria" w:hAnsi="Cambria" w:eastAsia="宋体"/>
      <w:b/>
      <w:bCs/>
      <w:kern w:val="32"/>
      <w:sz w:val="32"/>
      <w:szCs w:val="32"/>
    </w:rPr>
  </w:style>
  <w:style w:type="character" w:customStyle="1" w:styleId="26">
    <w:name w:val="标题 2 字符"/>
    <w:basedOn w:val="17"/>
    <w:link w:val="3"/>
    <w:semiHidden/>
    <w:qFormat/>
    <w:uiPriority w:val="9"/>
    <w:rPr>
      <w:rFonts w:ascii="Cambria" w:hAnsi="Cambria" w:eastAsia="宋体"/>
      <w:b/>
      <w:bCs/>
      <w:i/>
      <w:iCs/>
      <w:sz w:val="28"/>
      <w:szCs w:val="28"/>
    </w:rPr>
  </w:style>
  <w:style w:type="character" w:customStyle="1" w:styleId="27">
    <w:name w:val="标题 3 字符"/>
    <w:basedOn w:val="17"/>
    <w:link w:val="4"/>
    <w:semiHidden/>
    <w:qFormat/>
    <w:uiPriority w:val="9"/>
    <w:rPr>
      <w:rFonts w:ascii="Cambria" w:hAnsi="Cambria" w:eastAsia="宋体"/>
      <w:b/>
      <w:bCs/>
      <w:sz w:val="26"/>
      <w:szCs w:val="26"/>
    </w:rPr>
  </w:style>
  <w:style w:type="character" w:customStyle="1" w:styleId="28">
    <w:name w:val="标题 4 字符"/>
    <w:basedOn w:val="17"/>
    <w:link w:val="5"/>
    <w:semiHidden/>
    <w:qFormat/>
    <w:uiPriority w:val="9"/>
    <w:rPr>
      <w:b/>
      <w:bCs/>
      <w:sz w:val="28"/>
      <w:szCs w:val="28"/>
    </w:rPr>
  </w:style>
  <w:style w:type="character" w:customStyle="1" w:styleId="29">
    <w:name w:val="标题 5 字符"/>
    <w:basedOn w:val="17"/>
    <w:link w:val="6"/>
    <w:semiHidden/>
    <w:qFormat/>
    <w:uiPriority w:val="9"/>
    <w:rPr>
      <w:b/>
      <w:bCs/>
      <w:i/>
      <w:iCs/>
      <w:sz w:val="26"/>
      <w:szCs w:val="26"/>
    </w:rPr>
  </w:style>
  <w:style w:type="character" w:customStyle="1" w:styleId="30">
    <w:name w:val="标题 6 字符"/>
    <w:basedOn w:val="17"/>
    <w:link w:val="7"/>
    <w:semiHidden/>
    <w:qFormat/>
    <w:uiPriority w:val="9"/>
    <w:rPr>
      <w:b/>
      <w:bCs/>
    </w:rPr>
  </w:style>
  <w:style w:type="character" w:customStyle="1" w:styleId="31">
    <w:name w:val="标题 7 字符"/>
    <w:basedOn w:val="17"/>
    <w:link w:val="8"/>
    <w:semiHidden/>
    <w:qFormat/>
    <w:uiPriority w:val="9"/>
    <w:rPr>
      <w:sz w:val="24"/>
      <w:szCs w:val="24"/>
    </w:rPr>
  </w:style>
  <w:style w:type="character" w:customStyle="1" w:styleId="32">
    <w:name w:val="标题 8 字符"/>
    <w:basedOn w:val="17"/>
    <w:link w:val="9"/>
    <w:semiHidden/>
    <w:qFormat/>
    <w:uiPriority w:val="9"/>
    <w:rPr>
      <w:i/>
      <w:iCs/>
      <w:sz w:val="24"/>
      <w:szCs w:val="24"/>
    </w:rPr>
  </w:style>
  <w:style w:type="character" w:customStyle="1" w:styleId="33">
    <w:name w:val="标题 9 字符"/>
    <w:basedOn w:val="17"/>
    <w:link w:val="10"/>
    <w:semiHidden/>
    <w:qFormat/>
    <w:uiPriority w:val="9"/>
    <w:rPr>
      <w:rFonts w:ascii="Cambria" w:hAnsi="Cambria" w:eastAsia="宋体"/>
    </w:rPr>
  </w:style>
  <w:style w:type="character" w:customStyle="1" w:styleId="34">
    <w:name w:val="标题 字符"/>
    <w:basedOn w:val="17"/>
    <w:link w:val="15"/>
    <w:qFormat/>
    <w:uiPriority w:val="10"/>
    <w:rPr>
      <w:rFonts w:ascii="Cambria" w:hAnsi="Cambria" w:eastAsia="宋体"/>
      <w:b/>
      <w:bCs/>
      <w:kern w:val="28"/>
      <w:sz w:val="32"/>
      <w:szCs w:val="32"/>
    </w:rPr>
  </w:style>
  <w:style w:type="character" w:customStyle="1" w:styleId="35">
    <w:name w:val="副标题 字符"/>
    <w:basedOn w:val="17"/>
    <w:link w:val="14"/>
    <w:qFormat/>
    <w:uiPriority w:val="11"/>
    <w:rPr>
      <w:rFonts w:ascii="Cambria" w:hAnsi="Cambria" w:eastAsia="宋体"/>
      <w:sz w:val="24"/>
      <w:szCs w:val="24"/>
    </w:rPr>
  </w:style>
  <w:style w:type="character" w:customStyle="1" w:styleId="36">
    <w:name w:val="引用 字符"/>
    <w:basedOn w:val="17"/>
    <w:link w:val="22"/>
    <w:qFormat/>
    <w:uiPriority w:val="29"/>
    <w:rPr>
      <w:i/>
      <w:sz w:val="24"/>
      <w:szCs w:val="24"/>
    </w:rPr>
  </w:style>
  <w:style w:type="character" w:customStyle="1" w:styleId="37">
    <w:name w:val="明显引用 字符"/>
    <w:basedOn w:val="17"/>
    <w:link w:val="23"/>
    <w:qFormat/>
    <w:uiPriority w:val="30"/>
    <w:rPr>
      <w:b/>
      <w:i/>
      <w:sz w:val="24"/>
    </w:rPr>
  </w:style>
  <w:style w:type="character" w:customStyle="1" w:styleId="38">
    <w:name w:val="不明显强调1"/>
    <w:qFormat/>
    <w:uiPriority w:val="19"/>
    <w:rPr>
      <w:i/>
      <w:color w:val="565656"/>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Cambria" w:hAnsi="Cambria" w:eastAsia="宋体"/>
      <w:b/>
      <w:i/>
      <w:sz w:val="24"/>
      <w:szCs w:val="24"/>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6564</Words>
  <Characters>6785</Characters>
  <Lines>5</Lines>
  <Paragraphs>1</Paragraphs>
  <TotalTime>0</TotalTime>
  <ScaleCrop>false</ScaleCrop>
  <LinksUpToDate>false</LinksUpToDate>
  <CharactersWithSpaces>0</CharactersWithSpaces>
  <Application>WPS Office_11.8.2.12251_F1E327BC-269C-435d-A152-05C5408002CA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2025-11-07T03:05:03Z</cp:lastPrinted>
  <dcterms:modified xsi:type="dcterms:W3CDTF">2025-11-07T03:05:08Z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2052-11.8.2.12251</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