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7"/>
          <w:rFonts w:hint="eastAsia" w:ascii="楷体" w:hAnsi="楷体" w:eastAsia="楷体"/>
          <w:spacing w:val="-4"/>
          <w:sz w:val="32"/>
          <w:szCs w:val="32"/>
        </w:rPr>
        <w:t>特定类—2024年十中运行经费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7"/>
          <w:rFonts w:hint="eastAsia" w:ascii="楷体" w:hAnsi="楷体" w:eastAsia="楷体"/>
          <w:spacing w:val="-4"/>
          <w:sz w:val="28"/>
          <w:szCs w:val="28"/>
        </w:rPr>
        <w:t>哈密市第十中学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7"/>
          <w:rFonts w:hint="eastAsia" w:ascii="楷体" w:hAnsi="楷体" w:eastAsia="楷体"/>
          <w:spacing w:val="-4"/>
          <w:sz w:val="28"/>
          <w:szCs w:val="28"/>
        </w:rPr>
        <w:t>哈密市伊州区教育局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7"/>
          <w:rFonts w:hint="eastAsia" w:ascii="楷体" w:hAnsi="楷体" w:eastAsia="楷体"/>
          <w:spacing w:val="-4"/>
          <w:sz w:val="32"/>
          <w:szCs w:val="32"/>
        </w:rPr>
        <w:t>郑磊</w:t>
      </w:r>
    </w:p>
    <w:p>
      <w:pPr>
        <w:spacing w:line="540" w:lineRule="exact"/>
        <w:ind w:left="273" w:firstLine="567"/>
        <w:rPr>
          <w:rStyle w:val="27"/>
          <w:rFonts w:ascii="楷体" w:hAnsi="楷体" w:eastAsia="楷体"/>
          <w:spacing w:val="-4"/>
          <w:sz w:val="32"/>
          <w:szCs w:val="32"/>
        </w:rPr>
      </w:pPr>
      <w:r>
        <w:rPr>
          <w:rFonts w:hint="eastAsia" w:hAnsi="宋体" w:eastAsia="仿宋_GB2312" w:cs="宋体"/>
          <w:kern w:val="0"/>
          <w:sz w:val="36"/>
          <w:szCs w:val="36"/>
        </w:rPr>
        <w:t>填报时间：</w:t>
      </w:r>
      <w:r>
        <w:rPr>
          <w:rStyle w:val="27"/>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27"/>
          <w:rFonts w:ascii="黑体" w:hAnsi="黑体" w:eastAsia="黑体"/>
          <w:b w:val="0"/>
          <w:spacing w:val="-4"/>
          <w:sz w:val="32"/>
          <w:szCs w:val="32"/>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_GB2312" w:cs="Times New Roman"/>
          <w:b w:val="0"/>
          <w:bCs w:val="0"/>
          <w:color w:val="000000"/>
          <w:spacing w:val="0"/>
          <w:sz w:val="32"/>
          <w:szCs w:val="32"/>
          <w:lang w:val="en-US" w:eastAsia="zh-CN"/>
        </w:rPr>
      </w:pPr>
      <w:r>
        <w:rPr>
          <w:rFonts w:hint="eastAsia" w:ascii="楷体_GB2312" w:hAnsi="楷体_GB2312" w:eastAsia="楷体_GB2312" w:cs="楷体_GB2312"/>
          <w:b/>
          <w:bCs/>
          <w:kern w:val="2"/>
          <w:sz w:val="32"/>
          <w:szCs w:val="32"/>
          <w:highlight w:val="none"/>
          <w:lang w:val="en-US" w:eastAsia="zh-CN" w:bidi="ar-SA"/>
        </w:rPr>
        <w:t>（一）项目概况</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1.项目背景</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根据</w:t>
      </w:r>
      <w:r>
        <w:rPr>
          <w:rFonts w:hint="eastAsia" w:eastAsia="仿宋_GB2312" w:cs="Times New Roman"/>
          <w:b w:val="0"/>
          <w:bCs w:val="0"/>
          <w:color w:val="000000"/>
          <w:spacing w:val="0"/>
          <w:sz w:val="32"/>
          <w:szCs w:val="32"/>
          <w:lang w:val="en-US" w:eastAsia="zh-CN"/>
        </w:rPr>
        <w:t>相关</w:t>
      </w:r>
      <w:r>
        <w:rPr>
          <w:rFonts w:hint="eastAsia" w:ascii="Times New Roman" w:hAnsi="Times New Roman" w:eastAsia="仿宋_GB2312" w:cs="Times New Roman"/>
          <w:b w:val="0"/>
          <w:bCs w:val="0"/>
          <w:color w:val="000000"/>
          <w:spacing w:val="0"/>
          <w:sz w:val="32"/>
          <w:szCs w:val="32"/>
          <w:lang w:val="en-US" w:eastAsia="zh-CN"/>
        </w:rPr>
        <w:t>文件要求，为提升学校食堂管理专业化水平，保障师生饮食安全与服务质量，学校通过公开招标或竞争性谈判方式，引入具备资质的第三方餐饮企业负责食堂运营管理。此举旨在借助专业团队的资源与经验，优化食堂服务，降低管理成本，同时落实食品安全主体责任，我单位于2024年制定了食堂托管费部门绩效目标管理办法。</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2.主要内容及实施情况</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本项目主要内容为：本年计划投入100万元，主要用于：学校食堂托管费，保障师生饮食安全与服务质量，提高了教师工作积极性，师生满意度95%以上。本项目于2024年1月开始实施，截止2024年12月已全部完成，通过本项目的实施，有效保障学校保障师生饮食安全与服务质量，有效提高学生和教师的幸福感。</w:t>
      </w:r>
    </w:p>
    <w:p>
      <w:pPr>
        <w:pStyle w:val="19"/>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321" w:firstLineChars="100"/>
        <w:textAlignment w:val="auto"/>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3.项目实施主体</w:t>
      </w:r>
    </w:p>
    <w:p>
      <w:pPr>
        <w:pStyle w:val="1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2024年哈密市伊州区财政局项目的实施主体为哈密市第十中学，该单位纳入2024年部门决算编制范围的有7个办公室：党政办公室、教务室、思政室、总务室、财务室、工会、教研室。</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编制人数为132人，其中：行政人员编制0人、工勤0人、参公0人、事业编制132人。实有在职人数162人，其中：行政在职0人、工勤0人、参公0人、事业在职179人、财聘人员8人；保安9人。2023年义务教育学生年报为1444人。</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食堂托管费项目计划拨付100万元，项目于2024年1月28日批复预算资金100万元，截至2024年12月31日，项目用于支付2024年食堂托管费，项目资金支付94.52万元，资金到位率94.52%，预算执行率为94.5%。</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（二）项目绩效目标</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本项目总体目标为：2024年该项目预算资金100万元，保障1444名学生的吃饭问题，保障后勤问题，提高教师工作积极性，师生满意度90%以上。</w:t>
      </w:r>
      <w:r>
        <w:rPr>
          <w:rFonts w:hint="eastAsia" w:ascii="Times New Roman" w:hAnsi="Times New Roman" w:eastAsia="仿宋_GB2312" w:cs="Times New Roman"/>
          <w:b w:val="0"/>
          <w:bCs w:val="0"/>
          <w:color w:val="000000"/>
          <w:spacing w:val="0"/>
          <w:sz w:val="32"/>
          <w:szCs w:val="32"/>
          <w:lang w:val="en-US" w:eastAsia="zh-CN"/>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数量指标：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①保障学生人数，享受教育经费学生人数不低于1444人。</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②保障班级数，保障班级数不低于30个班级。</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③保障教师人数，保障教师人数不低于170人。</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④保障食堂人数，食堂人数不低于30人。</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质量指标：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①采购物品质量达标率达到100%。</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②采购食品安全达标率达到100%。</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时效指标：食堂开餐及时率100%。</w:t>
      </w:r>
      <w:r>
        <w:rPr>
          <w:rFonts w:hint="eastAsia" w:ascii="Times New Roman" w:hAnsi="Times New Roman" w:eastAsia="仿宋_GB2312" w:cs="Times New Roman"/>
          <w:b w:val="0"/>
          <w:bCs w:val="0"/>
          <w:color w:val="000000"/>
          <w:spacing w:val="0"/>
          <w:sz w:val="32"/>
          <w:szCs w:val="32"/>
          <w:lang w:val="en-US" w:eastAsia="zh-CN"/>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2.成本指标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经济成本指标：月均运转经费为8.33万元/月。</w:t>
      </w:r>
      <w:r>
        <w:rPr>
          <w:rFonts w:hint="eastAsia" w:ascii="Times New Roman" w:hAnsi="Times New Roman" w:eastAsia="仿宋_GB2312" w:cs="Times New Roman"/>
          <w:b w:val="0"/>
          <w:bCs w:val="0"/>
          <w:color w:val="000000"/>
          <w:spacing w:val="0"/>
          <w:sz w:val="32"/>
          <w:szCs w:val="32"/>
          <w:lang w:val="en-US" w:eastAsia="zh-CN"/>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3.效益指标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社会效益指标：保障学生学习积极性。</w:t>
      </w:r>
      <w:r>
        <w:rPr>
          <w:rFonts w:hint="eastAsia" w:ascii="Times New Roman" w:hAnsi="Times New Roman" w:eastAsia="仿宋_GB2312" w:cs="Times New Roman"/>
          <w:b w:val="0"/>
          <w:bCs w:val="0"/>
          <w:color w:val="000000"/>
          <w:spacing w:val="0"/>
          <w:sz w:val="32"/>
          <w:szCs w:val="32"/>
          <w:lang w:val="en-US" w:eastAsia="zh-CN"/>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4.满意度指标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满意度指标：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①教师满意度达到95%。</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②学生满意度达到95%。</w:t>
      </w:r>
    </w:p>
    <w:p>
      <w:pPr>
        <w:keepNext w:val="0"/>
        <w:keepLines w:val="0"/>
        <w:pageBreakBefore w:val="0"/>
        <w:widowControl w:val="0"/>
        <w:numPr>
          <w:ilvl w:val="0"/>
          <w:numId w:val="2"/>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绩效评价工作开展情况</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（一）绩效评价目的、对象和范围</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我单位根据《自治区财政支出绩效评价管理暂行办法》（新财预〔2018〕189号）文件精神，对食堂托管费资金项目绩效目标实现情况进行自评。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textAlignment w:val="top"/>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（二）绩效评价原则、评价指标体系、评价方法、评价标准</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1.绩效评价原则</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（1）科学公正。绩效评价应当运用科学合理的方法，按照规范的程序，对项目绩效进行客观、公正的反映。</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（3）激励约束。绩效评价结果应与预算安排、政策调整、改进管理实质性挂钩，体现奖优罚劣和激励相容导向，有效要安排、低效要压减、无效要问责。</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（4）公开透明。绩效评价结果应依法依规公开，并自觉接受社会监督。</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2.评价指标体系</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 xml:space="preserve">   本项目评价指标体系采用项目绩效自评表与决策、过程自定指标相结合方式，其中项目决策17分，项目过程23分，项目产出22分，项目效益30分，项目满意度8分，详细情况见附件2。</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（1）项目决策</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项目立项：立项依据充分性，权重2分；立项程序规范性，权重2分。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绩效目标：绩效目标明确性，权重4分；绩效目标合理性，权重4分。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预算编制：测算标准科学性，权重3分；资金分配合理性，权重2分。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（2）项目过程</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资金管理：资金到位率，权重6分；预算执行率，权重6分。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组织实施：资金使用合规性，权重4分，管理制度健全性，权重4分，制度执行有效性，权重3分。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（3）项目产出</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数量指标：享受教育经费学生人数，权重2分；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数量指标：班级数，权重2分；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数量指标：教师人数，权重2分；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数量指标：食堂数量，权重2分。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质量指标：采购物品质量达标率，权重3分；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质量指标：采购食品安全达标率，权重3分。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时效指标：食堂餐食开餐及时率，权重3分。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成本指标：月均运转经费，权重5分。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（3）效益指标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社会效益指标：保障学生学习积极性，权重30分；</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（4）满意度指标</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服务对象满意度指标：师生满意度，权重8分。</w:t>
      </w:r>
      <w:r>
        <w:rPr>
          <w:rFonts w:hint="eastAsia" w:ascii="Times New Roman" w:hAnsi="Times New Roman" w:eastAsia="仿宋_GB2312" w:cs="Times New Roman"/>
          <w:b w:val="0"/>
          <w:bCs w:val="0"/>
          <w:color w:val="000000"/>
          <w:spacing w:val="0"/>
          <w:sz w:val="32"/>
          <w:szCs w:val="32"/>
          <w:lang w:val="en-US" w:eastAsia="zh-CN"/>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3.评价方法</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食堂托管费项目绩效评价主要通过项目单位自评、主管部门监督、财政部门参评的方式开展绩效评价工作。</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绩效评价的方法主要包括：成本效益分析法、比较法、因素分析法、最低成本法、公众评判法、核实法等。根据评价指标的具体情况，可采用一种或多种方法。</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（1）成本效益分析法。是指将投入与产出、效益进行关联性分析的方法。</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（2）比较法。是指将实施情况与绩效目标、历史情况、不同部门和地区同类支出情况进行比较的方法。</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（3）因素分析法。是指综合分析影响绩效目标实现、实施效果的内外部因素的方法。</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（4）最低成本法。是指在绩效目标确定的前提下，成本最小者为优的方法。</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（5）公众评判法。是指通过专家评估、公众问卷及抽样调查等方式进行评判的方法。</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0"/>
          <w:sz w:val="32"/>
          <w:szCs w:val="32"/>
          <w:lang w:val="en-US" w:eastAsia="zh-CN"/>
        </w:rPr>
        <w:t>（6）核实法。是收集包括书面资料及以外的信息以证实书面资料及其所反映经济活动的真实，合法，合理，有效和正确的方法。</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4.评价标准</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绩效评价标准通常包括计划标准、行业标准、历史标准等，用于对绩效指标完成情况进行比较。</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单位自评采用定量与定性评价相结合的比较法，总分由各项指标得分汇总形成。</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（三）绩效评价工作过程</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1.前期准备</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br w:type="textWrapping"/>
      </w:r>
      <w:r>
        <w:rPr>
          <w:rFonts w:hint="eastAsia" w:ascii="Times New Roman" w:hAnsi="Times New Roman" w:eastAsia="仿宋_GB2312" w:cs="Times New Roman"/>
          <w:b w:val="0"/>
          <w:bCs w:val="0"/>
          <w:color w:val="000000"/>
          <w:spacing w:val="0"/>
          <w:sz w:val="32"/>
          <w:szCs w:val="32"/>
          <w:lang w:val="en-US" w:eastAsia="zh-CN"/>
        </w:rPr>
        <w:t>（1）整理项目全过程资料建档：资金及项目批复文件、绩效目标申报表、可行性研究报告或实施方案、（招标文件）绩效目标过程监控表、验收报告（或决算）、资金支付或会计凭证、满意度调查问卷。作为评价基础资料。</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（2）采取“年初绩效目标预定与实施效果比较法”进行评价，评价指标体系以绩效目标申报指标为依据。</w:t>
      </w:r>
      <w:r>
        <w:rPr>
          <w:rFonts w:hint="eastAsia" w:ascii="Times New Roman" w:hAnsi="Times New Roman" w:eastAsia="仿宋_GB2312" w:cs="Times New Roman"/>
          <w:b w:val="0"/>
          <w:bCs w:val="0"/>
          <w:color w:val="000000"/>
          <w:spacing w:val="0"/>
          <w:sz w:val="32"/>
          <w:szCs w:val="32"/>
          <w:lang w:val="en-US" w:eastAsia="zh-CN"/>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2.组织过程</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（1）项目全过程资料档案复核</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（2）检查内容和过程</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发放调查问卷开展教师、学生满意度调查工作。</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（3）撰写报告情况</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根据所搜集的印证材料，按绩效评价原理和指标体系进行分析、评价和汇总，撰写绩效自评报告，并在规定时间上报。</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三、综合评价情况及评价结论</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本次项目自评满分100分，自评得99.39分，自评结果为“优”，其中项目决策得分17分，项目过程得分23分，项目产出得分19.94分，项目效益得分30分，项目满意度得分8分。</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综合评价结论：项目决策方面，立法依据充分合理，项目立项符合法律法规、相关政策、发展规划以及部门职责，能用于反映和考核项目立项依据情况。绩效目标明确性达标，依据绩效目标设定的绩效指标清晰、细化、可衡量等，能用以反映和考核项目绩效目标的明细化情况。项目所设定的绩效目标依据充分，能符合客观实际，用以反映和考核项目绩效目标与项目实施的相符情况。预算编制方面，项目预算测算项目支出标准符合相关政策制度或行业、领域规定；测算过程细化清晰。项目过程方面，预算资金足额到位，能用以反映和考核资金落实情况和对项目实施的总体保障程度，项目实施单位的财务和业务管理制度很健全；制度执行有效性较好；项目产出方面：经费使用合规率、基本保障经费支付及时率、生均享受教育经费标准都能达标；项目效益方面，社会效益能达标，确保教育投入优先保障，不断改善学生学习环境建设，经济效益没有评价；项目满意度方面，教师和学生的满意度调查结果，反映教师和学生对学校的满意程度都在95%以上。</w:t>
      </w:r>
    </w:p>
    <w:p>
      <w:pPr>
        <w:keepNext w:val="0"/>
        <w:keepLines w:val="0"/>
        <w:pageBreakBefore w:val="0"/>
        <w:widowControl w:val="0"/>
        <w:numPr>
          <w:ilvl w:val="0"/>
          <w:numId w:val="3"/>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绩效评价指标分析 </w:t>
      </w:r>
    </w:p>
    <w:p>
      <w:pPr>
        <w:keepNext w:val="0"/>
        <w:keepLines w:val="0"/>
        <w:pageBreakBefore w:val="0"/>
        <w:widowControl w:val="0"/>
        <w:numPr>
          <w:ilvl w:val="0"/>
          <w:numId w:val="3"/>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（一）项目决策情况</w:t>
      </w:r>
    </w:p>
    <w:p>
      <w:pPr>
        <w:keepNext w:val="0"/>
        <w:keepLines w:val="0"/>
        <w:pageBreakBefore w:val="0"/>
        <w:widowControl w:val="0"/>
        <w:numPr>
          <w:ilvl w:val="0"/>
          <w:numId w:val="4"/>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项目立项</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立项依据充分性，满分2分，得分2分，得分率100%。</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我单位根据</w:t>
      </w:r>
      <w:r>
        <w:rPr>
          <w:rFonts w:hint="eastAsia" w:eastAsia="仿宋_GB2312" w:cs="Times New Roman"/>
          <w:b w:val="0"/>
          <w:bCs w:val="0"/>
          <w:color w:val="000000"/>
          <w:spacing w:val="0"/>
          <w:sz w:val="32"/>
          <w:szCs w:val="32"/>
          <w:lang w:val="en-US" w:eastAsia="zh-CN"/>
        </w:rPr>
        <w:t>相关</w:t>
      </w:r>
      <w:r>
        <w:rPr>
          <w:rFonts w:hint="eastAsia" w:ascii="Times New Roman" w:hAnsi="Times New Roman" w:eastAsia="仿宋_GB2312" w:cs="Times New Roman"/>
          <w:b w:val="0"/>
          <w:bCs w:val="0"/>
          <w:color w:val="000000"/>
          <w:spacing w:val="0"/>
          <w:sz w:val="32"/>
          <w:szCs w:val="32"/>
          <w:lang w:val="en-US" w:eastAsia="zh-CN"/>
        </w:rPr>
        <w:t>文件要求，申请食堂托管费立项，立项依据充分合理，项目立项符合法律法规、相关政策、发展规划以及部门职责，能用于反映和考核项目立项依据情况。</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2.立项程序规范性，满分2分，得分2分，得分率100%。项目立项符合规定程序，审批文件等材料合规、完整，有完整的评估程序和集体决策。</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2.绩效目标</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（1）绩效目标明确性，满分4分，得分4分，得分率100%。</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我单位绩效目标为：2024年该项目预算资金1002万元，保障1444名学生，不断提高学生学习环境建设，提高教师工作积极性，师生满意度90%以上。绩效目标包含产出和效果内容，并通过清晰、可衡量的指标予以体现，符合部门工作任务要求，依据绩效目标设定的绩效指标清晰、细化、可衡量等，能用以反映和考核项目绩效目标的明细化情况。</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（2）绩效目标合理性，满分4分，得分4分，得分率100%。</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我单位绩效目标为：2024年该项目预算资金100万元，保障1444名学生，不断提高学生学习环境建设，提高教师工作积极性，师生满意度90%以上。项目绩效目标细化分解为具体指标，绩效目标内容与项目相关，产出和效益符合正常业绩水平，资金投入与预算资金相匹配。项目所设定的绩效目标依据充分，能符合客观实际，用以反映和考核项目绩效目标与项目实施的相符情况。</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3.预算编制</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（1）测算标准合理性，满分3分，得分3分，得分率100%。</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项目依据</w:t>
      </w:r>
      <w:r>
        <w:rPr>
          <w:rFonts w:hint="eastAsia" w:eastAsia="仿宋_GB2312" w:cs="Times New Roman"/>
          <w:b w:val="0"/>
          <w:bCs w:val="0"/>
          <w:color w:val="000000"/>
          <w:spacing w:val="0"/>
          <w:sz w:val="32"/>
          <w:szCs w:val="32"/>
          <w:lang w:val="en-US" w:eastAsia="zh-CN"/>
        </w:rPr>
        <w:t>文件要求</w:t>
      </w:r>
      <w:r>
        <w:rPr>
          <w:rFonts w:hint="eastAsia" w:ascii="Times New Roman" w:hAnsi="Times New Roman" w:eastAsia="仿宋_GB2312" w:cs="Times New Roman"/>
          <w:b w:val="0"/>
          <w:bCs w:val="0"/>
          <w:color w:val="000000"/>
          <w:spacing w:val="0"/>
          <w:sz w:val="32"/>
          <w:szCs w:val="32"/>
          <w:lang w:val="en-US" w:eastAsia="zh-CN"/>
        </w:rPr>
        <w:t>，按照每月8.33万元申请预算资金，共计申请100万元，项目预算测算项目支出标准符合相关政策制度或行业、领域规定，测算标准合理。</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（2）测算过程细化度，满分2分，得分2分，得分率100%。</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项目依据文件</w:t>
      </w:r>
      <w:r>
        <w:rPr>
          <w:rFonts w:hint="eastAsia" w:eastAsia="仿宋_GB2312" w:cs="Times New Roman"/>
          <w:b w:val="0"/>
          <w:bCs w:val="0"/>
          <w:color w:val="000000"/>
          <w:spacing w:val="0"/>
          <w:sz w:val="32"/>
          <w:szCs w:val="32"/>
          <w:lang w:val="en-US" w:eastAsia="zh-CN"/>
        </w:rPr>
        <w:t>要求</w:t>
      </w:r>
      <w:r>
        <w:rPr>
          <w:rFonts w:hint="eastAsia" w:ascii="Times New Roman" w:hAnsi="Times New Roman" w:eastAsia="仿宋_GB2312" w:cs="Times New Roman"/>
          <w:b w:val="0"/>
          <w:bCs w:val="0"/>
          <w:color w:val="000000"/>
          <w:spacing w:val="0"/>
          <w:sz w:val="32"/>
          <w:szCs w:val="32"/>
          <w:lang w:val="en-US" w:eastAsia="zh-CN"/>
        </w:rPr>
        <w:t>，按照每月8.33万元标准申请预算资金，共计申请100万元，该项目资金已按预算计划全部支付94.52万元，已根据实际购置设备测算成本，测算过程细化清晰。</w:t>
      </w:r>
      <w:r>
        <w:rPr>
          <w:rFonts w:hint="eastAsia" w:ascii="Times New Roman" w:hAnsi="Times New Roman" w:eastAsia="仿宋_GB2312" w:cs="Times New Roman"/>
          <w:b w:val="0"/>
          <w:bCs w:val="0"/>
          <w:color w:val="000000"/>
          <w:spacing w:val="0"/>
          <w:sz w:val="32"/>
          <w:szCs w:val="32"/>
          <w:lang w:val="en-US" w:eastAsia="zh-CN"/>
        </w:rPr>
        <w:tab/>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（二）项目过程情况</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1.资金管理</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（1）资金到位率，满分6分，得分6分，得分率100%。</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本项目2024年1月共计申请资金100万元，2024年1月伊州区财政局拨付100元，资金到位率达到100%，能用以反映和考核资金落实情况和对项目实施的总体保障程度。</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（2）预算执行率，满分6分，得分6分，得分率100%。</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本项目2024年1月共计申请资金100万元，2024年1月伊州区财政局拨付100万元，2024年12月底前预算支出94.52万元，预算执行率达到94.5%。</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2.组织实施</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11"/>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（1）资金使用合规性，满分4分，得分4分，得分率100%。项目资金使用符合政府会计制度的相关规定，各项拨付井领导审批，有完整的审批手续，项目支出不存在截留、挤占、挪用、</w:t>
      </w:r>
      <w:r>
        <w:rPr>
          <w:rFonts w:hint="eastAsia" w:ascii="Times New Roman" w:hAnsi="Times New Roman" w:eastAsia="仿宋_GB2312" w:cs="Times New Roman"/>
          <w:b w:val="0"/>
          <w:bCs w:val="0"/>
          <w:color w:val="000000"/>
          <w:spacing w:val="11"/>
          <w:sz w:val="32"/>
          <w:szCs w:val="32"/>
          <w:lang w:val="en-US" w:eastAsia="zh-CN"/>
        </w:rPr>
        <w:t>虚列支出等情况，本年度审计、巡视、财政巡察未发现违规问题。</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（2）管理制度健全性，满分4分，得分4分，得分率100%。</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财务制度方面，我单位为保障项目资金合理支出，通过校支委会、校委会多次集体讨论，最终制定《预算管理内部控制制度》等，规定项目支出的合理流程，用以反映和考核财务和业务管理制度对项目顺利实施的保障情况，同时多次召开校委会扩大会议，校主要领导带领大家认真学习《预算管理内部控制制度》等文件和制度，校支委会多次开会补充和完善实际工作中发现现有制度的不足之处，最终使学校的各项制度很健全。</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（3）制度执行有效性，满分3分，得分3分，得分率100%。</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我单位为保障项目资金合理支出，制定《预算管理内部控制制度》，规定项目支出的合理流程，制度执行有效性很好，评价内容主要从项目申报、项目实施、项目结项、项目后续等4个环节展开，结合相关管理规定进行评价，我单位严格按照《预算管理内部控制制度》等相关制度，严格按流程去申报项目、实施、检查、评价等环节，最终证实我单位的制度执行是高效的。</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（三）项目产出情况</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1.产出数量</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（1）享受教育经费学生人数，满分2分，得分2分，得分率100%，依据文件</w:t>
      </w:r>
      <w:r>
        <w:rPr>
          <w:rFonts w:hint="eastAsia" w:eastAsia="仿宋_GB2312" w:cs="Times New Roman"/>
          <w:b w:val="0"/>
          <w:bCs w:val="0"/>
          <w:color w:val="000000"/>
          <w:spacing w:val="0"/>
          <w:sz w:val="32"/>
          <w:szCs w:val="32"/>
          <w:lang w:val="en-US" w:eastAsia="zh-CN"/>
        </w:rPr>
        <w:t>要求</w:t>
      </w:r>
      <w:r>
        <w:rPr>
          <w:rFonts w:hint="eastAsia" w:ascii="Times New Roman" w:hAnsi="Times New Roman" w:eastAsia="仿宋_GB2312" w:cs="Times New Roman"/>
          <w:b w:val="0"/>
          <w:bCs w:val="0"/>
          <w:color w:val="000000"/>
          <w:spacing w:val="0"/>
          <w:sz w:val="32"/>
          <w:szCs w:val="32"/>
          <w:lang w:val="en-US" w:eastAsia="zh-CN"/>
        </w:rPr>
        <w:t>，我校应享受义务教育经费学生人数达到1444人，核对2024年年报学生数据，实际享受义务教育经费学生人数达到1444人。</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（2）班级数，满分2分，得分2分，得分率100%，依据文件</w:t>
      </w:r>
      <w:r>
        <w:rPr>
          <w:rFonts w:hint="eastAsia" w:eastAsia="仿宋_GB2312" w:cs="Times New Roman"/>
          <w:b w:val="0"/>
          <w:bCs w:val="0"/>
          <w:color w:val="000000"/>
          <w:spacing w:val="0"/>
          <w:sz w:val="32"/>
          <w:szCs w:val="32"/>
          <w:lang w:val="en-US" w:eastAsia="zh-CN"/>
        </w:rPr>
        <w:t>要求</w:t>
      </w:r>
      <w:r>
        <w:rPr>
          <w:rFonts w:hint="eastAsia" w:ascii="Times New Roman" w:hAnsi="Times New Roman" w:eastAsia="仿宋_GB2312" w:cs="Times New Roman"/>
          <w:b w:val="0"/>
          <w:bCs w:val="0"/>
          <w:color w:val="000000"/>
          <w:spacing w:val="0"/>
          <w:sz w:val="32"/>
          <w:szCs w:val="32"/>
          <w:lang w:val="en-US" w:eastAsia="zh-CN"/>
        </w:rPr>
        <w:t>，我校应享受义务教育经费班级人数30个人，核对2024年年报学生数据，实际享受义务教育经费班级数达到30个。</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（3）教师人数，满分2分，得分1.94分，依据文件</w:t>
      </w:r>
      <w:r>
        <w:rPr>
          <w:rFonts w:hint="eastAsia" w:eastAsia="仿宋_GB2312" w:cs="Times New Roman"/>
          <w:b w:val="0"/>
          <w:bCs w:val="0"/>
          <w:color w:val="000000"/>
          <w:spacing w:val="0"/>
          <w:sz w:val="32"/>
          <w:szCs w:val="32"/>
          <w:lang w:val="en-US" w:eastAsia="zh-CN"/>
        </w:rPr>
        <w:t>要求</w:t>
      </w:r>
      <w:r>
        <w:rPr>
          <w:rFonts w:hint="eastAsia" w:ascii="Times New Roman" w:hAnsi="Times New Roman" w:eastAsia="仿宋_GB2312" w:cs="Times New Roman"/>
          <w:b w:val="0"/>
          <w:bCs w:val="0"/>
          <w:color w:val="000000"/>
          <w:spacing w:val="0"/>
          <w:sz w:val="32"/>
          <w:szCs w:val="32"/>
          <w:lang w:val="en-US" w:eastAsia="zh-CN"/>
        </w:rPr>
        <w:t>，我校应享受义务教育经费170人，核对2024年决算数据，实际享受义务教育经费班级数达到168人，有两名老师退休，得分率97%。</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（4）食堂人数，满分2分，得分2分。得分率100%，依据文件</w:t>
      </w:r>
      <w:r>
        <w:rPr>
          <w:rFonts w:hint="eastAsia" w:eastAsia="仿宋_GB2312" w:cs="Times New Roman"/>
          <w:b w:val="0"/>
          <w:bCs w:val="0"/>
          <w:color w:val="000000"/>
          <w:spacing w:val="0"/>
          <w:sz w:val="32"/>
          <w:szCs w:val="32"/>
          <w:lang w:val="en-US" w:eastAsia="zh-CN"/>
        </w:rPr>
        <w:t>要求</w:t>
      </w:r>
      <w:r>
        <w:rPr>
          <w:rFonts w:hint="eastAsia" w:ascii="Times New Roman" w:hAnsi="Times New Roman" w:eastAsia="仿宋_GB2312" w:cs="Times New Roman"/>
          <w:b w:val="0"/>
          <w:bCs w:val="0"/>
          <w:color w:val="000000"/>
          <w:spacing w:val="0"/>
          <w:sz w:val="32"/>
          <w:szCs w:val="32"/>
          <w:lang w:val="en-US" w:eastAsia="zh-CN"/>
        </w:rPr>
        <w:t>，我校应享受义务教育经费食堂人数30人，核对2024年年报数据，实际享受义务教育经费食堂人数30人。</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2.产出质量</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（1）采购物品质量达标率，满分3分，得分3分，得分率100%，</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经费使用合规率方面严格按政策执行，根据文件</w:t>
      </w:r>
      <w:r>
        <w:rPr>
          <w:rFonts w:hint="eastAsia" w:eastAsia="仿宋_GB2312" w:cs="Times New Roman"/>
          <w:b w:val="0"/>
          <w:bCs w:val="0"/>
          <w:color w:val="000000"/>
          <w:spacing w:val="0"/>
          <w:sz w:val="32"/>
          <w:szCs w:val="32"/>
          <w:lang w:val="en-US" w:eastAsia="zh-CN"/>
        </w:rPr>
        <w:t>要求</w:t>
      </w:r>
      <w:r>
        <w:rPr>
          <w:rFonts w:hint="eastAsia" w:ascii="Times New Roman" w:hAnsi="Times New Roman" w:eastAsia="仿宋_GB2312" w:cs="Times New Roman"/>
          <w:b w:val="0"/>
          <w:bCs w:val="0"/>
          <w:color w:val="000000"/>
          <w:spacing w:val="0"/>
          <w:sz w:val="32"/>
          <w:szCs w:val="32"/>
          <w:lang w:val="en-US" w:eastAsia="zh-CN"/>
        </w:rPr>
        <w:t>，物品达标率100%。</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（2）采购食品安全达标率，满分3分，得分3分，得分率100%</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经费使用合规率方面严格按政策执行，根据文件</w:t>
      </w:r>
      <w:r>
        <w:rPr>
          <w:rFonts w:hint="eastAsia" w:eastAsia="仿宋_GB2312" w:cs="Times New Roman"/>
          <w:b w:val="0"/>
          <w:bCs w:val="0"/>
          <w:color w:val="000000"/>
          <w:spacing w:val="0"/>
          <w:sz w:val="32"/>
          <w:szCs w:val="32"/>
          <w:lang w:val="en-US" w:eastAsia="zh-CN"/>
        </w:rPr>
        <w:t>要求</w:t>
      </w:r>
      <w:r>
        <w:rPr>
          <w:rFonts w:hint="eastAsia" w:ascii="Times New Roman" w:hAnsi="Times New Roman" w:eastAsia="仿宋_GB2312" w:cs="Times New Roman"/>
          <w:b w:val="0"/>
          <w:bCs w:val="0"/>
          <w:color w:val="000000"/>
          <w:spacing w:val="0"/>
          <w:sz w:val="32"/>
          <w:szCs w:val="32"/>
          <w:lang w:val="en-US" w:eastAsia="zh-CN"/>
        </w:rPr>
        <w:t>，我单位经费使用合规率达到100%。</w:t>
      </w:r>
      <w:r>
        <w:rPr>
          <w:rFonts w:hint="eastAsia" w:ascii="Times New Roman" w:hAnsi="Times New Roman" w:eastAsia="仿宋_GB2312" w:cs="Times New Roman"/>
          <w:b w:val="0"/>
          <w:bCs w:val="0"/>
          <w:color w:val="000000"/>
          <w:spacing w:val="0"/>
          <w:sz w:val="32"/>
          <w:szCs w:val="32"/>
          <w:lang w:val="en-US" w:eastAsia="zh-CN"/>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3.产出时效</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食堂开餐及时率，满分5分，得分5分，得分率100%。</w:t>
      </w:r>
      <w:r>
        <w:rPr>
          <w:rFonts w:hint="eastAsia" w:ascii="Times New Roman" w:hAnsi="Times New Roman" w:eastAsia="仿宋_GB2312" w:cs="Times New Roman"/>
          <w:b w:val="0"/>
          <w:bCs w:val="0"/>
          <w:color w:val="000000"/>
          <w:spacing w:val="0"/>
          <w:sz w:val="32"/>
          <w:szCs w:val="32"/>
          <w:lang w:val="en-US" w:eastAsia="zh-CN"/>
        </w:rPr>
        <w:cr/>
      </w:r>
      <w:r>
        <w:rPr>
          <w:rFonts w:hint="eastAsia" w:ascii="Times New Roman" w:hAnsi="Times New Roman" w:eastAsia="仿宋_GB2312" w:cs="Times New Roman"/>
          <w:b w:val="0"/>
          <w:bCs w:val="0"/>
          <w:color w:val="000000"/>
          <w:spacing w:val="11"/>
          <w:sz w:val="32"/>
          <w:szCs w:val="32"/>
          <w:lang w:val="en-US" w:eastAsia="zh-CN"/>
        </w:rPr>
        <w:t>根据合同规定，每日三餐按时开饭，保证学生、教师的后勤保障。</w:t>
      </w:r>
      <w:r>
        <w:rPr>
          <w:rFonts w:hint="eastAsia" w:ascii="Times New Roman" w:hAnsi="Times New Roman" w:eastAsia="仿宋_GB2312" w:cs="Times New Roman"/>
          <w:b w:val="0"/>
          <w:bCs w:val="0"/>
          <w:color w:val="000000"/>
          <w:spacing w:val="11"/>
          <w:sz w:val="32"/>
          <w:szCs w:val="32"/>
          <w:lang w:val="en-US" w:eastAsia="zh-CN"/>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4.产出成本</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月均运转经费，满分20分，得分20分，得分率100%。</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我单位根据文件</w:t>
      </w:r>
      <w:r>
        <w:rPr>
          <w:rFonts w:hint="eastAsia" w:eastAsia="仿宋_GB2312" w:cs="Times New Roman"/>
          <w:b w:val="0"/>
          <w:bCs w:val="0"/>
          <w:color w:val="000000"/>
          <w:spacing w:val="0"/>
          <w:sz w:val="32"/>
          <w:szCs w:val="32"/>
          <w:lang w:val="en-US" w:eastAsia="zh-CN"/>
        </w:rPr>
        <w:t>要求</w:t>
      </w:r>
      <w:r>
        <w:rPr>
          <w:rFonts w:hint="eastAsia" w:ascii="Times New Roman" w:hAnsi="Times New Roman" w:eastAsia="仿宋_GB2312" w:cs="Times New Roman"/>
          <w:b w:val="0"/>
          <w:bCs w:val="0"/>
          <w:color w:val="000000"/>
          <w:spacing w:val="0"/>
          <w:sz w:val="32"/>
          <w:szCs w:val="32"/>
          <w:lang w:val="en-US" w:eastAsia="zh-CN"/>
        </w:rPr>
        <w:t>，我单位2024年3月申报食堂托管费100万元，区财政局实际拨付100万元。按每月成本8.33万元，该项目达标。</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（四）项目成本情况</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1.社会效益</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保障学生学习积极性，满分20分，得分20分，得分率100%。</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我校全面贯彻党的教育方针，以“立德树人”为根本任务，以“提升教育教学等提升师生综合素质、提升学校内涵发展、凸显学权办学特色”为工作重点，依法治校，遵循育人规律，科学组织，努力做到“教师发展，学生发展，学校发展”，真正办一所群众满意的学校。我校党支部带领全校教职工扎实有效的确保教育投入优先保障，不断改善学生学习环境建设。</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（五）项目效益情况</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楷体_GB2312" w:hAnsi="楷体_GB2312" w:eastAsia="楷体_GB2312" w:cs="楷体_GB2312"/>
          <w:b/>
          <w:bCs/>
          <w:kern w:val="2"/>
          <w:sz w:val="32"/>
          <w:szCs w:val="32"/>
          <w:highlight w:val="none"/>
          <w:lang w:val="en-US" w:eastAsia="zh-CN" w:bidi="ar-SA"/>
        </w:rPr>
        <w:t>（六）满意度情况</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师生满意度，满分10分，得分10分，得分率100%。</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本项目通过向教师和学生发放满意度调查问卷，问卷内容主要是教育教学设备使用满意度、校园文化、安全管理满意度等，面向师生共计发放调查问卷2000份，统计满意度良好问卷1900份，满意度一般问卷100份，反映了师生对学校的满意程度达到95%。</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五、主要经验及做法、存在的问题及原因分析</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楷体_GB2312" w:hAnsi="楷体_GB2312" w:eastAsia="楷体_GB2312" w:cs="楷体_GB2312"/>
          <w:b/>
          <w:bCs/>
          <w:kern w:val="2"/>
          <w:sz w:val="32"/>
          <w:szCs w:val="32"/>
          <w:highlight w:val="none"/>
          <w:lang w:val="en-US" w:eastAsia="zh-CN" w:bidi="ar-SA"/>
        </w:rPr>
        <w:t>（一）主要经验及做法</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1.聚焦重点任务，推动项目工作落地落实</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2.坚持问题导向，加强执行监控，提高资金效益</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3.强化绩效目标刚性约束，及时对项目进行跟踪问效</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keepNext w:val="0"/>
        <w:keepLines w:val="0"/>
        <w:pageBreakBefore w:val="0"/>
        <w:widowControl w:val="0"/>
        <w:numPr>
          <w:ilvl w:val="0"/>
          <w:numId w:val="5"/>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b/>
          <w:bCs/>
          <w:kern w:val="2"/>
          <w:sz w:val="32"/>
          <w:szCs w:val="32"/>
          <w:highlight w:val="none"/>
          <w:lang w:val="en-US" w:eastAsia="zh-CN" w:bidi="ar-SA"/>
        </w:rPr>
        <w:t>存在问题及原因分析</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1.绩效预算认识不够充分，绩效理念有待进一步强化</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2.绩效档案归档工作有待提高</w:t>
      </w:r>
      <w:r>
        <w:rPr>
          <w:rFonts w:hint="eastAsia" w:ascii="Times New Roman" w:hAnsi="Times New Roman" w:eastAsia="仿宋_GB2312" w:cs="Times New Roman"/>
          <w:b w:val="0"/>
          <w:bCs w:val="0"/>
          <w:color w:val="000000"/>
          <w:spacing w:val="0"/>
          <w:sz w:val="32"/>
          <w:szCs w:val="32"/>
          <w:lang w:val="en-US" w:eastAsia="zh-CN"/>
        </w:rPr>
        <w:br w:type="textWrapping"/>
      </w:r>
      <w:r>
        <w:rPr>
          <w:rFonts w:hint="eastAsia" w:ascii="Times New Roman" w:hAnsi="Times New Roman" w:eastAsia="仿宋_GB2312" w:cs="Times New Roman"/>
          <w:b w:val="0"/>
          <w:bCs w:val="0"/>
          <w:color w:val="000000"/>
          <w:spacing w:val="0"/>
          <w:sz w:val="32"/>
          <w:szCs w:val="32"/>
          <w:lang w:val="en-US" w:eastAsia="zh-CN"/>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3.项目支出绩效评价存在单位局限性，客观性有待加强</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项目支出绩效评价工作还存在自我审定的单位局限性，项目支出绩效工作有较大弹性，评价报告多单位限于描述项目实施情况，对问题避重就轻，对项目的打分松紧不一，会影响评价质量，在客观性和公正性上说服力不强。</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六、有关建议</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1.加强培训，提高相关人员工作水平</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采取多种培训形式对单位财务人员、业务科室人员进行集中培训，进一步树牢绩效观念，提高本单位工作人员的绩效管理能力和工作水平，为预算绩效管理相关工作的顺利开展提供保障。</w:t>
      </w:r>
    </w:p>
    <w:p>
      <w:pPr>
        <w:keepNext w:val="0"/>
        <w:keepLines w:val="0"/>
        <w:pageBreakBefore w:val="0"/>
        <w:widowControl w:val="0"/>
        <w:numPr>
          <w:ilvl w:val="0"/>
          <w:numId w:val="6"/>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扎实推进档案规范化建设，提升档案管理水平</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br w:type="textWrapping"/>
      </w:r>
      <w:r>
        <w:rPr>
          <w:rFonts w:hint="eastAsia" w:ascii="Times New Roman" w:hAnsi="Times New Roman" w:eastAsia="仿宋_GB2312" w:cs="Times New Roman"/>
          <w:b w:val="0"/>
          <w:bCs w:val="0"/>
          <w:color w:val="000000"/>
          <w:spacing w:val="0"/>
          <w:sz w:val="32"/>
          <w:szCs w:val="32"/>
          <w:lang w:val="en-US" w:eastAsia="zh-CN"/>
        </w:rPr>
        <w:t>一是进一步完善项目评价资料。项目启动时同步做好档案的归纳与整理，及时整理、收集、汇总，健全档案资料。二是严格落实哈密市关于绩效管理工作档案资料归档的相关要求，强化收集力度，确保归档资料的完整齐全。</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3"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3.高度重视，加强领导</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七、其他需要说明的问题</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60" w:lineRule="exact"/>
        <w:ind w:firstLine="640" w:firstLineChars="200"/>
        <w:textAlignment w:val="top"/>
        <w:rPr>
          <w:rFonts w:hint="eastAsia" w:ascii="Times New Roman" w:hAnsi="Times New Roman" w:eastAsia="仿宋_GB2312" w:cs="Times New Roman"/>
          <w:b w:val="0"/>
          <w:bCs w:val="0"/>
          <w:color w:val="000000"/>
          <w:spacing w:val="0"/>
          <w:sz w:val="32"/>
          <w:szCs w:val="32"/>
          <w:lang w:val="en-US" w:eastAsia="zh-CN"/>
        </w:rPr>
      </w:pPr>
      <w:r>
        <w:rPr>
          <w:rFonts w:hint="eastAsia" w:ascii="Times New Roman" w:hAnsi="Times New Roman" w:eastAsia="仿宋_GB2312" w:cs="Times New Roman"/>
          <w:b w:val="0"/>
          <w:bCs w:val="0"/>
          <w:color w:val="000000"/>
          <w:spacing w:val="0"/>
          <w:sz w:val="32"/>
          <w:szCs w:val="32"/>
          <w:lang w:val="en-US" w:eastAsia="zh-CN"/>
        </w:rPr>
        <w:t>无</w:t>
      </w: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bookmarkStart w:id="0" w:name="_GoBack"/>
      <w:bookmarkEnd w:id="0"/>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fldChar w:fldCharType="end"/>
        </w:r>
      </w:p>
    </w:sdtContent>
  </w:sdt>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05911"/>
    <w:multiLevelType w:val="singleLevel"/>
    <w:tmpl w:val="94205911"/>
    <w:lvl w:ilvl="0" w:tentative="0">
      <w:start w:val="1"/>
      <w:numFmt w:val="decimal"/>
      <w:lvlText w:val="%1."/>
      <w:lvlJc w:val="left"/>
      <w:pPr>
        <w:tabs>
          <w:tab w:val="left" w:pos="312"/>
        </w:tabs>
      </w:pPr>
    </w:lvl>
  </w:abstractNum>
  <w:abstractNum w:abstractNumId="1">
    <w:nsid w:val="ADFD4A22"/>
    <w:multiLevelType w:val="singleLevel"/>
    <w:tmpl w:val="ADFD4A22"/>
    <w:lvl w:ilvl="0" w:tentative="0">
      <w:start w:val="1"/>
      <w:numFmt w:val="decimal"/>
      <w:pStyle w:val="6"/>
      <w:lvlText w:val="%1."/>
      <w:lvlJc w:val="left"/>
      <w:pPr>
        <w:tabs>
          <w:tab w:val="left" w:pos="2040"/>
        </w:tabs>
        <w:ind w:left="2040" w:hanging="360"/>
      </w:pPr>
    </w:lvl>
  </w:abstractNum>
  <w:abstractNum w:abstractNumId="2">
    <w:nsid w:val="D6FBF84E"/>
    <w:multiLevelType w:val="singleLevel"/>
    <w:tmpl w:val="D6FBF84E"/>
    <w:lvl w:ilvl="0" w:tentative="0">
      <w:start w:val="2"/>
      <w:numFmt w:val="decimal"/>
      <w:lvlText w:val="%1."/>
      <w:lvlJc w:val="left"/>
      <w:pPr>
        <w:tabs>
          <w:tab w:val="left" w:pos="312"/>
        </w:tabs>
      </w:pPr>
    </w:lvl>
  </w:abstractNum>
  <w:abstractNum w:abstractNumId="3">
    <w:nsid w:val="E6192513"/>
    <w:multiLevelType w:val="singleLevel"/>
    <w:tmpl w:val="E6192513"/>
    <w:lvl w:ilvl="0" w:tentative="0">
      <w:start w:val="4"/>
      <w:numFmt w:val="chineseCounting"/>
      <w:suff w:val="nothing"/>
      <w:lvlText w:val="%1、"/>
      <w:lvlJc w:val="left"/>
      <w:rPr>
        <w:rFonts w:hint="eastAsia"/>
      </w:rPr>
    </w:lvl>
  </w:abstractNum>
  <w:abstractNum w:abstractNumId="4">
    <w:nsid w:val="3E108967"/>
    <w:multiLevelType w:val="singleLevel"/>
    <w:tmpl w:val="3E108967"/>
    <w:lvl w:ilvl="0" w:tentative="0">
      <w:start w:val="2"/>
      <w:numFmt w:val="chineseCounting"/>
      <w:suff w:val="nothing"/>
      <w:lvlText w:val="（%1）"/>
      <w:lvlJc w:val="left"/>
      <w:rPr>
        <w:rFonts w:hint="eastAsia"/>
      </w:rPr>
    </w:lvl>
  </w:abstractNum>
  <w:abstractNum w:abstractNumId="5">
    <w:nsid w:val="7E3D14B8"/>
    <w:multiLevelType w:val="singleLevel"/>
    <w:tmpl w:val="7E3D14B8"/>
    <w:lvl w:ilvl="0" w:tentative="0">
      <w:start w:val="2"/>
      <w:numFmt w:val="chineseCounting"/>
      <w:suff w:val="nothing"/>
      <w:lvlText w:val="%1、"/>
      <w:lvlJc w:val="left"/>
      <w:rPr>
        <w:rFonts w:hint="eastAsia"/>
      </w:r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3029612C"/>
    <w:rsid w:val="32A221C5"/>
    <w:rsid w:val="33F20F2A"/>
    <w:rsid w:val="34C44675"/>
    <w:rsid w:val="36B82B23"/>
    <w:rsid w:val="3B5B5607"/>
    <w:rsid w:val="3CE21B3C"/>
    <w:rsid w:val="4D2606A1"/>
    <w:rsid w:val="4F8A611E"/>
    <w:rsid w:val="51830480"/>
    <w:rsid w:val="51EB6428"/>
    <w:rsid w:val="53A616BE"/>
    <w:rsid w:val="54662BFB"/>
    <w:rsid w:val="56406CB8"/>
    <w:rsid w:val="603E028E"/>
    <w:rsid w:val="62051CA5"/>
    <w:rsid w:val="6772621F"/>
    <w:rsid w:val="67D65A96"/>
    <w:rsid w:val="6C33576A"/>
    <w:rsid w:val="6C3A69EF"/>
    <w:rsid w:val="6E413C07"/>
    <w:rsid w:val="72167A2E"/>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2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8">
    <w:name w:val="heading 2"/>
    <w:basedOn w:val="1"/>
    <w:next w:val="1"/>
    <w:link w:val="30"/>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9">
    <w:name w:val="heading 3"/>
    <w:basedOn w:val="1"/>
    <w:next w:val="1"/>
    <w:link w:val="3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10">
    <w:name w:val="heading 4"/>
    <w:basedOn w:val="1"/>
    <w:next w:val="1"/>
    <w:link w:val="32"/>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1">
    <w:name w:val="heading 5"/>
    <w:basedOn w:val="1"/>
    <w:next w:val="1"/>
    <w:link w:val="33"/>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2">
    <w:name w:val="heading 6"/>
    <w:basedOn w:val="1"/>
    <w:next w:val="1"/>
    <w:link w:val="34"/>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3">
    <w:name w:val="heading 7"/>
    <w:basedOn w:val="1"/>
    <w:next w:val="1"/>
    <w:link w:val="35"/>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4">
    <w:name w:val="heading 8"/>
    <w:basedOn w:val="1"/>
    <w:next w:val="1"/>
    <w:link w:val="36"/>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5">
    <w:name w:val="heading 9"/>
    <w:basedOn w:val="1"/>
    <w:next w:val="1"/>
    <w:link w:val="37"/>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widowControl w:val="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styleId="5">
    <w:name w:val="Plain Text"/>
    <w:basedOn w:val="1"/>
    <w:next w:val="6"/>
    <w:qFormat/>
    <w:uiPriority w:val="99"/>
    <w:pPr>
      <w:widowControl w:val="0"/>
      <w:jc w:val="both"/>
    </w:pPr>
    <w:rPr>
      <w:rFonts w:ascii="宋体" w:hAnsi="Courier New" w:cs="Courier New"/>
      <w:kern w:val="2"/>
      <w:sz w:val="21"/>
      <w:szCs w:val="21"/>
      <w:lang w:eastAsia="zh-CN"/>
    </w:rPr>
  </w:style>
  <w:style w:type="paragraph" w:styleId="6">
    <w:name w:val="List Number 5"/>
    <w:basedOn w:val="1"/>
    <w:semiHidden/>
    <w:unhideWhenUsed/>
    <w:uiPriority w:val="99"/>
    <w:pPr>
      <w:numPr>
        <w:ilvl w:val="0"/>
        <w:numId w:val="1"/>
      </w:numPr>
    </w:pPr>
  </w:style>
  <w:style w:type="paragraph" w:styleId="16">
    <w:name w:val="Document Map"/>
    <w:basedOn w:val="1"/>
    <w:next w:val="17"/>
    <w:semiHidden/>
    <w:qFormat/>
    <w:uiPriority w:val="0"/>
    <w:pPr>
      <w:shd w:val="clear" w:color="auto" w:fill="000080"/>
    </w:pPr>
  </w:style>
  <w:style w:type="paragraph" w:styleId="17">
    <w:name w:val="Body Text"/>
    <w:basedOn w:val="1"/>
    <w:next w:val="18"/>
    <w:qFormat/>
    <w:uiPriority w:val="0"/>
    <w:pPr>
      <w:spacing w:after="120" w:afterLines="0" w:afterAutospacing="0"/>
    </w:pPr>
    <w:rPr>
      <w:rFonts w:ascii="Times New Roman" w:hAnsi="Times New Roman" w:cs="仿宋_GB2312"/>
    </w:rPr>
  </w:style>
  <w:style w:type="paragraph" w:styleId="18">
    <w:name w:val="Body Text First Indent"/>
    <w:basedOn w:val="17"/>
    <w:qFormat/>
    <w:uiPriority w:val="0"/>
    <w:pPr>
      <w:ind w:firstLine="420" w:firstLineChars="100"/>
    </w:pPr>
  </w:style>
  <w:style w:type="paragraph" w:styleId="19">
    <w:name w:val="Body Text Indent 2"/>
    <w:basedOn w:val="1"/>
    <w:qFormat/>
    <w:uiPriority w:val="0"/>
    <w:pPr>
      <w:spacing w:after="120" w:line="480" w:lineRule="auto"/>
      <w:ind w:left="420" w:leftChars="200"/>
    </w:pPr>
    <w:rPr>
      <w:szCs w:val="20"/>
    </w:rPr>
  </w:style>
  <w:style w:type="paragraph" w:styleId="20">
    <w:name w:val="Balloon Text"/>
    <w:basedOn w:val="1"/>
    <w:link w:val="54"/>
    <w:semiHidden/>
    <w:unhideWhenUsed/>
    <w:qFormat/>
    <w:uiPriority w:val="99"/>
    <w:rPr>
      <w:sz w:val="18"/>
      <w:szCs w:val="18"/>
    </w:rPr>
  </w:style>
  <w:style w:type="paragraph" w:styleId="21">
    <w:name w:val="footer"/>
    <w:basedOn w:val="1"/>
    <w:link w:val="53"/>
    <w:unhideWhenUsed/>
    <w:qFormat/>
    <w:uiPriority w:val="99"/>
    <w:pPr>
      <w:tabs>
        <w:tab w:val="center" w:pos="4153"/>
        <w:tab w:val="right" w:pos="8306"/>
      </w:tabs>
      <w:snapToGrid w:val="0"/>
      <w:jc w:val="left"/>
    </w:pPr>
    <w:rPr>
      <w:rFonts w:ascii="Calibri" w:hAnsi="Calibri"/>
      <w:sz w:val="18"/>
      <w:szCs w:val="18"/>
    </w:rPr>
  </w:style>
  <w:style w:type="paragraph" w:styleId="22">
    <w:name w:val="header"/>
    <w:basedOn w:val="1"/>
    <w:link w:val="5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3">
    <w:name w:val="Subtitle"/>
    <w:basedOn w:val="1"/>
    <w:next w:val="1"/>
    <w:link w:val="39"/>
    <w:qFormat/>
    <w:uiPriority w:val="11"/>
    <w:pPr>
      <w:widowControl/>
      <w:spacing w:after="60"/>
      <w:jc w:val="center"/>
      <w:outlineLvl w:val="1"/>
    </w:pPr>
    <w:rPr>
      <w:rFonts w:asciiTheme="majorHAnsi" w:hAnsiTheme="majorHAnsi" w:eastAsiaTheme="majorEastAsia"/>
      <w:kern w:val="0"/>
      <w:sz w:val="24"/>
    </w:rPr>
  </w:style>
  <w:style w:type="paragraph" w:styleId="24">
    <w:name w:val="Title"/>
    <w:basedOn w:val="1"/>
    <w:next w:val="1"/>
    <w:link w:val="3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7">
    <w:name w:val="Strong"/>
    <w:basedOn w:val="26"/>
    <w:qFormat/>
    <w:uiPriority w:val="0"/>
    <w:rPr>
      <w:b/>
      <w:bCs/>
    </w:rPr>
  </w:style>
  <w:style w:type="character" w:styleId="28">
    <w:name w:val="Emphasis"/>
    <w:basedOn w:val="26"/>
    <w:qFormat/>
    <w:uiPriority w:val="20"/>
    <w:rPr>
      <w:rFonts w:asciiTheme="minorHAnsi" w:hAnsiTheme="minorHAnsi"/>
      <w:b/>
      <w:i/>
      <w:iCs/>
    </w:rPr>
  </w:style>
  <w:style w:type="character" w:customStyle="1" w:styleId="29">
    <w:name w:val="标题 1 字符"/>
    <w:basedOn w:val="26"/>
    <w:link w:val="7"/>
    <w:qFormat/>
    <w:uiPriority w:val="9"/>
    <w:rPr>
      <w:rFonts w:asciiTheme="majorHAnsi" w:hAnsiTheme="majorHAnsi" w:eastAsiaTheme="majorEastAsia"/>
      <w:b/>
      <w:bCs/>
      <w:kern w:val="32"/>
      <w:sz w:val="32"/>
      <w:szCs w:val="32"/>
    </w:rPr>
  </w:style>
  <w:style w:type="character" w:customStyle="1" w:styleId="30">
    <w:name w:val="标题 2 字符"/>
    <w:basedOn w:val="26"/>
    <w:link w:val="8"/>
    <w:semiHidden/>
    <w:qFormat/>
    <w:uiPriority w:val="9"/>
    <w:rPr>
      <w:rFonts w:asciiTheme="majorHAnsi" w:hAnsiTheme="majorHAnsi" w:eastAsiaTheme="majorEastAsia"/>
      <w:b/>
      <w:bCs/>
      <w:i/>
      <w:iCs/>
      <w:sz w:val="28"/>
      <w:szCs w:val="28"/>
    </w:rPr>
  </w:style>
  <w:style w:type="character" w:customStyle="1" w:styleId="31">
    <w:name w:val="标题 3 字符"/>
    <w:basedOn w:val="26"/>
    <w:link w:val="9"/>
    <w:semiHidden/>
    <w:qFormat/>
    <w:uiPriority w:val="9"/>
    <w:rPr>
      <w:rFonts w:asciiTheme="majorHAnsi" w:hAnsiTheme="majorHAnsi" w:eastAsiaTheme="majorEastAsia"/>
      <w:b/>
      <w:bCs/>
      <w:sz w:val="26"/>
      <w:szCs w:val="26"/>
    </w:rPr>
  </w:style>
  <w:style w:type="character" w:customStyle="1" w:styleId="32">
    <w:name w:val="标题 4 字符"/>
    <w:basedOn w:val="26"/>
    <w:link w:val="10"/>
    <w:semiHidden/>
    <w:qFormat/>
    <w:uiPriority w:val="9"/>
    <w:rPr>
      <w:b/>
      <w:bCs/>
      <w:sz w:val="28"/>
      <w:szCs w:val="28"/>
    </w:rPr>
  </w:style>
  <w:style w:type="character" w:customStyle="1" w:styleId="33">
    <w:name w:val="标题 5 字符"/>
    <w:basedOn w:val="26"/>
    <w:link w:val="11"/>
    <w:semiHidden/>
    <w:qFormat/>
    <w:uiPriority w:val="9"/>
    <w:rPr>
      <w:b/>
      <w:bCs/>
      <w:i/>
      <w:iCs/>
      <w:sz w:val="26"/>
      <w:szCs w:val="26"/>
    </w:rPr>
  </w:style>
  <w:style w:type="character" w:customStyle="1" w:styleId="34">
    <w:name w:val="标题 6 字符"/>
    <w:basedOn w:val="26"/>
    <w:link w:val="12"/>
    <w:semiHidden/>
    <w:qFormat/>
    <w:uiPriority w:val="9"/>
    <w:rPr>
      <w:b/>
      <w:bCs/>
    </w:rPr>
  </w:style>
  <w:style w:type="character" w:customStyle="1" w:styleId="35">
    <w:name w:val="标题 7 字符"/>
    <w:basedOn w:val="26"/>
    <w:link w:val="13"/>
    <w:semiHidden/>
    <w:qFormat/>
    <w:uiPriority w:val="9"/>
    <w:rPr>
      <w:sz w:val="24"/>
      <w:szCs w:val="24"/>
    </w:rPr>
  </w:style>
  <w:style w:type="character" w:customStyle="1" w:styleId="36">
    <w:name w:val="标题 8 字符"/>
    <w:basedOn w:val="26"/>
    <w:link w:val="14"/>
    <w:semiHidden/>
    <w:qFormat/>
    <w:uiPriority w:val="9"/>
    <w:rPr>
      <w:i/>
      <w:iCs/>
      <w:sz w:val="24"/>
      <w:szCs w:val="24"/>
    </w:rPr>
  </w:style>
  <w:style w:type="character" w:customStyle="1" w:styleId="37">
    <w:name w:val="标题 9 字符"/>
    <w:basedOn w:val="26"/>
    <w:link w:val="15"/>
    <w:semiHidden/>
    <w:qFormat/>
    <w:uiPriority w:val="9"/>
    <w:rPr>
      <w:rFonts w:asciiTheme="majorHAnsi" w:hAnsiTheme="majorHAnsi" w:eastAsiaTheme="majorEastAsia"/>
    </w:rPr>
  </w:style>
  <w:style w:type="character" w:customStyle="1" w:styleId="38">
    <w:name w:val="标题 字符"/>
    <w:basedOn w:val="26"/>
    <w:link w:val="24"/>
    <w:qFormat/>
    <w:uiPriority w:val="10"/>
    <w:rPr>
      <w:rFonts w:asciiTheme="majorHAnsi" w:hAnsiTheme="majorHAnsi" w:eastAsiaTheme="majorEastAsia"/>
      <w:b/>
      <w:bCs/>
      <w:kern w:val="28"/>
      <w:sz w:val="32"/>
      <w:szCs w:val="32"/>
    </w:rPr>
  </w:style>
  <w:style w:type="character" w:customStyle="1" w:styleId="39">
    <w:name w:val="副标题 字符"/>
    <w:basedOn w:val="26"/>
    <w:link w:val="23"/>
    <w:qFormat/>
    <w:uiPriority w:val="11"/>
    <w:rPr>
      <w:rFonts w:asciiTheme="majorHAnsi" w:hAnsiTheme="majorHAnsi" w:eastAsiaTheme="majorEastAsia"/>
      <w:sz w:val="24"/>
      <w:szCs w:val="24"/>
    </w:rPr>
  </w:style>
  <w:style w:type="paragraph" w:styleId="4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4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2">
    <w:name w:val="Quote"/>
    <w:basedOn w:val="1"/>
    <w:next w:val="1"/>
    <w:link w:val="43"/>
    <w:qFormat/>
    <w:uiPriority w:val="29"/>
    <w:pPr>
      <w:widowControl/>
      <w:jc w:val="left"/>
    </w:pPr>
    <w:rPr>
      <w:rFonts w:asciiTheme="minorHAnsi" w:hAnsiTheme="minorHAnsi" w:eastAsiaTheme="minorEastAsia"/>
      <w:i/>
      <w:kern w:val="0"/>
      <w:sz w:val="24"/>
    </w:rPr>
  </w:style>
  <w:style w:type="character" w:customStyle="1" w:styleId="43">
    <w:name w:val="引用 字符"/>
    <w:basedOn w:val="26"/>
    <w:link w:val="42"/>
    <w:qFormat/>
    <w:uiPriority w:val="29"/>
    <w:rPr>
      <w:i/>
      <w:sz w:val="24"/>
      <w:szCs w:val="24"/>
    </w:rPr>
  </w:style>
  <w:style w:type="paragraph" w:styleId="44">
    <w:name w:val="Intense Quote"/>
    <w:basedOn w:val="1"/>
    <w:next w:val="1"/>
    <w:link w:val="45"/>
    <w:qFormat/>
    <w:uiPriority w:val="30"/>
    <w:pPr>
      <w:widowControl/>
      <w:ind w:left="720" w:right="720"/>
      <w:jc w:val="left"/>
    </w:pPr>
    <w:rPr>
      <w:rFonts w:asciiTheme="minorHAnsi" w:hAnsiTheme="minorHAnsi" w:eastAsiaTheme="minorEastAsia"/>
      <w:b/>
      <w:i/>
      <w:kern w:val="0"/>
      <w:sz w:val="24"/>
      <w:szCs w:val="22"/>
    </w:rPr>
  </w:style>
  <w:style w:type="character" w:customStyle="1" w:styleId="45">
    <w:name w:val="明显引用 字符"/>
    <w:basedOn w:val="26"/>
    <w:link w:val="44"/>
    <w:qFormat/>
    <w:uiPriority w:val="30"/>
    <w:rPr>
      <w:b/>
      <w:i/>
      <w:sz w:val="24"/>
    </w:rPr>
  </w:style>
  <w:style w:type="character" w:customStyle="1" w:styleId="46">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7">
    <w:name w:val="明显强调1"/>
    <w:basedOn w:val="26"/>
    <w:qFormat/>
    <w:uiPriority w:val="21"/>
    <w:rPr>
      <w:b/>
      <w:i/>
      <w:sz w:val="24"/>
      <w:szCs w:val="24"/>
      <w:u w:val="single"/>
    </w:rPr>
  </w:style>
  <w:style w:type="character" w:customStyle="1" w:styleId="48">
    <w:name w:val="不明显参考1"/>
    <w:basedOn w:val="26"/>
    <w:qFormat/>
    <w:uiPriority w:val="31"/>
    <w:rPr>
      <w:sz w:val="24"/>
      <w:szCs w:val="24"/>
      <w:u w:val="single"/>
    </w:rPr>
  </w:style>
  <w:style w:type="character" w:customStyle="1" w:styleId="49">
    <w:name w:val="明显参考1"/>
    <w:basedOn w:val="26"/>
    <w:qFormat/>
    <w:uiPriority w:val="32"/>
    <w:rPr>
      <w:b/>
      <w:sz w:val="24"/>
      <w:u w:val="single"/>
    </w:rPr>
  </w:style>
  <w:style w:type="character" w:customStyle="1" w:styleId="50">
    <w:name w:val="书籍标题1"/>
    <w:basedOn w:val="26"/>
    <w:qFormat/>
    <w:uiPriority w:val="33"/>
    <w:rPr>
      <w:rFonts w:asciiTheme="majorHAnsi" w:hAnsiTheme="majorHAnsi" w:eastAsiaTheme="majorEastAsia"/>
      <w:b/>
      <w:i/>
      <w:sz w:val="24"/>
      <w:szCs w:val="24"/>
    </w:rPr>
  </w:style>
  <w:style w:type="paragraph" w:customStyle="1" w:styleId="51">
    <w:name w:val="TOC 标题1"/>
    <w:basedOn w:val="7"/>
    <w:next w:val="1"/>
    <w:semiHidden/>
    <w:unhideWhenUsed/>
    <w:qFormat/>
    <w:uiPriority w:val="39"/>
    <w:pPr>
      <w:outlineLvl w:val="9"/>
    </w:pPr>
    <w:rPr>
      <w:lang w:eastAsia="en-US" w:bidi="en-US"/>
    </w:rPr>
  </w:style>
  <w:style w:type="character" w:customStyle="1" w:styleId="52">
    <w:name w:val="页眉 字符"/>
    <w:basedOn w:val="26"/>
    <w:link w:val="22"/>
    <w:qFormat/>
    <w:uiPriority w:val="99"/>
    <w:rPr>
      <w:rFonts w:ascii="Calibri" w:hAnsi="Calibri" w:eastAsia="宋体"/>
      <w:kern w:val="2"/>
      <w:sz w:val="18"/>
      <w:szCs w:val="18"/>
    </w:rPr>
  </w:style>
  <w:style w:type="character" w:customStyle="1" w:styleId="53">
    <w:name w:val="页脚 字符"/>
    <w:basedOn w:val="26"/>
    <w:link w:val="21"/>
    <w:qFormat/>
    <w:uiPriority w:val="99"/>
    <w:rPr>
      <w:rFonts w:ascii="Calibri" w:hAnsi="Calibri" w:eastAsia="宋体"/>
      <w:kern w:val="2"/>
      <w:sz w:val="18"/>
      <w:szCs w:val="18"/>
    </w:rPr>
  </w:style>
  <w:style w:type="character" w:customStyle="1" w:styleId="54">
    <w:name w:val="批注框文本 字符"/>
    <w:basedOn w:val="26"/>
    <w:link w:val="20"/>
    <w:semiHidden/>
    <w:qFormat/>
    <w:uiPriority w:val="99"/>
    <w:rPr>
      <w:rFonts w:ascii="Times New Roman" w:hAnsi="Times New Roman" w:eastAsia="宋体"/>
      <w:kern w:val="2"/>
      <w:sz w:val="18"/>
      <w:szCs w:val="18"/>
    </w:rPr>
  </w:style>
  <w:style w:type="paragraph" w:customStyle="1" w:styleId="55">
    <w:name w:val="0"/>
    <w:basedOn w:val="1"/>
    <w:next w:val="16"/>
    <w:qFormat/>
    <w:uiPriority w:val="0"/>
    <w:pPr>
      <w:widowControl/>
      <w:spacing w:line="365" w:lineRule="atLeast"/>
      <w:ind w:left="1"/>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7508</Words>
  <Characters>7968</Characters>
  <Lines>5</Lines>
  <Paragraphs>1</Paragraphs>
  <TotalTime>31</TotalTime>
  <ScaleCrop>false</ScaleCrop>
  <LinksUpToDate>false</LinksUpToDate>
  <CharactersWithSpaces>7994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2025-11-06T10:23:29Z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