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55" w:firstLineChars="250"/>
        <w:jc w:val="left"/>
        <w:rPr>
          <w:rFonts w:hAnsi="宋体" w:eastAsia="仿宋_GB2312" w:cs="宋体"/>
          <w:spacing w:val="11"/>
          <w:kern w:val="0"/>
          <w:sz w:val="36"/>
          <w:szCs w:val="36"/>
        </w:rPr>
      </w:pPr>
      <w:r>
        <w:rPr>
          <w:rFonts w:hint="eastAsia" w:hAnsi="宋体" w:eastAsia="仿宋_GB2312" w:cs="宋体"/>
          <w:spacing w:val="11"/>
          <w:kern w:val="0"/>
          <w:sz w:val="36"/>
          <w:szCs w:val="36"/>
        </w:rPr>
        <w:t>项目名称：</w:t>
      </w:r>
      <w:r>
        <w:rPr>
          <w:rStyle w:val="27"/>
          <w:rFonts w:hint="eastAsia" w:ascii="楷体" w:hAnsi="楷体" w:eastAsia="楷体"/>
          <w:spacing w:val="11"/>
          <w:sz w:val="32"/>
          <w:szCs w:val="32"/>
        </w:rPr>
        <w:t>2024年城乡义务教育补助经费（特教公用经费）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27"/>
          <w:rFonts w:hint="eastAsia" w:ascii="楷体" w:hAnsi="楷体" w:eastAsia="楷体"/>
          <w:spacing w:val="-4"/>
          <w:sz w:val="28"/>
          <w:szCs w:val="28"/>
        </w:rPr>
        <w:t>哈密市特殊教育学校</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27"/>
          <w:rFonts w:hint="eastAsia" w:ascii="楷体" w:hAnsi="楷体" w:eastAsia="楷体"/>
          <w:spacing w:val="-4"/>
          <w:sz w:val="28"/>
          <w:szCs w:val="28"/>
        </w:rPr>
        <w:t>哈密市伊州区教育局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27"/>
          <w:rFonts w:hint="eastAsia" w:ascii="楷体" w:hAnsi="楷体" w:eastAsia="楷体"/>
          <w:spacing w:val="-4"/>
          <w:sz w:val="32"/>
          <w:szCs w:val="32"/>
        </w:rPr>
        <w:t>米丽古丽·买买提依明</w:t>
      </w:r>
    </w:p>
    <w:p>
      <w:pPr>
        <w:spacing w:line="540" w:lineRule="exact"/>
        <w:ind w:left="273" w:firstLine="567"/>
        <w:rPr>
          <w:rStyle w:val="27"/>
          <w:rFonts w:ascii="黑体" w:hAnsi="黑体" w:eastAsia="黑体"/>
          <w:b w:val="0"/>
          <w:spacing w:val="-4"/>
          <w:sz w:val="32"/>
          <w:szCs w:val="32"/>
        </w:rPr>
      </w:pPr>
      <w:r>
        <w:rPr>
          <w:rFonts w:hint="eastAsia" w:hAnsi="宋体" w:eastAsia="仿宋_GB2312" w:cs="宋体"/>
          <w:kern w:val="0"/>
          <w:sz w:val="36"/>
          <w:szCs w:val="36"/>
        </w:rPr>
        <w:t>填报时间：</w:t>
      </w:r>
      <w:r>
        <w:rPr>
          <w:rStyle w:val="27"/>
          <w:rFonts w:hint="eastAsia" w:ascii="楷体" w:hAnsi="楷体" w:eastAsia="楷体"/>
          <w:spacing w:val="-4"/>
          <w:sz w:val="32"/>
          <w:szCs w:val="32"/>
        </w:rPr>
        <w:t>2025年05月17日</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一、基本情况</w:t>
      </w:r>
    </w:p>
    <w:p>
      <w:pPr>
        <w:pStyle w:val="19"/>
        <w:keepNext w:val="0"/>
        <w:keepLines w:val="0"/>
        <w:pageBreakBefore w:val="0"/>
        <w:widowControl w:val="0"/>
        <w:numPr>
          <w:ilvl w:val="0"/>
          <w:numId w:val="0"/>
        </w:numPr>
        <w:kinsoku/>
        <w:wordWrap/>
        <w:overflowPunct/>
        <w:topLinePunct w:val="0"/>
        <w:autoSpaceDE/>
        <w:autoSpaceDN/>
        <w:bidi w:val="0"/>
        <w:spacing w:after="0" w:line="54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（一）项目概况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1.项目背景</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2024年，学校在伊州区教育工委的正确领导下，认真贯彻党的教育方针，全体教职工齐心协力，积极进取，务实苦干，顺利完成学校各项工作。该项目计划投入94.67万元，主要用于学校日常运行的水电费、邮电费、取暖费、物业管理费、维修费、培训费等费用支出。学校不断加强教师队伍建设，深入推进课程改革，组织教师学习培智学校义务教育阶段课程标准，促进教学经验交流与资源共享，提高教学水平。组织教师外出学习培训，培训后进行校内二级培训，分享先进教育理念与教学方法，同时鼓励教师自主开展校本研修，提高研究和教学水平。</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2.主要内容及实施情况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2024年城乡义务教育补助经费（特教公用经费）94.67万元，计划用于学校日常运行的水电费、邮电费、取暖费、物业管理费、维修费、培训费等费用支出。该项目实际投入84.65万元，支付了学校日常运行的水电费、邮电费、取暖费、物业管理费、维修费、培训费等费用。</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3.资金投入和使用情况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2024年城乡义务教育补助经费（特教公用经费）计划拨付94.67万元，项目于2024年3月6日批复预算资金94.67万元，截至2024年12月31日，项目用于学校日常运行的水电费、</w:t>
      </w:r>
      <w:r>
        <w:rPr>
          <w:rFonts w:hint="eastAsia" w:ascii="Times New Roman" w:hAnsi="Times New Roman" w:eastAsia="仿宋_GB2312" w:cs="Times New Roman"/>
          <w:b w:val="0"/>
          <w:bCs w:val="0"/>
          <w:color w:val="auto"/>
          <w:spacing w:val="11"/>
          <w:kern w:val="2"/>
          <w:sz w:val="32"/>
          <w:szCs w:val="32"/>
          <w:lang w:val="en-US" w:eastAsia="zh-CN" w:bidi="ar-SA"/>
        </w:rPr>
        <w:t>邮电费、取暖费、物业管理费、维修费、培训费等费用支出，项目资金支付84.65万元，资金到位率100%，预算执行率为100%。</w:t>
      </w:r>
    </w:p>
    <w:p>
      <w:pPr>
        <w:pStyle w:val="19"/>
        <w:keepNext w:val="0"/>
        <w:keepLines w:val="0"/>
        <w:pageBreakBefore w:val="0"/>
        <w:widowControl w:val="0"/>
        <w:numPr>
          <w:ilvl w:val="0"/>
          <w:numId w:val="0"/>
        </w:numPr>
        <w:kinsoku/>
        <w:wordWrap/>
        <w:overflowPunct/>
        <w:topLinePunct w:val="0"/>
        <w:autoSpaceDE/>
        <w:autoSpaceDN/>
        <w:bidi w:val="0"/>
        <w:spacing w:after="0" w:line="54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（二）项目绩效目标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项目总体目标为：该项目计划投入94.67万元，主要用于学校日常运行的水电费、邮电费、取暖费、物业管理费、维修费、培训费等费用支出。学校不断加强教师队伍建设，深入推进课程改革，促进教学经验交流与资源共享，提高教学水平。组织教师外出学习培训，同时鼓励教师自主开展校本研修，提高研究和教学水平。</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根据《自治区财政支出绩效评价管理暂行办法》（新财预〔2018〕189号）等文件精神，结合项目相关信息，将年度目标细化分解，最终确定该项目阶段性目标如下：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1.产出指标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数量指标：补助学生人数不低于165人；</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质量指标：补助经费使用合规率达到100%；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时效指标：年度工作任务按时完成率达到100%；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时效指标：日常工作开展及时率达到100%。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2.成本指标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spacing w:val="17"/>
          <w:kern w:val="2"/>
          <w:sz w:val="32"/>
          <w:szCs w:val="32"/>
          <w:lang w:val="en-US" w:eastAsia="zh-CN" w:bidi="ar-SA"/>
        </w:rPr>
        <w:t>经济成本指标：义务教育（特教公用经费）补助标准6000元/生.年</w:t>
      </w:r>
      <w:r>
        <w:rPr>
          <w:rFonts w:hint="eastAsia" w:ascii="Times New Roman" w:hAnsi="Times New Roman" w:eastAsia="仿宋_GB2312" w:cs="Times New Roman"/>
          <w:b w:val="0"/>
          <w:bCs w:val="0"/>
          <w:color w:val="auto"/>
          <w:kern w:val="2"/>
          <w:sz w:val="32"/>
          <w:szCs w:val="32"/>
          <w:lang w:val="en-US" w:eastAsia="zh-CN" w:bidi="ar-SA"/>
        </w:rPr>
        <w:t>。</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3.效益指标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社会效益指标：保障学校日常教育教学工作正常开展。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4.满意度指标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满意度指标：家长学生满意度不低于95%。</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二、绩效评价工作开展情况</w:t>
      </w:r>
    </w:p>
    <w:p>
      <w:pPr>
        <w:pStyle w:val="19"/>
        <w:keepNext w:val="0"/>
        <w:keepLines w:val="0"/>
        <w:pageBreakBefore w:val="0"/>
        <w:widowControl w:val="0"/>
        <w:numPr>
          <w:ilvl w:val="0"/>
          <w:numId w:val="0"/>
        </w:numPr>
        <w:kinsoku/>
        <w:wordWrap/>
        <w:overflowPunct/>
        <w:topLinePunct w:val="0"/>
        <w:autoSpaceDE/>
        <w:autoSpaceDN/>
        <w:bidi w:val="0"/>
        <w:spacing w:after="0" w:line="54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（一）绩效评价目的、对象和范围</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我单位根据《自治区财政支出绩效评价管理暂行办法》（新财预〔2018〕189号）文件精神，对2024年城乡义务教育补助经费（特教公用经费）项目绩效目标实现情况进行自评。</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通过对本项目开展绩效自评，全面分析该项目资金使用、管理和项目实施等情况，规范项目申报、公示、审批、实施、监管、验收及资金支付等程序，对项目主管单位和实施单位的资金分配、管理等制度进行自查，加强项目实施管理，强化财政支出绩效理念，提高资金使用效益。</w:t>
      </w:r>
    </w:p>
    <w:p>
      <w:pPr>
        <w:pStyle w:val="19"/>
        <w:keepNext w:val="0"/>
        <w:keepLines w:val="0"/>
        <w:pageBreakBefore w:val="0"/>
        <w:widowControl w:val="0"/>
        <w:numPr>
          <w:ilvl w:val="0"/>
          <w:numId w:val="0"/>
        </w:numPr>
        <w:kinsoku/>
        <w:wordWrap/>
        <w:overflowPunct/>
        <w:topLinePunct w:val="0"/>
        <w:autoSpaceDE/>
        <w:autoSpaceDN/>
        <w:bidi w:val="0"/>
        <w:spacing w:after="0" w:line="540" w:lineRule="exact"/>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（二）绩效评价原则、评价指标体系、评价方法、评价标准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1.绩效评价原则</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（1）科学公正。绩效评价应当运用科学合理的方法，按照规范的程序，对项目绩效进行客观、公正的反映。</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（3）激励约束。绩效评价结果应与预算安排、政策调整、改进管理实质性挂钩，体现奖优罚劣和激励相容导向，有效要安排、低效要压减、无效要问责。</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（4）公开透明。绩效评价结果应依法依规公开，并自觉接受社会监督。</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2.评价指标体系</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本项目评价指标体系采用项目绩效自评表与决策、过程自</w:t>
      </w:r>
      <w:r>
        <w:rPr>
          <w:rFonts w:hint="eastAsia" w:ascii="Times New Roman" w:hAnsi="Times New Roman" w:eastAsia="仿宋_GB2312" w:cs="Times New Roman"/>
          <w:b w:val="0"/>
          <w:bCs w:val="0"/>
          <w:color w:val="auto"/>
          <w:spacing w:val="11"/>
          <w:kern w:val="2"/>
          <w:sz w:val="32"/>
          <w:szCs w:val="32"/>
          <w:lang w:val="en-US" w:eastAsia="zh-CN" w:bidi="ar-SA"/>
        </w:rPr>
        <w:t>定指标相结合方式，其中项目决策17分，项目过程23分，项目产出22分，项目效益30分，项目满意度8分，详细情况如下：</w:t>
      </w:r>
      <w:r>
        <w:rPr>
          <w:rFonts w:hint="eastAsia" w:ascii="Times New Roman" w:hAnsi="Times New Roman" w:eastAsia="仿宋_GB2312" w:cs="Times New Roman"/>
          <w:b w:val="0"/>
          <w:bCs w:val="0"/>
          <w:color w:val="auto"/>
          <w:spacing w:val="11"/>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（1）项目决策</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项目立项：立项依据充分性，权重2分；立项程序规范性，权重2分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绩效目标：绩效目标明确性，权重4分；绩效目标合理性，权重4分。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预算编制：测算标准合理性，权重3分；测算过程细化度，权重2分。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（2）项目过程</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资金管理：资金到位率，权重6分；预算执行率，权重6分。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组织实施：资金使用合规性，4分；管理制度健全性，权重4分，制度执行有效性，权重3分。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（3）项目产出</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产出数量：补助学生人数，权重6分；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产出质量：补助经费使用合规率，权重5分；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产出时效：年度工作任务按时完成率，权重3分；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产出时效：日常工作开展及时率，权重2分；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产出成本：成本控制率，权重6分。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（4）效益指标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实施效益保障学校日常教育教学工作正常开展，权重30分。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（5）满意度指标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服务对象满意度：家长、学生满意度，权重8分。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3.评价方法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2024年城乡义务教育补助经费（特教公用经费）项目绩效评价主要通过项目单位自评、主管部门监督、财政部门参评的方式开展绩效评价工作。</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绩效评价的方法主要包括：成本效益分析法、比较法、因素分析法、最低成本法、公众评判法、核实法等。根据评价指标的具体情况，可采用一种或多种方法。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（1）成本效益分析法。是指将投入与产出、效益进行关联性分析的方法。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（2）比较法。是指将实施情况与绩效目标、历史情况、不同部门和地区同类支出情况进行比较的方法。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（3）因素分析法。是指综合分析影响绩效目标实现、实施效果的内外部因素的方法。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（4）最低成本法。是指在绩效目标确定的前提下，成本最小者为优的方法。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（5）公众评判法。是指通过专家评估、公众问卷及抽样调查等方式进行评判的方法。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（6）</w:t>
      </w:r>
      <w:r>
        <w:rPr>
          <w:rFonts w:hint="eastAsia" w:ascii="Times New Roman" w:hAnsi="Times New Roman" w:eastAsia="仿宋_GB2312" w:cs="Times New Roman"/>
          <w:b w:val="0"/>
          <w:bCs w:val="0"/>
          <w:color w:val="auto"/>
          <w:spacing w:val="11"/>
          <w:kern w:val="2"/>
          <w:sz w:val="32"/>
          <w:szCs w:val="32"/>
          <w:lang w:val="en-US" w:eastAsia="zh-CN" w:bidi="ar-SA"/>
        </w:rPr>
        <w:t>核实法。是收集包括书面资料以外的信息以证实书面资料及其所反映经济活动的真实，合法，合理，有效和正确的方法。</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4.评价标准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绩效评价标准通常包括计划标准、行业标准、历史标准等，用于对绩效指标完成情况进行比较。</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单位自评采用定量与定性评价相结合的比较法，总分由各项指标得分汇总形成。</w:t>
      </w:r>
    </w:p>
    <w:p>
      <w:pPr>
        <w:pStyle w:val="19"/>
        <w:keepNext w:val="0"/>
        <w:keepLines w:val="0"/>
        <w:pageBreakBefore w:val="0"/>
        <w:widowControl w:val="0"/>
        <w:numPr>
          <w:ilvl w:val="0"/>
          <w:numId w:val="0"/>
        </w:numPr>
        <w:kinsoku/>
        <w:wordWrap/>
        <w:overflowPunct/>
        <w:topLinePunct w:val="0"/>
        <w:autoSpaceDE/>
        <w:autoSpaceDN/>
        <w:bidi w:val="0"/>
        <w:spacing w:after="0" w:line="54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（三）绩效评价工作过程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1.前期准备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整理项目全过程资料建档：资金及项目批复文件、绩效目标申报表、可行性研究报告或实施方案、（招标文件）绩效目标过程监控表、验收报告（或决算）、资金支付或会计凭证、满意度调查问卷。作为评价基础资料。</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（2）采取“年初绩效目标预定与实施效果比较法”进行评价，评价指标体系以绩效目标申报指标为依据。</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2.组织过程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（1）项目全过程资料档案复核</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（2）检查内容和过程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发放调查问卷开展家长、学生满意度调查工作。</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（3）撰写报告情况</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根据所搜集的印证材料，按绩效评价原理和指标体系进行分析、评价和汇总，撰写绩效自评报告，并在规定时间上报。</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三、综合评价情况及评价结论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次评价采取定量与定性评价相结合的方式，对2024年城乡义务教育补助经费（特教公用经费）项目的绩效目标和各项具体绩效指标实现情况进行了客观评价。本次项目自评满分100分，自评得分100分，自评结果为“优”，其中项目决策得分17分，项目过程得分23分，项目产出得分22分，项目效益得分30分，项目满意度得分8分。综合评价结论：项目决策方面，立项依据充分、绩效目标明确、绩效目标合理、项目预算支出标准符合相关政策制度、行业、领域规定；项目过程方面，遵守相关法律法规和相关管理规定，制定或具有相应的财务和业务管理制度，财务和业务管理制度合法、合规、完整，资金到位率和执行率达到预期的指标；项目产出方面，按照项目内容进行合理性细化，准确核定财政预算支出；项目效益方面，有效保障了学校日常教育教学工作正常开展；项目满意度方面，随机抽取家长和学生满意度调查达到95%以上。</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四、绩效评价指标分析 </w:t>
      </w:r>
    </w:p>
    <w:p>
      <w:pPr>
        <w:pStyle w:val="19"/>
        <w:keepNext w:val="0"/>
        <w:keepLines w:val="0"/>
        <w:pageBreakBefore w:val="0"/>
        <w:widowControl w:val="0"/>
        <w:numPr>
          <w:ilvl w:val="0"/>
          <w:numId w:val="0"/>
        </w:numPr>
        <w:kinsoku/>
        <w:wordWrap/>
        <w:overflowPunct/>
        <w:topLinePunct w:val="0"/>
        <w:autoSpaceDE/>
        <w:autoSpaceDN/>
        <w:bidi w:val="0"/>
        <w:spacing w:after="0" w:line="54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（一）项目决策情况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ab/>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1.项目立项</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（1）立项依据充分性，满分2分，得分2分，得分率100%。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本项目是由哈密市特殊教育学校提出申报，于2024年3月批复设立，2024年我单位根据《2024年城乡义务教育补助经费（特教公用经费）》项目立项符合国家法律法规、自治区和地区行业发展规划和政策要求，属于本部门履职所需。</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（2）立项程序规范性，满分2分，得分2分，得分率100%。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项目立项符合规定程序，审批文件等材料合规、完整，有完整的评估程序和集体决策。</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（1）绩效目标明确性，满分4分，得分4分，得分率100%。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该项目绩效指标设定清晰、细化、可衡量，共设置7个三级指标，与项目计划数相对应。</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（2）绩效目标合理性，满分4分，得分4分，得分率100%。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项目绩效目标细化分解为具体的绩效指标，各指标值与项目实际工作内容具有相关性，体现了项目设定的目标、意义。</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3.预算编制</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（1）测算标准合理性，满分3分，得分3分，得分率100%。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该项目依据伊区新财预〔2018〕189号文，计划投入94.67万元。按照年初学校工作计划，2024年城乡义务教育补助经费（特教公用经费）使用方案，合理安排项目预算。</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（2）测算过程细化度，满分2分，得分2分，得分率100%。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项目计划投入94.67万元，主要用于学校日常运行的水电费、邮电费、取暖费、物业管理费、维修费、培训费等费用支出。由于自治区收回资金10.02万元，项目实际支付84.65万元，资金使用完成率100%。</w:t>
      </w:r>
      <w:r>
        <w:rPr>
          <w:rFonts w:hint="eastAsia" w:ascii="Times New Roman" w:hAnsi="Times New Roman" w:eastAsia="仿宋_GB2312" w:cs="Times New Roman"/>
          <w:b w:val="0"/>
          <w:bCs w:val="0"/>
          <w:color w:val="auto"/>
          <w:kern w:val="2"/>
          <w:sz w:val="32"/>
          <w:szCs w:val="32"/>
          <w:lang w:val="en-US" w:eastAsia="zh-CN" w:bidi="ar-SA"/>
        </w:rPr>
        <w:tab/>
      </w:r>
    </w:p>
    <w:p>
      <w:pPr>
        <w:pStyle w:val="19"/>
        <w:keepNext w:val="0"/>
        <w:keepLines w:val="0"/>
        <w:pageBreakBefore w:val="0"/>
        <w:widowControl w:val="0"/>
        <w:numPr>
          <w:ilvl w:val="0"/>
          <w:numId w:val="0"/>
        </w:numPr>
        <w:kinsoku/>
        <w:wordWrap/>
        <w:overflowPunct/>
        <w:topLinePunct w:val="0"/>
        <w:autoSpaceDE/>
        <w:autoSpaceDN/>
        <w:bidi w:val="0"/>
        <w:spacing w:after="0" w:line="54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（二）项目过程情况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1.资金管理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（1）资金到位率，满分6分，得分6分，得分率100%。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2024年3月申请该项目预算，预算资金94.67万元。财政于3月批复该项目资金94.67万元，资金到位率100%。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（2）预算执行率，满分6分，得分6分，得分率100%。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财政于3月批复该项目资金94.67万元，资金到位率100%。2024年5月自治区收回项目资金10.02万元，项目资金实际支出84.65万元，执行率100%。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2.组织实施</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（1）资金使用合规性，满分4分，得分4分，得分率100%。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项目资金使用符合政府会计制度的相关规定，各项拨付经单位主要领导审批，有完整的审批手续，项目支出不存在截留、挤占、挪用、虚列支出等情况，本年度审计、巡视、财政巡察未发现违规问题。</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（2）管理制度健全性，满分4分，得分4分，得分率100%。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我单位依据《中小学财务管理制度》制定了《单位财务资金管理制度》等相关项目管理办法，严格按照资金渠道合理使用，同时对财政专项资金进行严格管理，做到了专款专用。</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（3）制度执行有效性，满分3分，得分3分，得分率100%。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项目资金支付由相关部门提出经费预算支出申请，按规定办理相关支付手续，报经学校支委会研究决定，财务对资金的使用合法合规性进行监督，年底对资金使用效果进行自评。</w:t>
      </w:r>
    </w:p>
    <w:p>
      <w:pPr>
        <w:pStyle w:val="19"/>
        <w:keepNext w:val="0"/>
        <w:keepLines w:val="0"/>
        <w:pageBreakBefore w:val="0"/>
        <w:widowControl w:val="0"/>
        <w:numPr>
          <w:ilvl w:val="0"/>
          <w:numId w:val="0"/>
        </w:numPr>
        <w:kinsoku/>
        <w:wordWrap/>
        <w:overflowPunct/>
        <w:topLinePunct w:val="0"/>
        <w:autoSpaceDE/>
        <w:autoSpaceDN/>
        <w:bidi w:val="0"/>
        <w:spacing w:after="0" w:line="54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（三）项目产出情况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1.产出数量</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cr/>
      </w:r>
      <w:r>
        <w:rPr>
          <w:rFonts w:hint="eastAsia" w:ascii="Times New Roman" w:hAnsi="Times New Roman" w:eastAsia="仿宋_GB2312" w:cs="Times New Roman"/>
          <w:b w:val="0"/>
          <w:bCs w:val="0"/>
          <w:color w:val="auto"/>
          <w:kern w:val="2"/>
          <w:sz w:val="32"/>
          <w:szCs w:val="32"/>
          <w:lang w:val="en-US" w:eastAsia="zh-CN" w:bidi="ar-SA"/>
        </w:rPr>
        <w:t>补助学生人数，满分6分，得分6分，得分率100%。年初依据学籍统计年报学生人数，学生人数不超过165人。年末对学生人数进行统计，学生人数165人。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2.产出质量</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补助经费使用合规率，满分5分，得分5分，得分率100%。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资金使用合规率预期达到100%，项目资金严格按照资金渠道合理使用，同时对财政专项资金进行严格管理，做到了专款专用，资金使用合规率达标。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3.产出时效</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（1）年度工作任务按时完成率，满分3分，得分3分，得分率100%。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年初按照学校公用经费预算，2024年城乡义务教育补助经费（特教公用经费）使用方案，学校各项工作按时完成。依据学校年度工作总结，学校各项工作顺利开展，年度工作任务完成率100%。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（2）日常工作开展及时率，满分2分，得分2分，得分率100%。2024年城乡义务教育补助经费（特教公用经费）预期100%拨付，财政根据学校资金使用申请，足额拨付。</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4.产出成本</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2024年城乡义务教育补助经费（特教公用经费），满分6分，得分6分，得分率100%。2024年城乡义务教育补助经费（特教公用经费）计划投入94.67万元，实际支付84.65万元。</w:t>
      </w:r>
    </w:p>
    <w:p>
      <w:pPr>
        <w:pStyle w:val="19"/>
        <w:keepNext w:val="0"/>
        <w:keepLines w:val="0"/>
        <w:pageBreakBefore w:val="0"/>
        <w:widowControl w:val="0"/>
        <w:numPr>
          <w:ilvl w:val="0"/>
          <w:numId w:val="0"/>
        </w:numPr>
        <w:kinsoku/>
        <w:wordWrap/>
        <w:overflowPunct/>
        <w:topLinePunct w:val="0"/>
        <w:autoSpaceDE/>
        <w:autoSpaceDN/>
        <w:bidi w:val="0"/>
        <w:spacing w:after="0" w:line="54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（四）项目成本情况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1.实施效益</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保障学校日常教育教学工作正常开展，满分30分，得分30分，得分率100%。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2024年城乡义务教育补助经费（特教公用经费）助力学校各项工作顺利开展。学校不断加强教师队伍建设，深入推进课程改革，促进教学经验交流与资源共享，提高教学水平。组织教师外出学习培训，同时鼓励教师自主开展校本研修，提高研究和教学水平，工作达到预期指标。</w:t>
      </w:r>
    </w:p>
    <w:p>
      <w:pPr>
        <w:pStyle w:val="19"/>
        <w:keepNext w:val="0"/>
        <w:keepLines w:val="0"/>
        <w:pageBreakBefore w:val="0"/>
        <w:widowControl w:val="0"/>
        <w:numPr>
          <w:ilvl w:val="0"/>
          <w:numId w:val="0"/>
        </w:numPr>
        <w:kinsoku/>
        <w:wordWrap/>
        <w:overflowPunct/>
        <w:topLinePunct w:val="0"/>
        <w:autoSpaceDE/>
        <w:autoSpaceDN/>
        <w:bidi w:val="0"/>
        <w:spacing w:after="0" w:line="54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（五）项目效益情况</w:t>
      </w:r>
    </w:p>
    <w:p>
      <w:pPr>
        <w:pStyle w:val="19"/>
        <w:keepNext w:val="0"/>
        <w:keepLines w:val="0"/>
        <w:pageBreakBefore w:val="0"/>
        <w:widowControl w:val="0"/>
        <w:numPr>
          <w:ilvl w:val="0"/>
          <w:numId w:val="0"/>
        </w:numPr>
        <w:kinsoku/>
        <w:wordWrap/>
        <w:overflowPunct/>
        <w:topLinePunct w:val="0"/>
        <w:autoSpaceDE/>
        <w:autoSpaceDN/>
        <w:bidi w:val="0"/>
        <w:spacing w:after="0" w:line="54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（六）满意度情况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1.服务对象满意度</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家长学生满意度，满分8分，得分8分，得分率100%。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家长学生对学校工作满意度预期达到95%。通过家长学生满意度调查问卷，对学校日常教育教学工作是否满意、对学校开展的活动安排是否满意、对学校的整体规划是否满意、对学校使用生均公用经费改善学校办学条件是否满意、对学校整体工作是否满意等问题，发出50份问卷，收回50份问卷，其中48份满意、2份不满意，满意度96%。</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五、主要经验及做法、存在的问题及原因分析</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楷体_GB2312" w:hAnsi="楷体_GB2312" w:eastAsia="楷体_GB2312" w:cs="楷体_GB2312"/>
          <w:b/>
          <w:bCs/>
          <w:kern w:val="2"/>
          <w:sz w:val="32"/>
          <w:szCs w:val="32"/>
          <w:highlight w:val="none"/>
          <w:lang w:val="en-US" w:eastAsia="zh-CN" w:bidi="ar-SA"/>
        </w:rPr>
        <w:t>（一）主要经验及做法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1.聚焦重点任务，推动项目工作落地落实</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2.坚持问题导向，加强执行监控，提高资金效益</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3.强化绩效目标刚性约束，及时对项目进行跟踪问效</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楷体_GB2312" w:hAnsi="楷体_GB2312" w:eastAsia="楷体_GB2312" w:cs="楷体_GB2312"/>
          <w:b/>
          <w:bCs/>
          <w:kern w:val="2"/>
          <w:sz w:val="32"/>
          <w:szCs w:val="32"/>
          <w:highlight w:val="none"/>
          <w:lang w:val="en-US" w:eastAsia="zh-CN" w:bidi="ar-SA"/>
        </w:rPr>
        <w:t>（二）存在问题及原因分析</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1.绩效预算认识不够充分，绩效理念有待进一步强化</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部门绩效管理理念尚未牢固树立，绩效管理专业人员匮乏。单位对全面实施绩效管理认识不够，绩效水平不高，单位内部绩效管理工作力量薄弱，多数以财务人员牵头开展绩效管理，工作推动机制不</w:t>
      </w:r>
      <w:r>
        <w:rPr>
          <w:rFonts w:hint="eastAsia" w:eastAsia="仿宋_GB2312" w:cs="Times New Roman"/>
          <w:b w:val="0"/>
          <w:bCs w:val="0"/>
          <w:color w:val="auto"/>
          <w:kern w:val="2"/>
          <w:sz w:val="32"/>
          <w:szCs w:val="32"/>
          <w:lang w:val="en-US" w:eastAsia="zh-CN" w:bidi="ar-SA"/>
        </w:rPr>
        <w:t>健</w:t>
      </w:r>
      <w:r>
        <w:rPr>
          <w:rFonts w:hint="eastAsia" w:ascii="Times New Roman" w:hAnsi="Times New Roman" w:eastAsia="仿宋_GB2312" w:cs="Times New Roman"/>
          <w:b w:val="0"/>
          <w:bCs w:val="0"/>
          <w:color w:val="auto"/>
          <w:kern w:val="2"/>
          <w:sz w:val="32"/>
          <w:szCs w:val="32"/>
          <w:lang w:val="en-US" w:eastAsia="zh-CN" w:bidi="ar-SA"/>
        </w:rPr>
        <w:t>全，业务人员业务能力和素质还有待进一步提升。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2.绩效档案归档工作有待提高</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3.项目支出绩效评价存在单位局限，客观性有待加强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项目支出绩效评价工作还存在自我审定的单位限性，项目支出绩效工作有较大弹性，评价报告多单位限于描述项目实施情况，对问题避重就轻，对项目的打分松紧不一，会影响评价质量，在客观性和公正性上说服力不强。</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4.项目预算不够精准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预算不够全面、精准，造成资金指标或任务目标调整，预算需要进一步细化。</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六、有关建议</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1.加强培训，提高相关人员工作水平</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采取多种培训形式对单位财务人员、业务科室人员进行集中培训，进一步树牢绩效观念，提高本单位工作人员的绩效管理能力和工作水平，为预算绩效管理相关工作的顺利开展提供保障。</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2.扎实推进档案规范化建设，提升档案管理水平</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一是进一步完善项目评价资料。项目启动时同步做好档案的归纳与整理，及时整理、收集、汇总，健全档案资料。二是严格落实绩效管理工作档案资料归档的相关要求，强化收集力度，确保归档资料的完整齐全。</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 高度重视，加强领导</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七、其他需要说明的问题</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4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bookmarkStart w:id="0" w:name="_GoBack"/>
      <w:bookmarkEnd w:id="0"/>
    </w:p>
    <w:p>
      <w:pPr>
        <w:keepNext w:val="0"/>
        <w:keepLines w:val="0"/>
        <w:pageBreakBefore w:val="0"/>
        <w:widowControl w:val="0"/>
        <w:kinsoku/>
        <w:wordWrap/>
        <w:overflowPunct/>
        <w:topLinePunct w:val="0"/>
        <w:autoSpaceDE/>
        <w:autoSpaceDN/>
        <w:bidi w:val="0"/>
        <w:spacing w:line="540" w:lineRule="exact"/>
        <w:ind w:firstLine="567"/>
        <w:rPr>
          <w:rStyle w:val="2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spacing w:line="540" w:lineRule="exact"/>
        <w:ind w:firstLine="567"/>
        <w:rPr>
          <w:rStyle w:val="2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spacing w:line="540" w:lineRule="exact"/>
        <w:ind w:firstLine="567"/>
        <w:rPr>
          <w:rStyle w:val="27"/>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spacing w:line="540" w:lineRule="exact"/>
        <w:ind w:firstLine="567"/>
        <w:rPr>
          <w:rStyle w:val="27"/>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21"/>
          <w:jc w:val="center"/>
        </w:pPr>
        <w:r>
          <w:fldChar w:fldCharType="begin"/>
        </w:r>
        <w:r>
          <w:instrText xml:space="preserve">PAGE   \* MERGEFORMAT</w:instrText>
        </w:r>
        <w:r>
          <w:fldChar w:fldCharType="separate"/>
        </w:r>
        <w:r>
          <w:rPr>
            <w:lang w:val="zh-CN"/>
          </w:rPr>
          <w:t>1</w:t>
        </w:r>
        <w:r>
          <w:fldChar w:fldCharType="end"/>
        </w:r>
      </w:p>
    </w:sdtContent>
  </w:sdt>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3F285"/>
    <w:multiLevelType w:val="singleLevel"/>
    <w:tmpl w:val="E833F285"/>
    <w:lvl w:ilvl="0" w:tentative="0">
      <w:start w:val="1"/>
      <w:numFmt w:val="decimal"/>
      <w:pStyle w:val="6"/>
      <w:lvlText w:val="%1."/>
      <w:lvlJc w:val="left"/>
      <w:pPr>
        <w:tabs>
          <w:tab w:val="left" w:pos="2040"/>
        </w:tabs>
        <w:ind w:left="20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5833BD2"/>
    <w:rsid w:val="0856517C"/>
    <w:rsid w:val="0BFB189F"/>
    <w:rsid w:val="11BD75F7"/>
    <w:rsid w:val="13BE561A"/>
    <w:rsid w:val="15392994"/>
    <w:rsid w:val="15520B1A"/>
    <w:rsid w:val="18571020"/>
    <w:rsid w:val="18FE139B"/>
    <w:rsid w:val="3029612C"/>
    <w:rsid w:val="32A221C5"/>
    <w:rsid w:val="33F20F2A"/>
    <w:rsid w:val="34C44675"/>
    <w:rsid w:val="36B82B23"/>
    <w:rsid w:val="3B5B5607"/>
    <w:rsid w:val="3CE21B3C"/>
    <w:rsid w:val="4D2606A1"/>
    <w:rsid w:val="4F8A611E"/>
    <w:rsid w:val="510C15C4"/>
    <w:rsid w:val="51830480"/>
    <w:rsid w:val="51EB6428"/>
    <w:rsid w:val="51F2215F"/>
    <w:rsid w:val="53A616BE"/>
    <w:rsid w:val="54662BFB"/>
    <w:rsid w:val="62051CA5"/>
    <w:rsid w:val="65DA0993"/>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2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8">
    <w:name w:val="heading 2"/>
    <w:basedOn w:val="1"/>
    <w:next w:val="1"/>
    <w:link w:val="30"/>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9">
    <w:name w:val="heading 3"/>
    <w:basedOn w:val="1"/>
    <w:next w:val="1"/>
    <w:link w:val="3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10">
    <w:name w:val="heading 4"/>
    <w:basedOn w:val="1"/>
    <w:next w:val="1"/>
    <w:link w:val="32"/>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11">
    <w:name w:val="heading 5"/>
    <w:basedOn w:val="1"/>
    <w:next w:val="1"/>
    <w:link w:val="33"/>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12">
    <w:name w:val="heading 6"/>
    <w:basedOn w:val="1"/>
    <w:next w:val="1"/>
    <w:link w:val="34"/>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3">
    <w:name w:val="heading 7"/>
    <w:basedOn w:val="1"/>
    <w:next w:val="1"/>
    <w:link w:val="35"/>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4">
    <w:name w:val="heading 8"/>
    <w:basedOn w:val="1"/>
    <w:next w:val="1"/>
    <w:link w:val="36"/>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5">
    <w:name w:val="heading 9"/>
    <w:basedOn w:val="1"/>
    <w:next w:val="1"/>
    <w:link w:val="37"/>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6">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widowControl w:val="0"/>
      <w:ind w:left="420" w:leftChars="20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pPr>
    <w:rPr>
      <w:rFonts w:ascii="Arial" w:hAnsi="Arial"/>
    </w:rPr>
  </w:style>
  <w:style w:type="paragraph" w:styleId="5">
    <w:name w:val="Plain Text"/>
    <w:basedOn w:val="1"/>
    <w:next w:val="6"/>
    <w:qFormat/>
    <w:uiPriority w:val="99"/>
    <w:pPr>
      <w:widowControl w:val="0"/>
      <w:jc w:val="both"/>
    </w:pPr>
    <w:rPr>
      <w:rFonts w:ascii="宋体" w:hAnsi="Courier New" w:cs="Courier New"/>
      <w:kern w:val="2"/>
      <w:sz w:val="21"/>
      <w:szCs w:val="21"/>
      <w:lang w:eastAsia="zh-CN"/>
    </w:rPr>
  </w:style>
  <w:style w:type="paragraph" w:styleId="6">
    <w:name w:val="List Number 5"/>
    <w:basedOn w:val="1"/>
    <w:semiHidden/>
    <w:unhideWhenUsed/>
    <w:uiPriority w:val="99"/>
    <w:pPr>
      <w:numPr>
        <w:ilvl w:val="0"/>
        <w:numId w:val="1"/>
      </w:numPr>
    </w:pPr>
  </w:style>
  <w:style w:type="paragraph" w:styleId="16">
    <w:name w:val="Document Map"/>
    <w:basedOn w:val="1"/>
    <w:next w:val="17"/>
    <w:semiHidden/>
    <w:qFormat/>
    <w:uiPriority w:val="0"/>
    <w:pPr>
      <w:shd w:val="clear" w:color="auto" w:fill="000080"/>
    </w:pPr>
  </w:style>
  <w:style w:type="paragraph" w:styleId="17">
    <w:name w:val="Body Text"/>
    <w:basedOn w:val="1"/>
    <w:next w:val="18"/>
    <w:qFormat/>
    <w:uiPriority w:val="0"/>
    <w:pPr>
      <w:spacing w:after="120" w:afterLines="0" w:afterAutospacing="0"/>
    </w:pPr>
    <w:rPr>
      <w:rFonts w:ascii="Times New Roman" w:hAnsi="Times New Roman" w:cs="仿宋_GB2312"/>
    </w:rPr>
  </w:style>
  <w:style w:type="paragraph" w:styleId="18">
    <w:name w:val="Body Text First Indent"/>
    <w:basedOn w:val="17"/>
    <w:qFormat/>
    <w:uiPriority w:val="0"/>
    <w:pPr>
      <w:ind w:firstLine="420" w:firstLineChars="100"/>
    </w:pPr>
  </w:style>
  <w:style w:type="paragraph" w:styleId="19">
    <w:name w:val="Body Text Indent 2"/>
    <w:basedOn w:val="1"/>
    <w:qFormat/>
    <w:uiPriority w:val="0"/>
    <w:pPr>
      <w:spacing w:after="120" w:line="480" w:lineRule="auto"/>
      <w:ind w:left="420" w:leftChars="200"/>
    </w:pPr>
    <w:rPr>
      <w:szCs w:val="20"/>
    </w:rPr>
  </w:style>
  <w:style w:type="paragraph" w:styleId="20">
    <w:name w:val="Balloon Text"/>
    <w:basedOn w:val="1"/>
    <w:link w:val="54"/>
    <w:semiHidden/>
    <w:unhideWhenUsed/>
    <w:qFormat/>
    <w:uiPriority w:val="99"/>
    <w:rPr>
      <w:sz w:val="18"/>
      <w:szCs w:val="18"/>
    </w:rPr>
  </w:style>
  <w:style w:type="paragraph" w:styleId="21">
    <w:name w:val="footer"/>
    <w:basedOn w:val="1"/>
    <w:link w:val="53"/>
    <w:unhideWhenUsed/>
    <w:qFormat/>
    <w:uiPriority w:val="99"/>
    <w:pPr>
      <w:tabs>
        <w:tab w:val="center" w:pos="4153"/>
        <w:tab w:val="right" w:pos="8306"/>
      </w:tabs>
      <w:snapToGrid w:val="0"/>
      <w:jc w:val="left"/>
    </w:pPr>
    <w:rPr>
      <w:rFonts w:ascii="Calibri" w:hAnsi="Calibri"/>
      <w:sz w:val="18"/>
      <w:szCs w:val="18"/>
    </w:rPr>
  </w:style>
  <w:style w:type="paragraph" w:styleId="22">
    <w:name w:val="header"/>
    <w:basedOn w:val="1"/>
    <w:link w:val="5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23">
    <w:name w:val="Subtitle"/>
    <w:basedOn w:val="1"/>
    <w:next w:val="1"/>
    <w:link w:val="39"/>
    <w:qFormat/>
    <w:uiPriority w:val="11"/>
    <w:pPr>
      <w:widowControl/>
      <w:spacing w:after="60"/>
      <w:jc w:val="center"/>
      <w:outlineLvl w:val="1"/>
    </w:pPr>
    <w:rPr>
      <w:rFonts w:asciiTheme="majorHAnsi" w:hAnsiTheme="majorHAnsi" w:eastAsiaTheme="majorEastAsia"/>
      <w:kern w:val="0"/>
      <w:sz w:val="24"/>
    </w:rPr>
  </w:style>
  <w:style w:type="paragraph" w:styleId="24">
    <w:name w:val="Title"/>
    <w:basedOn w:val="1"/>
    <w:next w:val="1"/>
    <w:link w:val="38"/>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7">
    <w:name w:val="Strong"/>
    <w:basedOn w:val="26"/>
    <w:qFormat/>
    <w:uiPriority w:val="0"/>
    <w:rPr>
      <w:b/>
      <w:bCs/>
    </w:rPr>
  </w:style>
  <w:style w:type="character" w:styleId="28">
    <w:name w:val="Emphasis"/>
    <w:basedOn w:val="26"/>
    <w:qFormat/>
    <w:uiPriority w:val="20"/>
    <w:rPr>
      <w:rFonts w:asciiTheme="minorHAnsi" w:hAnsiTheme="minorHAnsi"/>
      <w:b/>
      <w:i/>
      <w:iCs/>
    </w:rPr>
  </w:style>
  <w:style w:type="character" w:customStyle="1" w:styleId="29">
    <w:name w:val="标题 1 字符"/>
    <w:basedOn w:val="26"/>
    <w:link w:val="7"/>
    <w:qFormat/>
    <w:uiPriority w:val="9"/>
    <w:rPr>
      <w:rFonts w:asciiTheme="majorHAnsi" w:hAnsiTheme="majorHAnsi" w:eastAsiaTheme="majorEastAsia"/>
      <w:b/>
      <w:bCs/>
      <w:kern w:val="32"/>
      <w:sz w:val="32"/>
      <w:szCs w:val="32"/>
    </w:rPr>
  </w:style>
  <w:style w:type="character" w:customStyle="1" w:styleId="30">
    <w:name w:val="标题 2 字符"/>
    <w:basedOn w:val="26"/>
    <w:link w:val="8"/>
    <w:semiHidden/>
    <w:qFormat/>
    <w:uiPriority w:val="9"/>
    <w:rPr>
      <w:rFonts w:asciiTheme="majorHAnsi" w:hAnsiTheme="majorHAnsi" w:eastAsiaTheme="majorEastAsia"/>
      <w:b/>
      <w:bCs/>
      <w:i/>
      <w:iCs/>
      <w:sz w:val="28"/>
      <w:szCs w:val="28"/>
    </w:rPr>
  </w:style>
  <w:style w:type="character" w:customStyle="1" w:styleId="31">
    <w:name w:val="标题 3 字符"/>
    <w:basedOn w:val="26"/>
    <w:link w:val="9"/>
    <w:semiHidden/>
    <w:qFormat/>
    <w:uiPriority w:val="9"/>
    <w:rPr>
      <w:rFonts w:asciiTheme="majorHAnsi" w:hAnsiTheme="majorHAnsi" w:eastAsiaTheme="majorEastAsia"/>
      <w:b/>
      <w:bCs/>
      <w:sz w:val="26"/>
      <w:szCs w:val="26"/>
    </w:rPr>
  </w:style>
  <w:style w:type="character" w:customStyle="1" w:styleId="32">
    <w:name w:val="标题 4 字符"/>
    <w:basedOn w:val="26"/>
    <w:link w:val="10"/>
    <w:semiHidden/>
    <w:qFormat/>
    <w:uiPriority w:val="9"/>
    <w:rPr>
      <w:b/>
      <w:bCs/>
      <w:sz w:val="28"/>
      <w:szCs w:val="28"/>
    </w:rPr>
  </w:style>
  <w:style w:type="character" w:customStyle="1" w:styleId="33">
    <w:name w:val="标题 5 字符"/>
    <w:basedOn w:val="26"/>
    <w:link w:val="11"/>
    <w:semiHidden/>
    <w:qFormat/>
    <w:uiPriority w:val="9"/>
    <w:rPr>
      <w:b/>
      <w:bCs/>
      <w:i/>
      <w:iCs/>
      <w:sz w:val="26"/>
      <w:szCs w:val="26"/>
    </w:rPr>
  </w:style>
  <w:style w:type="character" w:customStyle="1" w:styleId="34">
    <w:name w:val="标题 6 字符"/>
    <w:basedOn w:val="26"/>
    <w:link w:val="12"/>
    <w:semiHidden/>
    <w:qFormat/>
    <w:uiPriority w:val="9"/>
    <w:rPr>
      <w:b/>
      <w:bCs/>
    </w:rPr>
  </w:style>
  <w:style w:type="character" w:customStyle="1" w:styleId="35">
    <w:name w:val="标题 7 字符"/>
    <w:basedOn w:val="26"/>
    <w:link w:val="13"/>
    <w:semiHidden/>
    <w:qFormat/>
    <w:uiPriority w:val="9"/>
    <w:rPr>
      <w:sz w:val="24"/>
      <w:szCs w:val="24"/>
    </w:rPr>
  </w:style>
  <w:style w:type="character" w:customStyle="1" w:styleId="36">
    <w:name w:val="标题 8 字符"/>
    <w:basedOn w:val="26"/>
    <w:link w:val="14"/>
    <w:semiHidden/>
    <w:qFormat/>
    <w:uiPriority w:val="9"/>
    <w:rPr>
      <w:i/>
      <w:iCs/>
      <w:sz w:val="24"/>
      <w:szCs w:val="24"/>
    </w:rPr>
  </w:style>
  <w:style w:type="character" w:customStyle="1" w:styleId="37">
    <w:name w:val="标题 9 字符"/>
    <w:basedOn w:val="26"/>
    <w:link w:val="15"/>
    <w:semiHidden/>
    <w:qFormat/>
    <w:uiPriority w:val="9"/>
    <w:rPr>
      <w:rFonts w:asciiTheme="majorHAnsi" w:hAnsiTheme="majorHAnsi" w:eastAsiaTheme="majorEastAsia"/>
    </w:rPr>
  </w:style>
  <w:style w:type="character" w:customStyle="1" w:styleId="38">
    <w:name w:val="标题 字符"/>
    <w:basedOn w:val="26"/>
    <w:link w:val="24"/>
    <w:qFormat/>
    <w:uiPriority w:val="10"/>
    <w:rPr>
      <w:rFonts w:asciiTheme="majorHAnsi" w:hAnsiTheme="majorHAnsi" w:eastAsiaTheme="majorEastAsia"/>
      <w:b/>
      <w:bCs/>
      <w:kern w:val="28"/>
      <w:sz w:val="32"/>
      <w:szCs w:val="32"/>
    </w:rPr>
  </w:style>
  <w:style w:type="character" w:customStyle="1" w:styleId="39">
    <w:name w:val="副标题 字符"/>
    <w:basedOn w:val="26"/>
    <w:link w:val="23"/>
    <w:qFormat/>
    <w:uiPriority w:val="11"/>
    <w:rPr>
      <w:rFonts w:asciiTheme="majorHAnsi" w:hAnsiTheme="majorHAnsi" w:eastAsiaTheme="majorEastAsia"/>
      <w:sz w:val="24"/>
      <w:szCs w:val="24"/>
    </w:rPr>
  </w:style>
  <w:style w:type="paragraph" w:styleId="40">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41">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2">
    <w:name w:val="Quote"/>
    <w:basedOn w:val="1"/>
    <w:next w:val="1"/>
    <w:link w:val="43"/>
    <w:qFormat/>
    <w:uiPriority w:val="29"/>
    <w:pPr>
      <w:widowControl/>
      <w:jc w:val="left"/>
    </w:pPr>
    <w:rPr>
      <w:rFonts w:asciiTheme="minorHAnsi" w:hAnsiTheme="minorHAnsi" w:eastAsiaTheme="minorEastAsia"/>
      <w:i/>
      <w:kern w:val="0"/>
      <w:sz w:val="24"/>
    </w:rPr>
  </w:style>
  <w:style w:type="character" w:customStyle="1" w:styleId="43">
    <w:name w:val="引用 字符"/>
    <w:basedOn w:val="26"/>
    <w:link w:val="42"/>
    <w:qFormat/>
    <w:uiPriority w:val="29"/>
    <w:rPr>
      <w:i/>
      <w:sz w:val="24"/>
      <w:szCs w:val="24"/>
    </w:rPr>
  </w:style>
  <w:style w:type="paragraph" w:styleId="44">
    <w:name w:val="Intense Quote"/>
    <w:basedOn w:val="1"/>
    <w:next w:val="1"/>
    <w:link w:val="45"/>
    <w:qFormat/>
    <w:uiPriority w:val="30"/>
    <w:pPr>
      <w:widowControl/>
      <w:ind w:left="720" w:right="720"/>
      <w:jc w:val="left"/>
    </w:pPr>
    <w:rPr>
      <w:rFonts w:asciiTheme="minorHAnsi" w:hAnsiTheme="minorHAnsi" w:eastAsiaTheme="minorEastAsia"/>
      <w:b/>
      <w:i/>
      <w:kern w:val="0"/>
      <w:sz w:val="24"/>
      <w:szCs w:val="22"/>
    </w:rPr>
  </w:style>
  <w:style w:type="character" w:customStyle="1" w:styleId="45">
    <w:name w:val="明显引用 字符"/>
    <w:basedOn w:val="26"/>
    <w:link w:val="44"/>
    <w:qFormat/>
    <w:uiPriority w:val="30"/>
    <w:rPr>
      <w:b/>
      <w:i/>
      <w:sz w:val="24"/>
    </w:rPr>
  </w:style>
  <w:style w:type="character" w:customStyle="1" w:styleId="46">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7">
    <w:name w:val="明显强调1"/>
    <w:basedOn w:val="26"/>
    <w:qFormat/>
    <w:uiPriority w:val="21"/>
    <w:rPr>
      <w:b/>
      <w:i/>
      <w:sz w:val="24"/>
      <w:szCs w:val="24"/>
      <w:u w:val="single"/>
    </w:rPr>
  </w:style>
  <w:style w:type="character" w:customStyle="1" w:styleId="48">
    <w:name w:val="不明显参考1"/>
    <w:basedOn w:val="26"/>
    <w:qFormat/>
    <w:uiPriority w:val="31"/>
    <w:rPr>
      <w:sz w:val="24"/>
      <w:szCs w:val="24"/>
      <w:u w:val="single"/>
    </w:rPr>
  </w:style>
  <w:style w:type="character" w:customStyle="1" w:styleId="49">
    <w:name w:val="明显参考1"/>
    <w:basedOn w:val="26"/>
    <w:qFormat/>
    <w:uiPriority w:val="32"/>
    <w:rPr>
      <w:b/>
      <w:sz w:val="24"/>
      <w:u w:val="single"/>
    </w:rPr>
  </w:style>
  <w:style w:type="character" w:customStyle="1" w:styleId="50">
    <w:name w:val="书籍标题1"/>
    <w:basedOn w:val="26"/>
    <w:qFormat/>
    <w:uiPriority w:val="33"/>
    <w:rPr>
      <w:rFonts w:asciiTheme="majorHAnsi" w:hAnsiTheme="majorHAnsi" w:eastAsiaTheme="majorEastAsia"/>
      <w:b/>
      <w:i/>
      <w:sz w:val="24"/>
      <w:szCs w:val="24"/>
    </w:rPr>
  </w:style>
  <w:style w:type="paragraph" w:customStyle="1" w:styleId="51">
    <w:name w:val="TOC 标题1"/>
    <w:basedOn w:val="7"/>
    <w:next w:val="1"/>
    <w:semiHidden/>
    <w:unhideWhenUsed/>
    <w:qFormat/>
    <w:uiPriority w:val="39"/>
    <w:pPr>
      <w:outlineLvl w:val="9"/>
    </w:pPr>
    <w:rPr>
      <w:lang w:eastAsia="en-US" w:bidi="en-US"/>
    </w:rPr>
  </w:style>
  <w:style w:type="character" w:customStyle="1" w:styleId="52">
    <w:name w:val="页眉 字符"/>
    <w:basedOn w:val="26"/>
    <w:link w:val="22"/>
    <w:qFormat/>
    <w:uiPriority w:val="99"/>
    <w:rPr>
      <w:rFonts w:ascii="Calibri" w:hAnsi="Calibri" w:eastAsia="宋体"/>
      <w:kern w:val="2"/>
      <w:sz w:val="18"/>
      <w:szCs w:val="18"/>
    </w:rPr>
  </w:style>
  <w:style w:type="character" w:customStyle="1" w:styleId="53">
    <w:name w:val="页脚 字符"/>
    <w:basedOn w:val="26"/>
    <w:link w:val="21"/>
    <w:qFormat/>
    <w:uiPriority w:val="99"/>
    <w:rPr>
      <w:rFonts w:ascii="Calibri" w:hAnsi="Calibri" w:eastAsia="宋体"/>
      <w:kern w:val="2"/>
      <w:sz w:val="18"/>
      <w:szCs w:val="18"/>
    </w:rPr>
  </w:style>
  <w:style w:type="character" w:customStyle="1" w:styleId="54">
    <w:name w:val="批注框文本 字符"/>
    <w:basedOn w:val="26"/>
    <w:link w:val="20"/>
    <w:semiHidden/>
    <w:qFormat/>
    <w:uiPriority w:val="99"/>
    <w:rPr>
      <w:rFonts w:ascii="Times New Roman" w:hAnsi="Times New Roman" w:eastAsia="宋体"/>
      <w:kern w:val="2"/>
      <w:sz w:val="18"/>
      <w:szCs w:val="18"/>
    </w:rPr>
  </w:style>
  <w:style w:type="paragraph" w:customStyle="1" w:styleId="55">
    <w:name w:val="0"/>
    <w:basedOn w:val="1"/>
    <w:next w:val="16"/>
    <w:qFormat/>
    <w:uiPriority w:val="0"/>
    <w:pPr>
      <w:widowControl/>
      <w:spacing w:line="365" w:lineRule="atLeast"/>
      <w:ind w:left="1"/>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6389</Words>
  <Characters>6705</Characters>
  <Lines>5</Lines>
  <Paragraphs>1</Paragraphs>
  <TotalTime>29</TotalTime>
  <ScaleCrop>false</ScaleCrop>
  <LinksUpToDate>false</LinksUpToDate>
  <CharactersWithSpaces>6721</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2025-11-06T10:54:18Z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