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244A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E1D208D">
      <w:pPr>
        <w:spacing w:line="540" w:lineRule="exact"/>
        <w:jc w:val="center"/>
        <w:rPr>
          <w:rFonts w:ascii="华文中宋" w:hAnsi="华文中宋" w:eastAsia="华文中宋" w:cs="宋体"/>
          <w:b/>
          <w:kern w:val="0"/>
          <w:sz w:val="52"/>
          <w:szCs w:val="52"/>
        </w:rPr>
      </w:pPr>
    </w:p>
    <w:p w14:paraId="415DCD1F">
      <w:pPr>
        <w:spacing w:line="540" w:lineRule="exact"/>
        <w:jc w:val="center"/>
        <w:rPr>
          <w:rFonts w:ascii="华文中宋" w:hAnsi="华文中宋" w:eastAsia="华文中宋" w:cs="宋体"/>
          <w:b/>
          <w:kern w:val="0"/>
          <w:sz w:val="52"/>
          <w:szCs w:val="52"/>
        </w:rPr>
      </w:pPr>
    </w:p>
    <w:p w14:paraId="52A39914">
      <w:pPr>
        <w:spacing w:line="540" w:lineRule="exact"/>
        <w:jc w:val="center"/>
        <w:rPr>
          <w:rFonts w:ascii="华文中宋" w:hAnsi="华文中宋" w:eastAsia="华文中宋" w:cs="宋体"/>
          <w:b/>
          <w:kern w:val="0"/>
          <w:sz w:val="52"/>
          <w:szCs w:val="52"/>
        </w:rPr>
      </w:pPr>
    </w:p>
    <w:p w14:paraId="6CC2F700">
      <w:pPr>
        <w:spacing w:line="540" w:lineRule="exact"/>
        <w:jc w:val="center"/>
        <w:rPr>
          <w:rFonts w:hint="eastAsia" w:ascii="华文中宋" w:hAnsi="华文中宋" w:eastAsia="华文中宋" w:cs="宋体"/>
          <w:b/>
          <w:kern w:val="0"/>
          <w:sz w:val="52"/>
          <w:szCs w:val="52"/>
          <w:lang w:eastAsia="zh-CN"/>
        </w:rPr>
      </w:pPr>
    </w:p>
    <w:p w14:paraId="21264C36">
      <w:pPr>
        <w:spacing w:line="540" w:lineRule="exact"/>
        <w:jc w:val="center"/>
        <w:rPr>
          <w:rFonts w:ascii="华文中宋" w:hAnsi="华文中宋" w:eastAsia="华文中宋" w:cs="宋体"/>
          <w:b/>
          <w:kern w:val="0"/>
          <w:sz w:val="52"/>
          <w:szCs w:val="52"/>
        </w:rPr>
      </w:pPr>
    </w:p>
    <w:p w14:paraId="20F4E4F0">
      <w:pPr>
        <w:spacing w:line="540" w:lineRule="exact"/>
        <w:jc w:val="center"/>
        <w:rPr>
          <w:rFonts w:ascii="华文中宋" w:hAnsi="华文中宋" w:eastAsia="华文中宋" w:cs="宋体"/>
          <w:b/>
          <w:kern w:val="0"/>
          <w:sz w:val="52"/>
          <w:szCs w:val="52"/>
        </w:rPr>
      </w:pPr>
    </w:p>
    <w:p w14:paraId="1AFE2553">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08D3B4D7">
      <w:pPr>
        <w:spacing w:line="540" w:lineRule="exact"/>
        <w:jc w:val="center"/>
        <w:rPr>
          <w:rFonts w:ascii="华文中宋" w:hAnsi="华文中宋" w:eastAsia="华文中宋" w:cs="宋体"/>
          <w:b/>
          <w:kern w:val="0"/>
          <w:sz w:val="52"/>
          <w:szCs w:val="52"/>
        </w:rPr>
      </w:pPr>
    </w:p>
    <w:p w14:paraId="494DB3EB">
      <w:pPr>
        <w:spacing w:line="540" w:lineRule="exact"/>
        <w:jc w:val="center"/>
        <w:rPr>
          <w:rFonts w:hint="eastAsia" w:ascii="楷体" w:hAnsi="楷体" w:eastAsia="楷体" w:cs="楷体"/>
          <w:kern w:val="0"/>
          <w:sz w:val="32"/>
          <w:szCs w:val="32"/>
        </w:rPr>
      </w:pPr>
      <w:r>
        <w:rPr>
          <w:rFonts w:hint="eastAsia" w:ascii="楷体" w:hAnsi="楷体" w:eastAsia="楷体" w:cs="楷体"/>
          <w:kern w:val="0"/>
          <w:sz w:val="32"/>
          <w:szCs w:val="32"/>
        </w:rPr>
        <w:t>（   2024  年度）</w:t>
      </w:r>
    </w:p>
    <w:p w14:paraId="616E41B1">
      <w:pPr>
        <w:spacing w:line="540" w:lineRule="exact"/>
        <w:jc w:val="center"/>
        <w:rPr>
          <w:rFonts w:hAnsi="宋体" w:eastAsia="仿宋_GB2312" w:cs="宋体"/>
          <w:kern w:val="0"/>
          <w:sz w:val="30"/>
          <w:szCs w:val="30"/>
        </w:rPr>
      </w:pPr>
    </w:p>
    <w:p w14:paraId="0807D61F">
      <w:pPr>
        <w:spacing w:line="540" w:lineRule="exact"/>
        <w:jc w:val="center"/>
        <w:rPr>
          <w:rFonts w:hint="eastAsia" w:ascii="楷体" w:hAnsi="楷体" w:eastAsia="楷体" w:cs="楷体"/>
          <w:kern w:val="0"/>
          <w:sz w:val="36"/>
          <w:szCs w:val="36"/>
        </w:rPr>
      </w:pPr>
    </w:p>
    <w:p w14:paraId="7556DCB6">
      <w:pPr>
        <w:spacing w:line="540" w:lineRule="exact"/>
        <w:jc w:val="center"/>
        <w:rPr>
          <w:rFonts w:hAnsi="宋体" w:eastAsia="仿宋_GB2312" w:cs="宋体"/>
          <w:kern w:val="0"/>
          <w:sz w:val="30"/>
          <w:szCs w:val="30"/>
        </w:rPr>
      </w:pPr>
    </w:p>
    <w:p w14:paraId="4CABFE1A">
      <w:pPr>
        <w:spacing w:line="540" w:lineRule="exact"/>
        <w:jc w:val="center"/>
        <w:rPr>
          <w:rFonts w:hAnsi="宋体" w:eastAsia="仿宋_GB2312" w:cs="宋体"/>
          <w:kern w:val="0"/>
          <w:sz w:val="30"/>
          <w:szCs w:val="30"/>
        </w:rPr>
      </w:pPr>
    </w:p>
    <w:p w14:paraId="02EC7B10">
      <w:pPr>
        <w:spacing w:line="540" w:lineRule="exact"/>
        <w:jc w:val="center"/>
        <w:rPr>
          <w:rFonts w:hAnsi="宋体" w:eastAsia="仿宋_GB2312" w:cs="宋体"/>
          <w:kern w:val="0"/>
          <w:sz w:val="30"/>
          <w:szCs w:val="30"/>
        </w:rPr>
      </w:pPr>
    </w:p>
    <w:p w14:paraId="3D91FD57">
      <w:pPr>
        <w:spacing w:line="540" w:lineRule="exact"/>
        <w:jc w:val="center"/>
        <w:rPr>
          <w:rFonts w:hAnsi="宋体" w:eastAsia="仿宋_GB2312" w:cs="宋体"/>
          <w:kern w:val="0"/>
          <w:sz w:val="30"/>
          <w:szCs w:val="30"/>
        </w:rPr>
      </w:pPr>
    </w:p>
    <w:p w14:paraId="1392AF5E">
      <w:pPr>
        <w:spacing w:line="540" w:lineRule="exact"/>
        <w:rPr>
          <w:rFonts w:hAnsi="宋体" w:eastAsia="仿宋_GB2312" w:cs="宋体"/>
          <w:kern w:val="0"/>
          <w:sz w:val="30"/>
          <w:szCs w:val="30"/>
        </w:rPr>
      </w:pPr>
    </w:p>
    <w:p w14:paraId="2302468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7AD90D">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退役安置支出-本级</w:t>
      </w:r>
    </w:p>
    <w:p w14:paraId="061EBB5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b w:val="0"/>
          <w:bCs w:val="0"/>
          <w:spacing w:val="-4"/>
          <w:sz w:val="36"/>
          <w:szCs w:val="36"/>
        </w:rPr>
        <w:t>哈密市伊州区退役军人事务局</w:t>
      </w:r>
    </w:p>
    <w:p w14:paraId="4180DB1C">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哈密市伊州区退役军人事务局</w:t>
      </w:r>
    </w:p>
    <w:p w14:paraId="2693508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杜秀清</w:t>
      </w:r>
    </w:p>
    <w:p w14:paraId="68513325">
      <w:pPr>
        <w:spacing w:line="540" w:lineRule="exact"/>
        <w:ind w:left="273"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2025年05月16日</w:t>
      </w:r>
    </w:p>
    <w:p w14:paraId="707B37A3">
      <w:pPr>
        <w:spacing w:line="700" w:lineRule="exact"/>
        <w:ind w:firstLine="708" w:firstLineChars="236"/>
        <w:jc w:val="left"/>
        <w:rPr>
          <w:rFonts w:hAnsi="宋体" w:eastAsia="仿宋_GB2312" w:cs="宋体"/>
          <w:kern w:val="0"/>
          <w:sz w:val="30"/>
          <w:szCs w:val="30"/>
        </w:rPr>
      </w:pPr>
    </w:p>
    <w:p w14:paraId="28BDEC6F">
      <w:pPr>
        <w:numPr>
          <w:ilvl w:val="0"/>
          <w:numId w:val="1"/>
        </w:num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基本情况</w:t>
      </w:r>
    </w:p>
    <w:p w14:paraId="2B72B432">
      <w:pPr>
        <w:numPr>
          <w:ilvl w:val="0"/>
          <w:numId w:val="0"/>
        </w:numPr>
        <w:spacing w:line="540" w:lineRule="exact"/>
        <w:ind w:firstLine="313" w:firstLineChars="100"/>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（一）项目概况</w:t>
      </w:r>
    </w:p>
    <w:p w14:paraId="045C70A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C1D1BC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为进一步推进深化退役士兵安置改革，规范自主就业士兵一次性经济补助的发放管理工作，</w:t>
      </w:r>
      <w:r>
        <w:rPr>
          <w:rStyle w:val="19"/>
          <w:rFonts w:hint="eastAsia" w:ascii="楷体" w:hAnsi="楷体" w:eastAsia="楷体"/>
          <w:b w:val="0"/>
          <w:bCs w:val="0"/>
          <w:spacing w:val="-4"/>
          <w:sz w:val="32"/>
          <w:szCs w:val="32"/>
          <w:lang w:val="en-US" w:eastAsia="zh-CN"/>
        </w:rPr>
        <w:t>为</w:t>
      </w:r>
      <w:r>
        <w:rPr>
          <w:rStyle w:val="19"/>
          <w:rFonts w:hint="eastAsia" w:ascii="楷体" w:hAnsi="楷体" w:eastAsia="楷体"/>
          <w:b w:val="0"/>
          <w:bCs w:val="0"/>
          <w:spacing w:val="-4"/>
          <w:sz w:val="32"/>
          <w:szCs w:val="32"/>
        </w:rPr>
        <w:t>保障退役士兵合法权益，依据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等有关法律法规和政策规定，实施退役士兵安置项目，由地方人民政府发给自主就业退役士兵的经济补助。</w:t>
      </w:r>
    </w:p>
    <w:p w14:paraId="23CEC028">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主要内容及实施情况</w:t>
      </w:r>
    </w:p>
    <w:p w14:paraId="394E1135">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维护军人合法权益、褒扬彰显退役军人为党、国家、和人民牺牲奉献的精神风范，依法统筹用于义务兵家庭的经费、自主就业退役士兵一次性经济补助金，根据当地财政情况对军人家庭</w:t>
      </w:r>
      <w:r>
        <w:rPr>
          <w:rStyle w:val="19"/>
          <w:rFonts w:hint="eastAsia" w:ascii="楷体" w:hAnsi="楷体" w:eastAsia="楷体"/>
          <w:b w:val="0"/>
          <w:bCs w:val="0"/>
          <w:spacing w:val="-4"/>
          <w:sz w:val="32"/>
          <w:szCs w:val="32"/>
          <w:lang w:val="en-US" w:eastAsia="zh-CN"/>
        </w:rPr>
        <w:t>给予</w:t>
      </w:r>
      <w:r>
        <w:rPr>
          <w:rStyle w:val="19"/>
          <w:rFonts w:hint="eastAsia" w:ascii="楷体" w:hAnsi="楷体" w:eastAsia="楷体"/>
          <w:b w:val="0"/>
          <w:bCs w:val="0"/>
          <w:spacing w:val="-4"/>
          <w:sz w:val="32"/>
          <w:szCs w:val="32"/>
        </w:rPr>
        <w:t xml:space="preserve">适当的经济补助。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w:t>
      </w:r>
      <w:r>
        <w:rPr>
          <w:rStyle w:val="19"/>
          <w:rFonts w:hint="eastAsia" w:ascii="楷体" w:hAnsi="楷体" w:eastAsia="楷体"/>
          <w:b w:val="0"/>
          <w:bCs w:val="0"/>
          <w:spacing w:val="-4"/>
          <w:sz w:val="32"/>
          <w:szCs w:val="32"/>
          <w:lang w:val="en-US" w:eastAsia="zh-CN"/>
        </w:rPr>
        <w:t>.</w:t>
      </w:r>
      <w:r>
        <w:rPr>
          <w:rStyle w:val="19"/>
          <w:rFonts w:hint="eastAsia" w:ascii="楷体" w:hAnsi="楷体" w:eastAsia="楷体"/>
          <w:b w:val="0"/>
          <w:bCs w:val="0"/>
          <w:spacing w:val="-4"/>
          <w:sz w:val="32"/>
          <w:szCs w:val="32"/>
        </w:rPr>
        <w:t>资金投入和使用情况</w:t>
      </w:r>
    </w:p>
    <w:p w14:paraId="6728AEA4">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退役士兵安置支出计划拨付734.4</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万元，项目于2024年2月1日批复预算资金569.65万元，截至2024年12月31日，项目用于退役士兵安置支出，项目资金支付569.65万元，资金到位率100%，预算执行率为100%。</w:t>
      </w:r>
    </w:p>
    <w:p w14:paraId="0DE66F0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4AA700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本项目总体目标为：2024年该项目计划投入734.4</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万元，通过为154名退役</w:t>
      </w:r>
      <w:r>
        <w:rPr>
          <w:rStyle w:val="19"/>
          <w:rFonts w:hint="eastAsia" w:ascii="楷体" w:hAnsi="楷体" w:eastAsia="楷体"/>
          <w:b w:val="0"/>
          <w:bCs w:val="0"/>
          <w:spacing w:val="-4"/>
          <w:sz w:val="32"/>
          <w:szCs w:val="32"/>
          <w:lang w:val="en-US" w:eastAsia="zh-CN"/>
        </w:rPr>
        <w:t>士</w:t>
      </w:r>
      <w:r>
        <w:rPr>
          <w:rStyle w:val="19"/>
          <w:rFonts w:hint="eastAsia" w:ascii="楷体" w:hAnsi="楷体" w:eastAsia="楷体"/>
          <w:b w:val="0"/>
          <w:bCs w:val="0"/>
          <w:spacing w:val="-4"/>
          <w:sz w:val="32"/>
          <w:szCs w:val="32"/>
        </w:rPr>
        <w:t>兵发放自主就业一次性经济补助金，解决自主就业退役</w:t>
      </w:r>
      <w:r>
        <w:rPr>
          <w:rStyle w:val="19"/>
          <w:rFonts w:hint="eastAsia" w:ascii="楷体" w:hAnsi="楷体" w:eastAsia="楷体"/>
          <w:b w:val="0"/>
          <w:bCs w:val="0"/>
          <w:spacing w:val="-4"/>
          <w:sz w:val="32"/>
          <w:szCs w:val="32"/>
          <w:lang w:val="en-US" w:eastAsia="zh-CN"/>
        </w:rPr>
        <w:t>士兵</w:t>
      </w:r>
      <w:r>
        <w:rPr>
          <w:rStyle w:val="19"/>
          <w:rFonts w:hint="eastAsia" w:ascii="楷体" w:hAnsi="楷体" w:eastAsia="楷体"/>
          <w:b w:val="0"/>
          <w:bCs w:val="0"/>
          <w:spacing w:val="-4"/>
          <w:sz w:val="32"/>
          <w:szCs w:val="32"/>
        </w:rPr>
        <w:t>就业压力，减轻经济负担，解决退役军人实际问题及后顾之忧。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数量指标：退役士兵安置人数不低于100人；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质量指标：退役士兵覆盖率达到100%；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时效指标：资金支付及时率达到100%。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经济成本指标：退役安置成本不高于734.4</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社会效益指标：解决退役士兵生活补助达到基本保障。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满意度指标：退役士兵满意度不低于95%。</w:t>
      </w:r>
    </w:p>
    <w:p w14:paraId="6CD9CF8E">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F4DC318">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457F9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文件精神，对退役士兵安置支出项目绩效目标实现情况进行自评。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02C4A08F">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C566B48">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2F9B72B6">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预算编制：预算编制科学性，权重3分；资金分配合理性，权重2分。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p>
    <w:p w14:paraId="1D3DBA74">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资金管理：资金到位率，权重6分；预算执行率，权重6分。</w:t>
      </w:r>
    </w:p>
    <w:p w14:paraId="112803F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组织实施：管理制度健全性，权重5分，制度执行有效性，权重6分。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数量指标：退役士兵安置人数，权重6分；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质量指标：退役士兵覆盖率，权重5分；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时效指标：资金支付及时率，权重5分。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成本指标：退役安置成本，权重6分。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社会效益指标：解决退役士兵生活补助达到有效保障，权重15分。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服务对象满意度指标：退役士兵满意度，权重8分。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退役士兵安置支出项目绩效评价主要通过项目单位自评、主管部门监督、财政部门参评的方式开展绩效评价工作。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p>
    <w:p w14:paraId="0F475285">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600B404B">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7FE367E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3C6A55AD">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发放调查问卷开展退役士兵安置支出满意度调查工作。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64FF6C50">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CFA06F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95.51</w:t>
      </w:r>
      <w:r>
        <w:rPr>
          <w:rStyle w:val="19"/>
          <w:rFonts w:hint="eastAsia" w:ascii="楷体" w:hAnsi="楷体" w:eastAsia="楷体"/>
          <w:b w:val="0"/>
          <w:bCs w:val="0"/>
          <w:spacing w:val="-4"/>
          <w:sz w:val="32"/>
          <w:szCs w:val="32"/>
        </w:rPr>
        <w:t>分，自评结果为“优”，其中项目决策得分17分，项目过程得分22分，项目产出得分22分，项目效益得分30分，项目满意度得分8分。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合评价结论：项目决策方面，项目立项依据清晰，目标明确，测算内容符合相关文件政策规定，预算项目清晰；项目过程方面，资金到位率为100%，财务和业务管理制度合法、合规、完整，项目资金遵守相关法律法规和相关管理规定，项目实施的人员条件、场地设备、信息支撑等落实到位；项目产出方面，按照预算成本完成退役士兵一次性经济补助金的发放工作；项目效益方面，落实义务兵家庭优待金发放工作、解决义务兵服役期间对其家庭补助达到预期目标；项目满意度方面，退役士兵满意度达到预期目标。</w:t>
      </w:r>
    </w:p>
    <w:p w14:paraId="3E521964">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7ECAA57">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429E912">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1BE914BA">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（1）立项依据充分性，满分2分，得分2分，得分率100%。该项目立项依据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符合国家法律法规、国民经济</w:t>
      </w:r>
      <w:r>
        <w:rPr>
          <w:rStyle w:val="19"/>
          <w:rFonts w:hint="eastAsia" w:ascii="楷体" w:hAnsi="楷体" w:eastAsia="楷体"/>
          <w:b w:val="0"/>
          <w:bCs w:val="0"/>
          <w:spacing w:val="-4"/>
          <w:sz w:val="32"/>
          <w:szCs w:val="32"/>
          <w:lang w:val="en-US" w:eastAsia="zh-CN"/>
        </w:rPr>
        <w:t>和社会发展规划</w:t>
      </w:r>
      <w:r>
        <w:rPr>
          <w:rStyle w:val="19"/>
          <w:rFonts w:hint="eastAsia" w:ascii="楷体" w:hAnsi="楷体" w:eastAsia="楷体"/>
          <w:b w:val="0"/>
          <w:bCs w:val="0"/>
          <w:spacing w:val="-4"/>
          <w:sz w:val="32"/>
          <w:szCs w:val="32"/>
        </w:rPr>
        <w:t>；符合行业发展规划和政策要求；与部门职责范围相符，属于部门履职所需；属于公共财政支持范围，符合市、区两级政府事权</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支出责任划分原则；与相关部门同类项目或部门相关项目不存在政策交叉重复。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（1）绩效目标明确性，满分4分，得分4分，得分率100%。该项目绩效目标为2024年该项目计划投入569.65万元，通过为102名退役</w:t>
      </w:r>
      <w:r>
        <w:rPr>
          <w:rStyle w:val="19"/>
          <w:rFonts w:hint="eastAsia" w:ascii="楷体" w:hAnsi="楷体" w:eastAsia="楷体"/>
          <w:b w:val="0"/>
          <w:bCs w:val="0"/>
          <w:spacing w:val="-4"/>
          <w:sz w:val="32"/>
          <w:szCs w:val="32"/>
          <w:lang w:val="en-US" w:eastAsia="zh-CN"/>
        </w:rPr>
        <w:t>士</w:t>
      </w:r>
      <w:r>
        <w:rPr>
          <w:rStyle w:val="19"/>
          <w:rFonts w:hint="eastAsia" w:ascii="楷体" w:hAnsi="楷体" w:eastAsia="楷体"/>
          <w:b w:val="0"/>
          <w:bCs w:val="0"/>
          <w:spacing w:val="-4"/>
          <w:sz w:val="32"/>
          <w:szCs w:val="32"/>
        </w:rPr>
        <w:t>兵发放自主就业一次性经济补助金，解决自主就业退役</w:t>
      </w:r>
      <w:r>
        <w:rPr>
          <w:rStyle w:val="19"/>
          <w:rFonts w:hint="eastAsia" w:ascii="楷体" w:hAnsi="楷体" w:eastAsia="楷体"/>
          <w:b w:val="0"/>
          <w:bCs w:val="0"/>
          <w:spacing w:val="-4"/>
          <w:sz w:val="32"/>
          <w:szCs w:val="32"/>
          <w:lang w:val="en-US" w:eastAsia="zh-CN"/>
        </w:rPr>
        <w:t>士</w:t>
      </w:r>
      <w:r>
        <w:rPr>
          <w:rStyle w:val="19"/>
          <w:rFonts w:hint="eastAsia" w:ascii="楷体" w:hAnsi="楷体" w:eastAsia="楷体"/>
          <w:b w:val="0"/>
          <w:bCs w:val="0"/>
          <w:spacing w:val="-4"/>
          <w:sz w:val="32"/>
          <w:szCs w:val="32"/>
        </w:rPr>
        <w:t>兵就业压力，减轻经济负担，解决退役军人实际问题及后顾之忧。绩效目标明确，与项目目标</w:t>
      </w:r>
      <w:r>
        <w:rPr>
          <w:rStyle w:val="19"/>
          <w:rFonts w:hint="eastAsia" w:ascii="楷体" w:hAnsi="楷体" w:eastAsia="楷体"/>
          <w:b w:val="0"/>
          <w:bCs w:val="0"/>
          <w:spacing w:val="-4"/>
          <w:sz w:val="32"/>
          <w:szCs w:val="32"/>
          <w:lang w:val="en-US" w:eastAsia="zh-CN"/>
        </w:rPr>
        <w:t>及</w:t>
      </w:r>
      <w:r>
        <w:rPr>
          <w:rStyle w:val="19"/>
          <w:rFonts w:hint="eastAsia" w:ascii="楷体" w:hAnsi="楷体" w:eastAsia="楷体"/>
          <w:b w:val="0"/>
          <w:bCs w:val="0"/>
          <w:spacing w:val="-4"/>
          <w:sz w:val="32"/>
          <w:szCs w:val="32"/>
        </w:rPr>
        <w:t>任务数相对应。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（2）绩效目标合理性，满分4分，得分4分，得分率100%。该项目绩效目标为2024年该项目计划投入569.65万元，通过为154名退役</w:t>
      </w:r>
      <w:r>
        <w:rPr>
          <w:rStyle w:val="19"/>
          <w:rFonts w:hint="eastAsia" w:ascii="楷体" w:hAnsi="楷体" w:eastAsia="楷体"/>
          <w:b w:val="0"/>
          <w:bCs w:val="0"/>
          <w:spacing w:val="-4"/>
          <w:sz w:val="32"/>
          <w:szCs w:val="32"/>
          <w:lang w:val="en-US" w:eastAsia="zh-CN"/>
        </w:rPr>
        <w:t>士</w:t>
      </w:r>
      <w:r>
        <w:rPr>
          <w:rStyle w:val="19"/>
          <w:rFonts w:hint="eastAsia" w:ascii="楷体" w:hAnsi="楷体" w:eastAsia="楷体"/>
          <w:b w:val="0"/>
          <w:bCs w:val="0"/>
          <w:spacing w:val="-4"/>
          <w:sz w:val="32"/>
          <w:szCs w:val="32"/>
        </w:rPr>
        <w:t>兵发放自主就业一次性经济补助金，解决自主就业退役</w:t>
      </w:r>
      <w:r>
        <w:rPr>
          <w:rStyle w:val="19"/>
          <w:rFonts w:hint="eastAsia" w:ascii="楷体" w:hAnsi="楷体" w:eastAsia="楷体"/>
          <w:b w:val="0"/>
          <w:bCs w:val="0"/>
          <w:spacing w:val="-4"/>
          <w:sz w:val="32"/>
          <w:szCs w:val="32"/>
          <w:lang w:val="en-US" w:eastAsia="zh-CN"/>
        </w:rPr>
        <w:t>士</w:t>
      </w:r>
      <w:r>
        <w:rPr>
          <w:rStyle w:val="19"/>
          <w:rFonts w:hint="eastAsia" w:ascii="楷体" w:hAnsi="楷体" w:eastAsia="楷体"/>
          <w:b w:val="0"/>
          <w:bCs w:val="0"/>
          <w:spacing w:val="-4"/>
          <w:sz w:val="32"/>
          <w:szCs w:val="32"/>
        </w:rPr>
        <w:t>兵就业压力，减轻经济负担，解决退役军人实际问题及后顾之忧。项目绩效目标已细化分解为具体的绩效指标；与实际工作内容具有相关性；预期产出效益和效果符合正常的业绩水平；与预算确定的项目资金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（1）预算编制科学性，满分3分，得分3分，得分率100%。本项目依据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文件内容，预算测算内容符合相关政策文件规定和相关行业、领域管理标准；预算测算使用部门自行制定的支出标准，符合上级管理部门的标准或社会实际支出水平。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（2）资金分配合理性，满分2分，得分2分，得分率100%。预算按照项目内容，包括人力、商品和服务、资本性等各类支出，分别测算成本;预算根据事权划分准确核定本级财政支出。</w:t>
      </w:r>
      <w:r>
        <w:rPr>
          <w:rStyle w:val="19"/>
          <w:rFonts w:hint="eastAsia" w:ascii="楷体" w:hAnsi="楷体" w:eastAsia="楷体"/>
          <w:b w:val="0"/>
          <w:bCs w:val="0"/>
          <w:spacing w:val="-4"/>
          <w:sz w:val="32"/>
          <w:szCs w:val="32"/>
          <w:lang w:eastAsia="zh-CN"/>
        </w:rPr>
        <w:tab/>
      </w:r>
    </w:p>
    <w:p w14:paraId="120956AE">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637DFFC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3761F3C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（1）资金到位率，满分6分，得分6分，得分率100%。该项目预算资金为734.4</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万元，实际到位资金734.4</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万元，资金到位率为100%。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（2）预算执行率，满分6分，得分6分，得分率100%。该项目实际支出资金为569.65万元，实际到位资金569.65万元，资金执行率为100%。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（2）管理制度健全性，满分4分，得分3分，得分率75%。该项目具有相应的财务管理制度，经办人初审、科室主任复核、分管领导终审，严格把关；项目财务和业务管理制度合法、合规，但业务管理制度尚不健全。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制度执行有效性，满分3分，得分3分，得分率100%。该项目能够遵守相关法律法规和业务管理规定；项目调整及支出调整手续完备；项目发放表及支付凭证档案资料齐全并及时归档；项目实施的人员条件、场地设备、信息支撑等落实到位。</w:t>
      </w:r>
      <w:r>
        <w:rPr>
          <w:rStyle w:val="19"/>
          <w:rFonts w:hint="eastAsia" w:ascii="楷体" w:hAnsi="楷体" w:eastAsia="楷体"/>
          <w:b w:val="0"/>
          <w:bCs w:val="0"/>
          <w:spacing w:val="-4"/>
          <w:sz w:val="32"/>
          <w:szCs w:val="32"/>
        </w:rPr>
        <w:br w:type="textWrapping"/>
      </w:r>
      <w:r>
        <w:rPr>
          <w:rStyle w:val="19"/>
          <w:rFonts w:hint="eastAsia" w:ascii="楷体" w:hAnsi="楷体" w:eastAsia="楷体"/>
          <w:b/>
          <w:bCs/>
          <w:spacing w:val="-4"/>
          <w:sz w:val="32"/>
          <w:szCs w:val="32"/>
          <w:lang w:val="en-US" w:eastAsia="zh-CN"/>
        </w:rPr>
        <w:t xml:space="preserve">  </w:t>
      </w:r>
      <w:r>
        <w:rPr>
          <w:rStyle w:val="19"/>
          <w:rFonts w:hint="eastAsia" w:ascii="楷体" w:hAnsi="楷体" w:eastAsia="楷体"/>
          <w:b/>
          <w:bCs/>
          <w:spacing w:val="-4"/>
          <w:sz w:val="32"/>
          <w:szCs w:val="32"/>
        </w:rPr>
        <w:t>（三）项目产出情况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退役士兵安置人数，满分6分，得分6分，得分率100%。根据当年服兵役人数情况，该项目年初目标值是退役士兵安置人数应不低于100人，根据退役士兵安置人员统计表实际安置退役士兵154人。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退役士兵覆盖率，满分5分，得分5分，得分率100%。根据当年服兵役人数情况，该项目年初目标值是退役士兵覆盖率为100%，实际安置退役士兵154人，退役士兵覆盖率为100%。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资金支付及时率，满分5分，得分5分，得分率100%。根据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文件内容，该项目资金支付及时率为100%，根据国库支付凭证证明，本年度项目资金已于年内完全拨付到位，资金支付及时率为100%。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退役安置成本，满分6分，得分6分，得分率100%。根据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文件内容，该项目资金发放成本不高于569.65万元，根据国库支付凭证证明，实际发放资金为569.65万元。</w:t>
      </w:r>
    </w:p>
    <w:p w14:paraId="14389207">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3C42B5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28BE93F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解决退役士兵生活补助，落实义务兵家庭优待金发放工作，满分15分，得分15分，得分率100%。通过发放补助金，让退役士兵感受到国家和社会的关爱和尊重，有助于提高社会和军人的认同感和荣誉感，达到了预期的目标，激励更多的年轻人积极参军报国。</w:t>
      </w:r>
    </w:p>
    <w:p w14:paraId="5ABBCDB2">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C6556A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服务对象满意度</w:t>
      </w:r>
    </w:p>
    <w:p w14:paraId="14B661A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退役士兵满意度，满分8分，得分8分，得分率100%。具体发放问卷数量是16份，</w:t>
      </w:r>
      <w:bookmarkStart w:id="0" w:name="_GoBack"/>
      <w:r>
        <w:rPr>
          <w:rStyle w:val="19"/>
          <w:rFonts w:hint="eastAsia" w:ascii="楷体" w:hAnsi="楷体" w:eastAsia="楷体"/>
          <w:b w:val="0"/>
          <w:bCs w:val="0"/>
          <w:spacing w:val="-4"/>
          <w:sz w:val="32"/>
          <w:szCs w:val="32"/>
        </w:rPr>
        <w:t>问卷内容</w:t>
      </w:r>
      <w:bookmarkEnd w:id="0"/>
      <w:r>
        <w:rPr>
          <w:rStyle w:val="19"/>
          <w:rFonts w:hint="eastAsia" w:ascii="楷体" w:hAnsi="楷体" w:eastAsia="楷体"/>
          <w:b w:val="0"/>
          <w:bCs w:val="0"/>
          <w:spacing w:val="-4"/>
          <w:sz w:val="32"/>
          <w:szCs w:val="32"/>
        </w:rPr>
        <w:t>包括是否是自主就业退役士兵、2024年是否享受过自主就业退役士兵一次性经济补助金、对自主就业退役士兵一次性经济补助金的发放标准的满意度、对自主就业退役士兵一次性经济补助金发放及时</w:t>
      </w:r>
      <w:r>
        <w:rPr>
          <w:rStyle w:val="19"/>
          <w:rFonts w:hint="eastAsia" w:ascii="楷体" w:hAnsi="楷体" w:eastAsia="楷体"/>
          <w:b w:val="0"/>
          <w:bCs w:val="0"/>
          <w:spacing w:val="-4"/>
          <w:sz w:val="32"/>
          <w:szCs w:val="32"/>
          <w:lang w:val="en-US" w:eastAsia="zh-CN"/>
        </w:rPr>
        <w:t>程度</w:t>
      </w:r>
      <w:r>
        <w:rPr>
          <w:rStyle w:val="19"/>
          <w:rFonts w:hint="eastAsia" w:ascii="楷体" w:hAnsi="楷体" w:eastAsia="楷体"/>
          <w:b w:val="0"/>
          <w:bCs w:val="0"/>
          <w:spacing w:val="-4"/>
          <w:sz w:val="32"/>
          <w:szCs w:val="32"/>
        </w:rPr>
        <w:t>的满意度、对自主就业退役士兵一次性经济补助金的申请流程的满意度,满意份数有15份，满意度95%。</w:t>
      </w:r>
    </w:p>
    <w:p w14:paraId="04864D41">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7629DEC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1E77FF8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进一步推进深化退役士兵安置改革，规范自主就业士兵一次性经济补助的发放管理工作，保障退役士兵合法权益，给自主就业退役士兵发放一次性经济补助金。在资金发放的过程中根据单位自身特点和决策需求建立科学的管理制度和流程，确保资金及时足额发放到位。2024年共为154名退役士兵发放一次性经济补助金，达到了预期的社会效益，退役士兵满意度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p>
    <w:p w14:paraId="4921D76D">
      <w:pPr>
        <w:numPr>
          <w:ilvl w:val="0"/>
          <w:numId w:val="2"/>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该项目管理制度健全性还需进一步完善。虽然具有相应的财务和业务管理制度且与上位法要求相符，项目财务和业务管理制度合法、合规，但还需进一步完善，不完整，扣1分。</w:t>
      </w:r>
    </w:p>
    <w:p w14:paraId="7C0017D9">
      <w:pPr>
        <w:numPr>
          <w:ilvl w:val="0"/>
          <w:numId w:val="0"/>
        </w:num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2、服务对象满意度指标虽然收回的问卷满意度完成了目标值，但是发放问卷数量未达到全覆盖或三分之二以上，相对片面，扣1分。</w:t>
      </w:r>
    </w:p>
    <w:p w14:paraId="2E46C196">
      <w:p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461EB0D3">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1、尽快完善管理制度，确保项目财务和业务管理制度合法、合规、完成，保障项目的顺利开展，做到合法、合规。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2、开展项目满意度测评工作时，要多措并举，通过线上或线下模式，提高发放问卷的数量，尽量做到全面、细致。</w:t>
      </w:r>
    </w:p>
    <w:p w14:paraId="1583D7B4">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1AE62F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4B0BE369">
      <w:pPr>
        <w:spacing w:line="540" w:lineRule="exact"/>
        <w:ind w:firstLine="567"/>
        <w:rPr>
          <w:rStyle w:val="19"/>
          <w:rFonts w:ascii="仿宋" w:hAnsi="仿宋" w:eastAsia="仿宋"/>
          <w:b w:val="0"/>
          <w:spacing w:val="-4"/>
          <w:sz w:val="32"/>
          <w:szCs w:val="32"/>
        </w:rPr>
      </w:pPr>
    </w:p>
    <w:p w14:paraId="79BD728E">
      <w:pPr>
        <w:spacing w:line="540" w:lineRule="exact"/>
        <w:ind w:firstLine="567"/>
        <w:rPr>
          <w:rStyle w:val="19"/>
          <w:rFonts w:ascii="仿宋" w:hAnsi="仿宋" w:eastAsia="仿宋"/>
          <w:b w:val="0"/>
          <w:spacing w:val="-4"/>
          <w:sz w:val="32"/>
          <w:szCs w:val="32"/>
        </w:rPr>
      </w:pPr>
    </w:p>
    <w:p w14:paraId="647F59D5">
      <w:pPr>
        <w:spacing w:line="540" w:lineRule="exact"/>
        <w:ind w:firstLine="567"/>
        <w:rPr>
          <w:rStyle w:val="19"/>
          <w:rFonts w:ascii="仿宋" w:hAnsi="仿宋" w:eastAsia="仿宋"/>
          <w:b w:val="0"/>
          <w:spacing w:val="-4"/>
          <w:sz w:val="32"/>
          <w:szCs w:val="32"/>
        </w:rPr>
      </w:pPr>
    </w:p>
    <w:p w14:paraId="5349A87D">
      <w:pPr>
        <w:spacing w:line="540" w:lineRule="exact"/>
        <w:ind w:firstLine="567"/>
        <w:rPr>
          <w:rStyle w:val="19"/>
          <w:rFonts w:ascii="仿宋" w:hAnsi="仿宋" w:eastAsia="仿宋"/>
          <w:b w:val="0"/>
          <w:spacing w:val="-4"/>
          <w:sz w:val="32"/>
          <w:szCs w:val="32"/>
        </w:rPr>
      </w:pPr>
    </w:p>
    <w:p w14:paraId="616BE5A4">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60B2950">
        <w:pPr>
          <w:pStyle w:val="12"/>
          <w:jc w:val="center"/>
        </w:pPr>
        <w:r>
          <w:fldChar w:fldCharType="begin"/>
        </w:r>
        <w:r>
          <w:instrText xml:space="preserve">PAGE   \* MERGEFORMAT</w:instrText>
        </w:r>
        <w:r>
          <w:fldChar w:fldCharType="separate"/>
        </w:r>
        <w:r>
          <w:rPr>
            <w:lang w:val="zh-CN"/>
          </w:rPr>
          <w:t>1</w:t>
        </w:r>
        <w:r>
          <w:fldChar w:fldCharType="end"/>
        </w:r>
      </w:p>
    </w:sdtContent>
  </w:sdt>
  <w:p w14:paraId="4A58E6C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E819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0B2E66"/>
    <w:rsid w:val="571E1B2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2025-11-06T04:12:19Z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5844</Words>
  <Characters>6149</Characters>
  <Lines>5</Lines>
  <Paragraphs>1</Paragraphs>
  <TotalTime>1</TotalTime>
  <ScaleCrop>false</ScaleCrop>
  <LinksUpToDate>false</LinksUpToDate>
  <CharactersWithSpaces>6353</CharactersWithSpaces>
  <Application>WPS Office_12.1.0.23542_F1E327BC-269C-435d-A152-05C5408002CA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Props1.xml><?xml version="1.0" encoding="utf-8"?>
<ds:datastoreItem xmlns:ds="http://schemas.openxmlformats.org/officeDocument/2006/customXml" ds:itemID="{6e5f6096-17f4-4270-97bc-df7397e7c351}">
  <ds:schemaRefs/>
</ds:datastoreItem>
</file>

<file path=customXml/itemProps2.xml><?xml version="1.0" encoding="utf-8"?>
<ds:datastoreItem xmlns:ds="http://schemas.openxmlformats.org/officeDocument/2006/customXml" ds:itemID="{febc4712-fdaf-4c31-87af-3f0c5fb9a735}">
  <ds:schemaRefs/>
</ds:datastoreItem>
</file>

<file path=customXml/itemProps3.xml><?xml version="1.0" encoding="utf-8"?>
<ds:datastoreItem xmlns:ds="http://schemas.openxmlformats.org/officeDocument/2006/customXml" ds:itemID="{640c0de8-e8a4-4a92-95f9-5892b95afd43}">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5101</Words>
  <Characters>5344</Characters>
  <Lines>5</Lines>
  <Paragraphs>1</Paragraphs>
  <TotalTime>7</TotalTime>
  <ScaleCrop>false</ScaleCrop>
  <LinksUpToDate>false</LinksUpToDate>
  <CharactersWithSpaces>5552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2025-11-08T08:11:44Z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