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5"/>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5"/>
          <w:rFonts w:hint="eastAsia" w:ascii="楷体" w:hAnsi="楷体" w:eastAsia="楷体"/>
          <w:spacing w:val="-4"/>
          <w:sz w:val="32"/>
          <w:szCs w:val="32"/>
        </w:rPr>
        <w:t>特定类-建辉大厦项目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5"/>
          <w:rFonts w:hint="eastAsia" w:ascii="楷体" w:hAnsi="楷体" w:eastAsia="楷体"/>
          <w:spacing w:val="-4"/>
          <w:sz w:val="28"/>
          <w:szCs w:val="28"/>
        </w:rPr>
        <w:t>哈密市伊州区财政局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5"/>
          <w:rFonts w:hint="eastAsia" w:ascii="楷体" w:hAnsi="楷体" w:eastAsia="楷体"/>
          <w:spacing w:val="-4"/>
          <w:sz w:val="28"/>
          <w:szCs w:val="28"/>
        </w:rPr>
        <w:t>哈密市伊州区财政局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5"/>
          <w:rFonts w:hint="eastAsia" w:ascii="楷体" w:hAnsi="楷体" w:eastAsia="楷体"/>
          <w:spacing w:val="-4"/>
          <w:sz w:val="32"/>
          <w:szCs w:val="32"/>
        </w:rPr>
        <w:t>路蛟</w:t>
      </w:r>
    </w:p>
    <w:p>
      <w:pPr>
        <w:spacing w:line="540" w:lineRule="exact"/>
        <w:ind w:left="273" w:firstLine="567"/>
        <w:rPr>
          <w:rStyle w:val="25"/>
          <w:rFonts w:ascii="楷体" w:hAnsi="楷体" w:eastAsia="楷体"/>
          <w:spacing w:val="-4"/>
          <w:sz w:val="32"/>
          <w:szCs w:val="32"/>
        </w:rPr>
      </w:pPr>
      <w:r>
        <w:rPr>
          <w:rFonts w:hint="eastAsia" w:hAnsi="宋体" w:eastAsia="仿宋_GB2312" w:cs="宋体"/>
          <w:kern w:val="0"/>
          <w:sz w:val="36"/>
          <w:szCs w:val="36"/>
        </w:rPr>
        <w:t>填报时间：</w:t>
      </w:r>
      <w:r>
        <w:rPr>
          <w:rStyle w:val="25"/>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25"/>
          <w:rFonts w:ascii="黑体" w:hAnsi="黑体" w:eastAsia="黑体"/>
          <w:b w:val="0"/>
          <w:spacing w:val="-4"/>
          <w:sz w:val="32"/>
          <w:szCs w:val="32"/>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一、基本情况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（一）项目概况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1.项目背景</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近年来，伊州区通过高效完成建辉大厦房地产项目收购及处置工作，实现国有资产盘活增效，显著提升区域国有资产管理水平。此次项目从收购到处置的全流程精细化运作，为国有资产优化管理提供了创新样本。在收购阶段，伊州区成立专项工作组，通过专业机构对建辉大厦开展全方位评估，精准测算资产价值与潜在风险，制定科学收购方案。同时，积极与原产权方协商谈判，确保交易合法合规、公开透明，以合理成本完成资产收购，夯实国有资产基础。收购完成后，伊州区立足区域发展规划，结合市场需求，对建辉大厦进行重新定位与升级改造。引入优质商业资源，优化空间布局，提升物业品质，使大厦资产价值大幅提升。在处置环节，通过公开招标、拍卖等市场化方式，实现资产价值最大化变现，为区域经济发展注入新活力。建辉大厦项目的成功运作，不仅实现国有资产保值增值，更推动伊州区国有资产管理向规范化、专业化、市场化迈进。通过建立全流程动态监管机制，完善资产管理制度，加强信息化建设，伊州区国有资产管理效率与透明度显著提高，为国有资产持续健康发展奠定坚实基础，也为同类项目提供了可借鉴的宝贵经验。同时，为了确保该项目的顺利实施，单位于2024年制定了《2024年度全面实施预算绩效管理工作方案的办法》和《单位资金管理办法》确保该项目的顺利实施。</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2.主要内容及实施情况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（一）项目收购阶段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 前期筹备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组建由国资、财政、法律、审计等多部门专业人员构成的专项工作小组，明确各成员职责分工。工作小组对建辉大厦进行多轮实地勘察，详细记录建筑结构、设施设备、使用现状等信息。委托专业的资产评估机构、律师事务所，对项目开展全面的资产清查、价值评估和法律尽职调查，形成详实的评估报告和法律意见书，明确项目资产规模、市场价值及潜在法律风险。</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 收购谈判与交易</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依据前期评估结果，制定合理的收购价格区间和谈判策略。工作小组与原产权方展开多轮协商谈判，就交易价格、付款方式、产权交割等关键条款进行深入沟通，最终达成一致意见。严格按照国有资产交易相关规定，通过公开、透明的交易流程完成收购工作，签订正式的收购合同，确保交易合法合规，顺利完成建辉大厦产权转移，将其纳入伊州区国有资产体系。</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（二）项目处置阶段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 处置方案制定</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组织行业专家、市场调研机构对伊州区房地产市场、商业需求等进行分析，结合建辉大厦的地理位置、建筑特点等，制定多样化的处置方案。经多方论证和评估，最终确定以重新规划商业运营为主的处置方向，计划引入品牌商业企业，打造区域商业新地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 项目改造与招商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投入资金对建辉大厦进行升级改造，包括内部空间重新规划、设施设备更新、外立面修缮等，提升项目品质和市场竞争力。通过线上线下相结合的方式，开展广泛的招商宣传活动，吸引众多商业企业关注。经过筛选和谈判，与多家优质商业企业签订合作协议，确定业态布局，涵盖购物、餐饮、娱乐等多种业态。</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3. 运营与资产增值</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项目投入运营后，建立专业的物业管理团队，对建辉大厦进行精细化管理，保障设施设备正常运行，维护良好的商业环境。随着商业氛围逐渐浓厚，建辉大厦的客流量和营业额稳步增长，资产价值得到显著提升。最终，通过资产转让或股权合作等方式，实现国有资产的有序退出和价值变现，圆满完成项目处置工作 ，有效提高了伊州区国有资产管理水平。</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3.资金投入和使用情况</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2024年投入8899.46万元，全年已完成建辉大厦房地产项目的收购和处置工作，收购建辉大厦建筑面积数19986.74平方米，收购建辉大厦防空地下室建设面积数2222.27平方米，总共支出8899.46万元。</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本项目总体目标为：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通过完成建辉大厦房地产项目收购及处置工作，有效提高伊州区国有资产管理水平。根据《自治区财政支出绩效评价管理暂行办法》（新财预〔2018〕189号）等文件精神，结合项目相关信息，将年度目标细化分解，最终确定该项目阶段性目标如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1.产出指标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数量指标：收购建辉大厦建筑面积数不低于19986.74平方米；</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数量指标：收购建辉大厦防空地下室建设面积数不低于2222.27平方米。</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质量指标：收购流程规范率不低于95%；</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时效指标：收购完成及时率不低于95%。</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2.成本指标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经济成本指标：建辉大厦当期收购费用不高于4800万元。</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3.效益指标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社会效益指标：</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建辉大厦国有资产处置完成率不低于90%。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4.满意度指标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满意度指标：国投哈密实业有限公司满意度不低于95%。</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二、绩效评价工作开展情况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（一）绩效评价目的、对象和范围</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（一）绩效评价目的、对象和范围</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我单位根据《自治区财政支出绩效评价管理暂行办法》（新财预〔2018〕189号）文件精神，对特定类-建辉大厦项目绩效目标实现情况进行自评。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（二）绩效评价原则、评价指标体系、评价方法、评价标准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1.绩效评价原则</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（1）科学公正。绩效评价应当运用科学合理的方法，按照规范的程序，对项目绩效进行客观、公正的反映。</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（3）激励约束。绩效评价结果应与预算安排、政策调整、改进管理实质性挂钩，体现奖优罚劣和激励相容导向，有效要安排、低效要压减、无效要问责。</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（4）公开透明。绩效评价结果应依法依规公开，并自觉接受社会监督。</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2.评价指标体系</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本项目评价指标体系采用项目绩效自评表与决策、过程自定指标相结合方式，其中项目决策17分，项目过程23分，项目产出22分，项目效益30分，项目满意度8分，详细情况见附件2：</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（1）项目决策</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项目立项：立项依据充分性，权重2分；立项程序规范性，权重2分。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绩效目标：绩效目标明确性，权重4分；绩效目标合理性，权重4分。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预算编制：测算标准合理性，权重3分；测算过程细化度，权重2分。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（2）项目过程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资金管理：资金到位率，权重6分；预算执行率，权重6分。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组织实施：资金使用合规性，权重4分，管理制度健全性，权重4分，制度执行有效性，权重3分。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（3）项目产出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1.产出指标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数量指标：收购建辉大厦建筑面积数不低于19986.74平方米，权重4分；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数量指标：收购建辉大厦防空地下室建设面积数不低于2222.27平方米，权重4分；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质量指标：收购流程规范率不低于95%，权重4分；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时效指标：收购完成及时率不低于95%，权重4分；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2.成本指标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经济成本指标：建辉大厦当期收购费用不高于4800万元，权重6分；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3.效益指标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社会效益指标：</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建辉大厦国有资产处置完成率不低于90%，权重30分；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4.满意度指标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满意度指标：国投哈密实业有限公司满意度不低于95%，权重8分；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3.评价方法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特定类-建辉大厦项目绩效评价主要通过项目单位自评、主管部门监督、财政部门参评的方式开展绩效评价工作。</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绩效评价的方法主要包括：成本效益分析法、比较法、因素分析法、最低成本法、公众评判法、核实法等。根据评价指标的具体情况，可采用一种或多种方法。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（1）成本效益分析法。是指将投入与产出、效益进行关联性分析的方法。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（2）比较法。是指将实施情况与绩效目标、历史情况、不同部门和地区同类支出情况进行比较的方法。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（3）因素分析法。是指综合分析影响绩效目标实现、实施效果的内外部因素的方法。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（4）最低成本法。是指在绩效目标确定的前提下，成本最小者为优的方法。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（5）公众评判法。是指通过专家评估、公众问卷及抽样调查等方式进行评判的方法。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（6）核实法。是收集包括书面资料以外的信息以证实书面资料及其所反映经济活动的真实，合法，合理，有效和正确的方法。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4.评价标准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绩效评价标准通常包括计划标准、行业标准、历史标准等，用于对绩效指标完成情况进行比较。</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单位自评采用定量与定性评价相结合的比较法，总分由各项指标得分汇总形成。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（三）绩效评价工作过程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1.前期准备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整理项目全过程资料建档：资金及项目批复文件、绩效目标申报表、可行性研究报告或实施方案、（招标文件）绩效目标过程监控表、验收报告（或决算）、资金支付或会计凭证、满意度调查问卷。作为评价基础资料。</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（2）采取“年初绩效目标预定与实施效果比较法”进行评价，评价指标体系以绩效目标申报指标为依据。</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2.组织过程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（1）项目全过程资料档案复核</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（2）检查内容和过程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发放调查问卷开展国投哈密实业有限公司满意度调查工作。</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（3）撰写报告情况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根据所搜集的印证材料，按绩效评价原理和指标体系进行分析、评价和汇总，撰写绩效自评报告，并在规定时间上报。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三、综合评价情况及评价结论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本次项目自评满分100分，自评得分100分，自评结果为“优”，其中项目决策得分17分，项目过程得分23分，项目产出得分22分，项目效益得分30分，项目满意度得分8分。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综合评价结论：项目决策方面，立项依据充分、绩效目标明确合理，预算编制测算标准合理；项目过程方面，资金管理规范，组织实施程序严谨；项目产出方面，完成各项指标没有偏差；项目效益方面，促进了经济的结构调整和企业的转型升级；项目满意度方面，国投哈密实业有限公司满意度达到设定标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四、绩效评价指标分析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（一）项目决策情况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1.项目立项</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立项依据充分性，满分2分，得分2分，得分率100%。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此次项目从收购到处置的全流程精细化运作，为国有资产优化管理提供了创新样本。在收购阶段，伊州区成立专项工作组，通过专业机构对建辉大厦开展全方位评估，精准测算资产价值与潜在风险，制定科学收购方案。同时，积极与原产权方协商谈判，确保交易合法合规、公开透明，以合理成本完成资产收购，夯实国有资产基础。收购完成后，伊州区立足区域发展规划，结合市场需求，对建辉大厦进行重新定位与升级改造，伊州区财政局2024年“特定类-建辉大厦项目”资金的使用计划、进行项目设立，项目立项是符合国家法律法规、</w:t>
      </w:r>
      <w:bookmarkStart w:id="0" w:name="_GoBack"/>
      <w:r>
        <w:rPr>
          <w:rFonts w:hint="eastAsia" w:ascii="仿宋_GB2312" w:hAnsi="仿宋_GB2312" w:eastAsia="仿宋_GB2312" w:cs="仿宋_GB2312"/>
          <w:sz w:val="32"/>
          <w:szCs w:val="32"/>
          <w:lang w:val="en-US" w:eastAsia="zh-CN"/>
        </w:rPr>
        <w:t>国民经济发展规划</w:t>
      </w:r>
      <w:bookmarkEnd w:id="0"/>
      <w:r>
        <w:rPr>
          <w:rFonts w:hint="eastAsia" w:ascii="仿宋_GB2312" w:hAnsi="仿宋_GB2312" w:eastAsia="仿宋_GB2312" w:cs="仿宋_GB2312"/>
          <w:sz w:val="32"/>
          <w:szCs w:val="32"/>
          <w:lang w:val="en-US" w:eastAsia="zh-CN"/>
        </w:rPr>
        <w:t>和相关政策，符合行业发展规划和政策要求，符合我单位弘扬科学精神，项目不存在与相关部门同类项目或部门内部相关项目存在政策交叉重复。</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（2）立项程序规范性，满分2分，得分2分，得分率100%。项目立项符合规定程序，审批文件等材料合规、完整，有完整的评估程序和集体决策。</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2.绩效目标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（1）绩效目标明确性，满分4分，得分4分，得分率100%。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根据本单位年初计划，完成建辉大厦房地产项目收购及处置工作，有效提高伊州区国有资产管理水平。通过清晰、可衡量的指标值予以体现；与项目目标任务数或计划数相对应。</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（2）绩效目标合理性，满分4分，得分4分，得分率100%。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伊州区财政局2024年“特定类-建辉大厦项目”资金的使用计划、进行项目绩效目标与实际工作内容具有相关性；项目预期产出效益和效果符合正常的业绩水平；与预算确定的项目投资额和资金量相匹配。</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3.预算编制</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（1）测算标准合理性，满分3分，得分3分，得分率100%。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伊州区财政局2024年“特定类-建辉大厦项目”资金的使用计划下达建辉大厦项目资金8899.46万元。</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（2）测算过程细化度，满分2分，得分2分，得分率100%。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按照上级分配表格测算，预算过程使用部门自行制定的支出标准，符合上级管理部门的标准。</w:t>
      </w:r>
      <w:r>
        <w:rPr>
          <w:rFonts w:hint="eastAsia" w:ascii="仿宋_GB2312" w:hAnsi="仿宋_GB2312" w:eastAsia="仿宋_GB2312" w:cs="仿宋_GB2312"/>
          <w:sz w:val="32"/>
          <w:szCs w:val="32"/>
          <w:lang w:val="en-US" w:eastAsia="zh-CN"/>
        </w:rPr>
        <w:tab/>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（二）项目过程情况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1.资金管理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（1）资金到位率，满分6分，得分6分，得分率100%。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该项目2024年预算资金4800万元，下达资金8899.46万元，计划资金到位率100%。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（2）预算执行率，满分6分，得分6分，得分率100%。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 xml:space="preserve">伊州区财政下达“特定类-建辉大厦项目”2024年8899.46万元，2024年实际支付8899.46万元，项目预算资金能按照计划执行，实际到位资金与预算资金的比率100%，预算资金项目已开展完成。 </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 xml:space="preserve"> 2.组织实施</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资金使用合规性，满分4分，得分4分，得分率100%。项目资金使用符合政府会计制度的相关规定，各项拨付经领导审批，有完整的审批手续，项目支出不存在截留、挤占、挪用、虚列支出等情况，本年度审计、巡视、财政巡察未发现违规问题。</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（2）管理制度健全性，满分4分，得分4分，得分率100%。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我单位制定《财政支出管理制度》、《内部控制制度》与《整体支出预算绩效管理制度》，对全口径资金的预算、支出、监控做出详细且合理的规定，与上位法要求相符，侧重点明晰；财务和业务管理制度合法、合规、完整。</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（3）制度执行有效性，满分3分，得分3分，得分率100%。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本单位聘请了专业的法律顾问，在合同签订、项目验收等方面能进行专业指导。</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（三）项目产出情况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1.产出数量</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（1）收购建辉大厦建筑面积数，满分4分，得分4分，得分率100%，根据项目工作计划要求，全年已完成建辉大厦房地产项目的收购和处置工作，收购建辉大厦建筑面积数19986.74平方米。</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（2）收购建辉大厦防空地下室建设面积数，满分4分，得分4分，得分率100%，根据项目工作计划要求，全年已完成建辉大厦房地产项目的收购和处置工作，收购建辉大厦防空地下室建设面积数2222.27平方米。</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2.产出质量</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收购流程规范率，满分4分，得分4分，得分率100%，根据项目工作计划，收购流程规范率不低于95%，本年度伊州区财政局按照单位资金管理制度，按照单位职责分工、收支分开内部稽核等流程进行资金支付，收购流程规范率达到了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3.产出时效</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收购完成及时率，满分4分，得分4分，得分率100%，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根据项目工作计划，要求收购完成及时率不低于95%，通过项目工作总结显示，本年度伊州区财政局根据区政府的统一安排进行，收购完成及时率达到100%；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4.产出成本</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建辉大厦当期收购费用，满分6分，得分6分，得分率100%。伊州区财政下达“特定类-建辉大厦项目”2024年8899.46万元，2024年实际支付8899.46万元，项目预算资金能按照计划执行，实际到位资金与预算资金的比率100%，预算资金项目已开展完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（四）项目成本情况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 建辉大厦国有资产处置完成率，满分30分，得分30分，得分率100%。</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通过建立全流程动态监管机制，完善资产管理制度，加强信息化建设，伊州区国有资产管理效率与透明度显著提高，为国有资产持续健康发展奠定坚实基础，也为同类项目提供了可借鉴的宝贵经验。 建辉大厦国有资产处置完成率达到了100%。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（五）项目效益情况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（六）满意度情况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国投哈密实业有限公司满意度，满分8分，得分8分，得分率100%。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本年度伊州区财政局采用随机抽查的方式使用现场对社会公众或服务对象对项目实施效果的满意进行抽查，共发出10份调查表，结果都获得了一致的好评。</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五、主要经验及做法、存在的问题及原因分析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（一）主要经验及做法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年初加强绩效执行管理，做好事前审批、事中管理和事后监督工作，不断加快绩效执行进度，推动绩效执行按照资金计划有序进行。强化支出绩效约束，进一步提高年初绩效编制的科学性和准确性，完善绩效执行动态约束机制。</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2、加强财政绩效资金管理，统筹协调推进项目执行，提高财政资金效益和效果进一步细化收支项目，按项目、按时间、按进度支出，提高资金的使用，尽量避免跨年下拨。</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（二）存在问题及原因分析</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工作主动性、前瞻性不足。</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在项目实施的工程中，在项目立项的过程中绩效指标设置不够严谨，没有把握好项目所设立的绩效目标，没有具体细化分解产出指标、效益指标及满意度指标，项目产出指标中的数量指标没有具体量化，预算资金到位存在个别指标未完全达到预期。</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六、有关建议</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建立完善的项目立项管理制度和流程，规范项目立项的各个阶段和环节，提高项目立项的效率和质量。加强项目管理，保障项目及时完成高度重视，精心组织。项目负责人及时调整项目内容，提高项目管理精确度，加强业务人员沟通交流，保障项目及时运转。进一步健全绩效目标设置和绩效评价体系，优化完善分行业、分类别绩效评价标准，促进绩效评价管理水平的不断提升。</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加强预算执行培训，提高财务人员工作水平，采取多种培训形式对单位财务人员、业务科室人员进行集中培训，进一步树牢预算执行观念，多与财政沟通，提高本单位工作人员的预算执行能力和工作水平，为预算执行管理相关工作的顺利开展提供保障。</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七、其他需要说明的问题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Style w:val="25"/>
          <w:rFonts w:ascii="仿宋" w:hAnsi="仿宋" w:eastAsia="仿宋"/>
          <w:b w:val="0"/>
          <w:spacing w:val="-4"/>
          <w:sz w:val="32"/>
          <w:szCs w:val="32"/>
        </w:rPr>
      </w:pPr>
      <w:r>
        <w:rPr>
          <w:rFonts w:hint="eastAsia" w:ascii="仿宋_GB2312" w:hAnsi="仿宋_GB2312" w:eastAsia="仿宋_GB2312" w:cs="仿宋_GB2312"/>
          <w:sz w:val="32"/>
          <w:szCs w:val="32"/>
          <w:lang w:val="en-US" w:eastAsia="zh-CN"/>
        </w:rPr>
        <w:t>无</w:t>
      </w:r>
    </w:p>
    <w:p>
      <w:pPr>
        <w:spacing w:line="540" w:lineRule="exact"/>
        <w:ind w:firstLine="567"/>
        <w:rPr>
          <w:rStyle w:val="25"/>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9"/>
          <w:jc w:val="center"/>
        </w:pPr>
        <w:r>
          <w:fldChar w:fldCharType="begin"/>
        </w:r>
        <w:r>
          <w:instrText xml:space="preserve">PAGE   \* MERGEFORMAT</w:instrText>
        </w:r>
        <w:r>
          <w:fldChar w:fldCharType="separate"/>
        </w:r>
        <w:r>
          <w:rPr>
            <w:lang w:val="zh-CN"/>
          </w:rPr>
          <w:t>1</w:t>
        </w:r>
        <w:r>
          <w:fldChar w:fldCharType="end"/>
        </w:r>
      </w:p>
    </w:sdtContent>
  </w:sdt>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1FAC5F18"/>
    <w:rsid w:val="27824870"/>
    <w:rsid w:val="3029612C"/>
    <w:rsid w:val="32A221C5"/>
    <w:rsid w:val="33F20F2A"/>
    <w:rsid w:val="34C44675"/>
    <w:rsid w:val="36B82B23"/>
    <w:rsid w:val="3B5B5607"/>
    <w:rsid w:val="3CE21B3C"/>
    <w:rsid w:val="4D2606A1"/>
    <w:rsid w:val="4F8A611E"/>
    <w:rsid w:val="51830480"/>
    <w:rsid w:val="51EB6428"/>
    <w:rsid w:val="53A616BE"/>
    <w:rsid w:val="54662BFB"/>
    <w:rsid w:val="563D393A"/>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9">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10">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11">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2">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3">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4">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5">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6">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7">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customStyle="1" w:styleId="5">
    <w:name w:val="0"/>
    <w:basedOn w:val="1"/>
    <w:next w:val="6"/>
    <w:qFormat/>
    <w:uiPriority w:val="0"/>
    <w:pPr>
      <w:widowControl/>
      <w:spacing w:line="365" w:lineRule="atLeast"/>
      <w:ind w:left="1"/>
    </w:pPr>
    <w:rPr>
      <w:sz w:val="20"/>
      <w:szCs w:val="20"/>
    </w:rPr>
  </w:style>
  <w:style w:type="paragraph" w:styleId="6">
    <w:name w:val="Document Map"/>
    <w:basedOn w:val="1"/>
    <w:next w:val="7"/>
    <w:semiHidden/>
    <w:qFormat/>
    <w:uiPriority w:val="0"/>
    <w:pPr>
      <w:shd w:val="clear" w:color="auto" w:fill="000080"/>
    </w:pPr>
  </w:style>
  <w:style w:type="paragraph" w:styleId="7">
    <w:name w:val="Body Text"/>
    <w:basedOn w:val="1"/>
    <w:next w:val="8"/>
    <w:qFormat/>
    <w:uiPriority w:val="0"/>
    <w:pPr>
      <w:spacing w:after="120" w:afterLines="0" w:afterAutospacing="0"/>
    </w:pPr>
    <w:rPr>
      <w:rFonts w:ascii="Times New Roman" w:hAnsi="Times New Roman" w:cs="仿宋_GB2312"/>
    </w:rPr>
  </w:style>
  <w:style w:type="paragraph" w:styleId="8">
    <w:name w:val="Body Text First Indent"/>
    <w:basedOn w:val="7"/>
    <w:qFormat/>
    <w:uiPriority w:val="0"/>
    <w:pPr>
      <w:ind w:firstLine="420" w:firstLineChars="100"/>
    </w:pPr>
  </w:style>
  <w:style w:type="paragraph" w:styleId="18">
    <w:name w:val="Balloon Text"/>
    <w:basedOn w:val="1"/>
    <w:link w:val="52"/>
    <w:semiHidden/>
    <w:unhideWhenUsed/>
    <w:qFormat/>
    <w:uiPriority w:val="99"/>
    <w:rPr>
      <w:sz w:val="18"/>
      <w:szCs w:val="18"/>
    </w:rPr>
  </w:style>
  <w:style w:type="paragraph" w:styleId="19">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20">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1">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9"/>
    <w:qFormat/>
    <w:uiPriority w:val="9"/>
    <w:rPr>
      <w:rFonts w:asciiTheme="majorHAnsi" w:hAnsiTheme="majorHAnsi" w:eastAsiaTheme="majorEastAsia"/>
      <w:b/>
      <w:bCs/>
      <w:kern w:val="32"/>
      <w:sz w:val="32"/>
      <w:szCs w:val="32"/>
    </w:rPr>
  </w:style>
  <w:style w:type="character" w:customStyle="1" w:styleId="28">
    <w:name w:val="标题 2 字符"/>
    <w:basedOn w:val="24"/>
    <w:link w:val="10"/>
    <w:semiHidden/>
    <w:qFormat/>
    <w:uiPriority w:val="9"/>
    <w:rPr>
      <w:rFonts w:asciiTheme="majorHAnsi" w:hAnsiTheme="majorHAnsi" w:eastAsiaTheme="majorEastAsia"/>
      <w:b/>
      <w:bCs/>
      <w:i/>
      <w:iCs/>
      <w:sz w:val="28"/>
      <w:szCs w:val="28"/>
    </w:rPr>
  </w:style>
  <w:style w:type="character" w:customStyle="1" w:styleId="29">
    <w:name w:val="标题 3 字符"/>
    <w:basedOn w:val="24"/>
    <w:link w:val="11"/>
    <w:semiHidden/>
    <w:qFormat/>
    <w:uiPriority w:val="9"/>
    <w:rPr>
      <w:rFonts w:asciiTheme="majorHAnsi" w:hAnsiTheme="majorHAnsi" w:eastAsiaTheme="majorEastAsia"/>
      <w:b/>
      <w:bCs/>
      <w:sz w:val="26"/>
      <w:szCs w:val="26"/>
    </w:rPr>
  </w:style>
  <w:style w:type="character" w:customStyle="1" w:styleId="30">
    <w:name w:val="标题 4 字符"/>
    <w:basedOn w:val="24"/>
    <w:link w:val="12"/>
    <w:semiHidden/>
    <w:qFormat/>
    <w:uiPriority w:val="9"/>
    <w:rPr>
      <w:b/>
      <w:bCs/>
      <w:sz w:val="28"/>
      <w:szCs w:val="28"/>
    </w:rPr>
  </w:style>
  <w:style w:type="character" w:customStyle="1" w:styleId="31">
    <w:name w:val="标题 5 字符"/>
    <w:basedOn w:val="24"/>
    <w:link w:val="13"/>
    <w:semiHidden/>
    <w:qFormat/>
    <w:uiPriority w:val="9"/>
    <w:rPr>
      <w:b/>
      <w:bCs/>
      <w:i/>
      <w:iCs/>
      <w:sz w:val="26"/>
      <w:szCs w:val="26"/>
    </w:rPr>
  </w:style>
  <w:style w:type="character" w:customStyle="1" w:styleId="32">
    <w:name w:val="标题 6 字符"/>
    <w:basedOn w:val="24"/>
    <w:link w:val="14"/>
    <w:semiHidden/>
    <w:qFormat/>
    <w:uiPriority w:val="9"/>
    <w:rPr>
      <w:b/>
      <w:bCs/>
    </w:rPr>
  </w:style>
  <w:style w:type="character" w:customStyle="1" w:styleId="33">
    <w:name w:val="标题 7 字符"/>
    <w:basedOn w:val="24"/>
    <w:link w:val="15"/>
    <w:semiHidden/>
    <w:qFormat/>
    <w:uiPriority w:val="9"/>
    <w:rPr>
      <w:sz w:val="24"/>
      <w:szCs w:val="24"/>
    </w:rPr>
  </w:style>
  <w:style w:type="character" w:customStyle="1" w:styleId="34">
    <w:name w:val="标题 8 字符"/>
    <w:basedOn w:val="24"/>
    <w:link w:val="16"/>
    <w:semiHidden/>
    <w:qFormat/>
    <w:uiPriority w:val="9"/>
    <w:rPr>
      <w:i/>
      <w:iCs/>
      <w:sz w:val="24"/>
      <w:szCs w:val="24"/>
    </w:rPr>
  </w:style>
  <w:style w:type="character" w:customStyle="1" w:styleId="35">
    <w:name w:val="标题 9 字符"/>
    <w:basedOn w:val="24"/>
    <w:link w:val="17"/>
    <w:semiHidden/>
    <w:qFormat/>
    <w:uiPriority w:val="9"/>
    <w:rPr>
      <w:rFonts w:asciiTheme="majorHAnsi" w:hAnsiTheme="majorHAnsi" w:eastAsiaTheme="majorEastAsia"/>
    </w:rPr>
  </w:style>
  <w:style w:type="character" w:customStyle="1" w:styleId="36">
    <w:name w:val="标题 字符"/>
    <w:basedOn w:val="24"/>
    <w:link w:val="22"/>
    <w:qFormat/>
    <w:uiPriority w:val="10"/>
    <w:rPr>
      <w:rFonts w:asciiTheme="majorHAnsi" w:hAnsiTheme="majorHAnsi" w:eastAsiaTheme="majorEastAsia"/>
      <w:b/>
      <w:bCs/>
      <w:kern w:val="28"/>
      <w:sz w:val="32"/>
      <w:szCs w:val="32"/>
    </w:rPr>
  </w:style>
  <w:style w:type="character" w:customStyle="1" w:styleId="37">
    <w:name w:val="副标题 字符"/>
    <w:basedOn w:val="24"/>
    <w:link w:val="21"/>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9"/>
    <w:next w:val="1"/>
    <w:semiHidden/>
    <w:unhideWhenUsed/>
    <w:qFormat/>
    <w:uiPriority w:val="39"/>
    <w:pPr>
      <w:outlineLvl w:val="9"/>
    </w:pPr>
    <w:rPr>
      <w:lang w:eastAsia="en-US" w:bidi="en-US"/>
    </w:rPr>
  </w:style>
  <w:style w:type="character" w:customStyle="1" w:styleId="50">
    <w:name w:val="页眉 字符"/>
    <w:basedOn w:val="24"/>
    <w:link w:val="20"/>
    <w:qFormat/>
    <w:uiPriority w:val="99"/>
    <w:rPr>
      <w:rFonts w:ascii="Calibri" w:hAnsi="Calibri" w:eastAsia="宋体"/>
      <w:kern w:val="2"/>
      <w:sz w:val="18"/>
      <w:szCs w:val="18"/>
    </w:rPr>
  </w:style>
  <w:style w:type="character" w:customStyle="1" w:styleId="51">
    <w:name w:val="页脚 字符"/>
    <w:basedOn w:val="24"/>
    <w:link w:val="19"/>
    <w:qFormat/>
    <w:uiPriority w:val="99"/>
    <w:rPr>
      <w:rFonts w:ascii="Calibri" w:hAnsi="Calibri" w:eastAsia="宋体"/>
      <w:kern w:val="2"/>
      <w:sz w:val="18"/>
      <w:szCs w:val="18"/>
    </w:rPr>
  </w:style>
  <w:style w:type="character" w:customStyle="1" w:styleId="52">
    <w:name w:val="批注框文本 字符"/>
    <w:basedOn w:val="24"/>
    <w:link w:val="18"/>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6655</Words>
  <Characters>6954</Characters>
  <Lines>5</Lines>
  <Paragraphs>1</Paragraphs>
  <TotalTime>17</TotalTime>
  <ScaleCrop>false</ScaleCrop>
  <LinksUpToDate>false</LinksUpToDate>
  <CharactersWithSpaces>6982</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2025-11-06T11:47:17Z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