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0AED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CFE2874">
      <w:pPr>
        <w:spacing w:line="540" w:lineRule="exact"/>
        <w:jc w:val="center"/>
        <w:rPr>
          <w:rFonts w:ascii="华文中宋" w:hAnsi="华文中宋" w:eastAsia="华文中宋" w:cs="宋体"/>
          <w:b/>
          <w:kern w:val="0"/>
          <w:sz w:val="52"/>
          <w:szCs w:val="52"/>
        </w:rPr>
      </w:pPr>
    </w:p>
    <w:p w14:paraId="5CD170D8">
      <w:pPr>
        <w:spacing w:line="540" w:lineRule="exact"/>
        <w:jc w:val="center"/>
        <w:rPr>
          <w:rFonts w:ascii="华文中宋" w:hAnsi="华文中宋" w:eastAsia="华文中宋" w:cs="宋体"/>
          <w:b/>
          <w:kern w:val="0"/>
          <w:sz w:val="52"/>
          <w:szCs w:val="52"/>
        </w:rPr>
      </w:pPr>
    </w:p>
    <w:p w14:paraId="6BC95EE2">
      <w:pPr>
        <w:spacing w:line="540" w:lineRule="exact"/>
        <w:jc w:val="center"/>
        <w:rPr>
          <w:rFonts w:ascii="华文中宋" w:hAnsi="华文中宋" w:eastAsia="华文中宋" w:cs="宋体"/>
          <w:b/>
          <w:kern w:val="0"/>
          <w:sz w:val="52"/>
          <w:szCs w:val="52"/>
        </w:rPr>
      </w:pPr>
    </w:p>
    <w:p w14:paraId="0C6F1964">
      <w:pPr>
        <w:spacing w:line="540" w:lineRule="exact"/>
        <w:jc w:val="center"/>
        <w:rPr>
          <w:rFonts w:hint="eastAsia" w:ascii="华文中宋" w:hAnsi="华文中宋" w:eastAsia="华文中宋" w:cs="宋体"/>
          <w:b/>
          <w:kern w:val="0"/>
          <w:sz w:val="52"/>
          <w:szCs w:val="52"/>
          <w:lang w:eastAsia="zh-CN"/>
        </w:rPr>
      </w:pPr>
    </w:p>
    <w:p w14:paraId="67C6E78B">
      <w:pPr>
        <w:spacing w:line="540" w:lineRule="exact"/>
        <w:jc w:val="center"/>
        <w:rPr>
          <w:rFonts w:ascii="华文中宋" w:hAnsi="华文中宋" w:eastAsia="华文中宋" w:cs="宋体"/>
          <w:b/>
          <w:kern w:val="0"/>
          <w:sz w:val="52"/>
          <w:szCs w:val="52"/>
        </w:rPr>
      </w:pPr>
    </w:p>
    <w:p w14:paraId="139249A2">
      <w:pPr>
        <w:spacing w:line="540" w:lineRule="exact"/>
        <w:jc w:val="center"/>
        <w:rPr>
          <w:rFonts w:ascii="华文中宋" w:hAnsi="华文中宋" w:eastAsia="华文中宋" w:cs="宋体"/>
          <w:b/>
          <w:kern w:val="0"/>
          <w:sz w:val="52"/>
          <w:szCs w:val="52"/>
        </w:rPr>
      </w:pPr>
    </w:p>
    <w:p w14:paraId="4A1C26F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w:t>
      </w:r>
      <w:r>
        <w:rPr>
          <w:rFonts w:hint="eastAsia" w:ascii="方正小标宋_GBK" w:hAnsi="华文中宋" w:eastAsia="方正小标宋_GBK" w:cs="宋体"/>
          <w:b/>
          <w:kern w:val="0"/>
          <w:sz w:val="60"/>
          <w:szCs w:val="60"/>
        </w:rPr>
        <w:t>目</w:t>
      </w:r>
      <w:r>
        <w:rPr>
          <w:rFonts w:hint="eastAsia" w:ascii="方正小标宋_GBK" w:hAnsi="华文中宋" w:eastAsia="方正小标宋_GBK" w:cs="宋体"/>
          <w:b/>
          <w:kern w:val="0"/>
          <w:sz w:val="48"/>
          <w:szCs w:val="48"/>
        </w:rPr>
        <w:t>支出绩效自评报告</w:t>
      </w:r>
    </w:p>
    <w:p w14:paraId="7D7BC987">
      <w:pPr>
        <w:spacing w:line="540" w:lineRule="exact"/>
        <w:jc w:val="center"/>
        <w:rPr>
          <w:rFonts w:ascii="华文中宋" w:hAnsi="华文中宋" w:eastAsia="华文中宋" w:cs="宋体"/>
          <w:b/>
          <w:kern w:val="0"/>
          <w:sz w:val="52"/>
          <w:szCs w:val="52"/>
        </w:rPr>
      </w:pPr>
    </w:p>
    <w:p w14:paraId="3AAE408B">
      <w:pPr>
        <w:spacing w:line="540" w:lineRule="exact"/>
        <w:jc w:val="center"/>
        <w:rPr>
          <w:rFonts w:hAnsi="宋体" w:eastAsia="仿宋_GB2312" w:cs="宋体"/>
          <w:kern w:val="0"/>
          <w:sz w:val="36"/>
          <w:szCs w:val="36"/>
        </w:rPr>
      </w:pPr>
      <w:r>
        <w:rPr>
          <w:rFonts w:hint="eastAsia" w:ascii="楷体" w:hAnsi="楷体" w:eastAsia="楷体" w:cs="楷体"/>
          <w:kern w:val="0"/>
          <w:sz w:val="32"/>
          <w:szCs w:val="32"/>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05ACB75">
      <w:pPr>
        <w:spacing w:line="540" w:lineRule="exact"/>
        <w:jc w:val="center"/>
        <w:rPr>
          <w:rFonts w:hAnsi="宋体" w:eastAsia="仿宋_GB2312" w:cs="宋体"/>
          <w:kern w:val="0"/>
          <w:sz w:val="30"/>
          <w:szCs w:val="30"/>
        </w:rPr>
      </w:pPr>
    </w:p>
    <w:p w14:paraId="37F5CCD0">
      <w:pPr>
        <w:spacing w:line="540" w:lineRule="exact"/>
        <w:jc w:val="center"/>
        <w:rPr>
          <w:rFonts w:hAnsi="宋体" w:eastAsia="仿宋_GB2312" w:cs="宋体"/>
          <w:kern w:val="0"/>
          <w:sz w:val="30"/>
          <w:szCs w:val="30"/>
        </w:rPr>
      </w:pPr>
    </w:p>
    <w:p w14:paraId="2C9BA450">
      <w:pPr>
        <w:spacing w:line="540" w:lineRule="exact"/>
        <w:jc w:val="center"/>
        <w:rPr>
          <w:rFonts w:hAnsi="宋体" w:eastAsia="仿宋_GB2312" w:cs="宋体"/>
          <w:kern w:val="0"/>
          <w:sz w:val="30"/>
          <w:szCs w:val="30"/>
        </w:rPr>
      </w:pPr>
    </w:p>
    <w:p w14:paraId="5EAEDE8B">
      <w:pPr>
        <w:spacing w:line="540" w:lineRule="exact"/>
        <w:jc w:val="center"/>
        <w:rPr>
          <w:rFonts w:hAnsi="宋体" w:eastAsia="仿宋_GB2312" w:cs="宋体"/>
          <w:kern w:val="0"/>
          <w:sz w:val="30"/>
          <w:szCs w:val="30"/>
        </w:rPr>
      </w:pPr>
    </w:p>
    <w:p w14:paraId="35C673E3">
      <w:pPr>
        <w:spacing w:line="540" w:lineRule="exact"/>
        <w:jc w:val="center"/>
        <w:rPr>
          <w:rFonts w:hAnsi="宋体" w:eastAsia="仿宋_GB2312" w:cs="宋体"/>
          <w:kern w:val="0"/>
          <w:sz w:val="30"/>
          <w:szCs w:val="30"/>
        </w:rPr>
      </w:pPr>
    </w:p>
    <w:p w14:paraId="0BA22570">
      <w:pPr>
        <w:spacing w:line="540" w:lineRule="exact"/>
        <w:jc w:val="center"/>
        <w:rPr>
          <w:rFonts w:hAnsi="宋体" w:eastAsia="仿宋_GB2312" w:cs="宋体"/>
          <w:kern w:val="0"/>
          <w:sz w:val="30"/>
          <w:szCs w:val="30"/>
        </w:rPr>
      </w:pPr>
    </w:p>
    <w:p w14:paraId="39A97AD3">
      <w:pPr>
        <w:spacing w:line="540" w:lineRule="exact"/>
        <w:rPr>
          <w:rFonts w:hAnsi="宋体" w:eastAsia="仿宋_GB2312" w:cs="宋体"/>
          <w:kern w:val="0"/>
          <w:sz w:val="30"/>
          <w:szCs w:val="30"/>
        </w:rPr>
      </w:pPr>
    </w:p>
    <w:p w14:paraId="0B39F7E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A9A082C">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6"/>
          <w:szCs w:val="36"/>
        </w:rPr>
        <w:t>村级支出</w:t>
      </w:r>
    </w:p>
    <w:p w14:paraId="528A0569">
      <w:pPr>
        <w:spacing w:line="540" w:lineRule="exact"/>
        <w:ind w:firstLine="567"/>
        <w:rPr>
          <w:rStyle w:val="19"/>
          <w:rFonts w:hint="eastAsia" w:ascii="楷体" w:hAnsi="楷体" w:eastAsia="楷体"/>
          <w:b w:val="0"/>
          <w:bCs w:val="0"/>
          <w:spacing w:val="-4"/>
          <w:sz w:val="36"/>
          <w:szCs w:val="36"/>
        </w:rPr>
      </w:pPr>
      <w:r>
        <w:rPr>
          <w:rFonts w:hint="eastAsia" w:hAnsi="宋体" w:eastAsia="仿宋_GB2312" w:cs="宋体"/>
          <w:kern w:val="0"/>
          <w:sz w:val="36"/>
          <w:szCs w:val="36"/>
        </w:rPr>
        <w:t xml:space="preserve">  实施</w:t>
      </w:r>
      <w:bookmarkStart w:id="0" w:name="_GoBack"/>
      <w:r>
        <w:rPr>
          <w:rFonts w:hint="eastAsia" w:hAnsi="宋体" w:eastAsia="仿宋_GB2312" w:cs="宋体"/>
          <w:kern w:val="0"/>
          <w:sz w:val="36"/>
          <w:szCs w:val="36"/>
        </w:rPr>
        <w:t>单位</w:t>
      </w:r>
      <w:bookmarkEnd w:id="0"/>
      <w:r>
        <w:rPr>
          <w:rFonts w:hint="eastAsia" w:hAnsi="宋体" w:eastAsia="仿宋_GB2312" w:cs="宋体"/>
          <w:kern w:val="0"/>
          <w:sz w:val="36"/>
          <w:szCs w:val="36"/>
        </w:rPr>
        <w:t>（公章）：</w:t>
      </w:r>
      <w:r>
        <w:rPr>
          <w:rStyle w:val="19"/>
          <w:rFonts w:hint="eastAsia" w:ascii="楷体" w:hAnsi="楷体" w:eastAsia="楷体"/>
          <w:b w:val="0"/>
          <w:bCs w:val="0"/>
          <w:spacing w:val="-4"/>
          <w:sz w:val="36"/>
          <w:szCs w:val="36"/>
        </w:rPr>
        <w:t>哈密市伊州区西河街道办事处</w:t>
      </w:r>
    </w:p>
    <w:p w14:paraId="050BC008">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主管部门（公章）：</w:t>
      </w:r>
      <w:r>
        <w:rPr>
          <w:rStyle w:val="19"/>
          <w:rFonts w:hint="eastAsia" w:ascii="楷体" w:hAnsi="楷体" w:eastAsia="楷体"/>
          <w:b w:val="0"/>
          <w:bCs w:val="0"/>
          <w:spacing w:val="-4"/>
          <w:sz w:val="36"/>
          <w:szCs w:val="36"/>
        </w:rPr>
        <w:t>哈密市伊州区西河街道办事处</w:t>
      </w:r>
    </w:p>
    <w:p w14:paraId="4C7E2205">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项目负责人（签章）：</w:t>
      </w:r>
      <w:r>
        <w:rPr>
          <w:rStyle w:val="19"/>
          <w:rFonts w:hint="eastAsia" w:ascii="楷体" w:hAnsi="楷体" w:eastAsia="楷体"/>
          <w:b w:val="0"/>
          <w:bCs w:val="0"/>
          <w:spacing w:val="-4"/>
          <w:sz w:val="36"/>
          <w:szCs w:val="36"/>
        </w:rPr>
        <w:t>张新华</w:t>
      </w:r>
    </w:p>
    <w:p w14:paraId="5E5E51BE">
      <w:pPr>
        <w:spacing w:line="540" w:lineRule="exact"/>
        <w:ind w:left="273" w:firstLine="567"/>
        <w:rPr>
          <w:rStyle w:val="19"/>
          <w:rFonts w:hint="eastAsia" w:ascii="楷体" w:hAnsi="楷体" w:eastAsia="楷体"/>
          <w:b w:val="0"/>
          <w:bCs w:val="0"/>
          <w:spacing w:val="-4"/>
          <w:sz w:val="36"/>
          <w:szCs w:val="36"/>
        </w:rPr>
      </w:pPr>
      <w:r>
        <w:rPr>
          <w:rFonts w:hint="eastAsia" w:hAnsi="宋体" w:eastAsia="仿宋_GB2312" w:cs="宋体"/>
          <w:kern w:val="0"/>
          <w:sz w:val="36"/>
          <w:szCs w:val="36"/>
        </w:rPr>
        <w:t>填报时间：</w:t>
      </w:r>
      <w:r>
        <w:rPr>
          <w:rStyle w:val="19"/>
          <w:rFonts w:hint="eastAsia" w:ascii="楷体" w:hAnsi="楷体" w:eastAsia="楷体"/>
          <w:b w:val="0"/>
          <w:bCs w:val="0"/>
          <w:spacing w:val="-4"/>
          <w:sz w:val="36"/>
          <w:szCs w:val="36"/>
        </w:rPr>
        <w:t>2025年05月17日</w:t>
      </w:r>
    </w:p>
    <w:p w14:paraId="2BB25F4F">
      <w:pPr>
        <w:spacing w:line="700" w:lineRule="exact"/>
        <w:ind w:firstLine="708" w:firstLineChars="236"/>
        <w:jc w:val="left"/>
        <w:rPr>
          <w:rFonts w:hAnsi="宋体" w:eastAsia="仿宋_GB2312" w:cs="宋体"/>
          <w:kern w:val="0"/>
          <w:sz w:val="30"/>
          <w:szCs w:val="30"/>
        </w:rPr>
      </w:pPr>
    </w:p>
    <w:p w14:paraId="7990841B">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20B86B24">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w:t>
      </w:r>
      <w:r>
        <w:rPr>
          <w:rStyle w:val="19"/>
          <w:rFonts w:hint="eastAsia" w:ascii="楷体" w:hAnsi="楷体" w:eastAsia="楷体"/>
          <w:spacing w:val="-4"/>
          <w:sz w:val="32"/>
          <w:szCs w:val="32"/>
          <w:lang w:val="en-US" w:eastAsia="zh-CN"/>
        </w:rPr>
        <w:t>一）</w:t>
      </w:r>
      <w:r>
        <w:rPr>
          <w:rStyle w:val="19"/>
          <w:rFonts w:hint="eastAsia" w:ascii="楷体" w:hAnsi="楷体" w:eastAsia="楷体"/>
          <w:spacing w:val="-4"/>
          <w:sz w:val="32"/>
          <w:szCs w:val="32"/>
        </w:rPr>
        <w:t>项目概况</w:t>
      </w:r>
    </w:p>
    <w:p w14:paraId="06E5F48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2C0E9D0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为了保障中阿牙村、大营门村及东菜园村正常运转，保障三个村能够正常开展各项工作，开展服务群众工作、组织文体活动、慰问困难群众、购置办公用品、缴纳办公阵地水电暖气费等，我单位于2024年制定印发了资金合规化使用管理办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本项目主要内容为2024年村级运转经费。本项目于2024年1月开始实施，截止2024年12月通过本项目的实施，有效带动了村干部工作积极性，提升了基层工作效率、增强了村干部工作自信。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p>
    <w:p w14:paraId="6C08B575">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2024计划拨付63万元，项目于2024年1月28日批复预算资金63万元，截至2024年12月31日，项目用于村级各类支出资金支付，项目资金支付63万元，资金到位率100%，预算执行率为100%。</w:t>
      </w:r>
    </w:p>
    <w:p w14:paraId="77D067A4">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A2D833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本项目总体目标为：通过对村委会日常公用经费支出，保障村级各类支出经费正常运转，提高村级各项工作质量，保障村委会服务群众工作圆满完成。</w:t>
      </w:r>
    </w:p>
    <w:p w14:paraId="2373A94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数量指标：经费保障辖区村数量不低于3个；</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质量指标：保障辖区村正常运转率达到100%；经费保障辖区村覆盖率达到100%；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时效指标：保障工作运转及时率100%；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经济成本指标：村级支出经费总金额不高于63万元。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社会效益指标：有效保障机构正常开展指标，预期指标值为有效保障；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满意度指标：村民满意度不低于95%。</w:t>
      </w:r>
    </w:p>
    <w:p w14:paraId="149179F6">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309C4122">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2B392FF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文件精神，对村级支出项目绩效目标实现情况进行自评。</w:t>
      </w:r>
    </w:p>
    <w:p w14:paraId="5A94467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11C28602">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887B49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p>
    <w:p w14:paraId="38D57D9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组织实施：资金使用合规性，权重4分，管理制度健全，权重4分，制度执行有效性，权重3分。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数量指标：经费保障辖区村数量，权重4分；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质量指标：经费保障辖区村覆盖率，权重4分；保障辖区村正常运转率，权重4分；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时效指标：保障工作运转及时率，权重5分。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成本指标：村级支出经费总金额，权重5分。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社会效益指标：有效保障机构正常运行，权重30分；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服务对象满意度指标：村民满意度，权重8分。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3.评价方法</w:t>
      </w:r>
    </w:p>
    <w:p w14:paraId="5356E69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村级支出项目绩效评价主要通过项目单位自评、主管部门监督、财政部门参评的方式开展绩效评价工作。</w:t>
      </w:r>
    </w:p>
    <w:p w14:paraId="2159785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p>
    <w:p w14:paraId="7543914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6D5F199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76BC7B20">
      <w:pPr>
        <w:spacing w:line="540" w:lineRule="exact"/>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653F5B7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7820787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（1）项目全过程资料档案复核</w:t>
      </w:r>
    </w:p>
    <w:p w14:paraId="53B9AB0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p>
    <w:p w14:paraId="1F1B964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发放调查问卷开展村民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p>
    <w:p w14:paraId="5CB636F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6BC4B0E5">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49926B3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本次项目自评满分100分，自评得分100分，自评结果为“优”，其中项目决策得分17分，项目过程得分23分，项目产出得分22，项目效益得分30分，项目满意度得分8分。</w:t>
      </w:r>
    </w:p>
    <w:p w14:paraId="560F2F4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项目立项符合法律法规、相关政策、发展规划以及部门职责，用于反映和考核项目立项依据情况，符合行业发展规划和政策要求，与部门职责范围相符，属于部门履职所需，属于公共财政支持范围，符合市、区两级政府事权支出责任划分原则，不存在与相关部门同类项目或部门相关项目政策交叉重复的情况。预算按照项目内容，包括商品和服务、资本性等各类支出，分别测算成本，根据事权划分准确核定本级财政支出；项目过程方面，已制定相应的财务和业务管理制度，遵守相关法律法规和相关管理规定，与上位法要求相符，侧重点明细，财务和业务管理制度合法、合规、完整。项目支出调整手续完备，项目合同书、验收报告、技术鉴定等资料齐全并及时归档，项目实施的人员条件、场地设备、信息支撑等均已落实到位；项目产出方面，按照辖区3个村一年63万元发放；项目效益方面，保障了各村水电暖、办公耗材、办公用品等的正常购买和使用，有效的提升了村级各项工作的效率，提升了村民对村委会工作的满意率；项目满意度方面，村民满意度大于等于95%。</w:t>
      </w:r>
    </w:p>
    <w:p w14:paraId="2F9F8443">
      <w:pPr>
        <w:spacing w:line="540" w:lineRule="exact"/>
        <w:ind w:firstLine="312" w:firstLineChars="10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106E4B3B">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27AEC7D9">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494141C1">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（1）立项依据充分性，满分2分，得分2分，得分率100%。</w:t>
      </w:r>
    </w:p>
    <w:p w14:paraId="35AF69E8">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本项目是由西河街道办事处提出申报，2024年我单位根据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文件要求，项目立项符合国家法律法规、自治区和地区行业发展规划和政策要求，属于本部门履职所需。</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（1）绩效目标明确性，满分4分，得分4分，得分率100%。</w:t>
      </w:r>
    </w:p>
    <w:p w14:paraId="7F4E0F45">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本项目已将项目绩效目标细化分解为具体的绩效指标，并通过清晰、可衡量的指标值予以体现，与项目目标任务数或计划数相对应。</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（2）绩效目标合理性，满分4分，得分4分，得分率100%。</w:t>
      </w:r>
    </w:p>
    <w:p w14:paraId="639B24CC">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本项目制定了项目支出绩效目标，明确了项目总体思路及总目标、并对项目任务进行了详细分解，对目标进行了细化。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p>
    <w:p w14:paraId="58011F70">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测算标准合理性，满分3分，得分3分，得分率100%。</w:t>
      </w:r>
    </w:p>
    <w:p w14:paraId="7A095465">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预算编制经过科学论证，内容与项目内容匹配，项目投资额与工作任务相匹配，根据评分标准，预算编制科学性</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（2）测算过程细化度，满分2分，得分2分，得分率100%。</w:t>
      </w:r>
    </w:p>
    <w:p w14:paraId="308B5E9F">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本项目资金分配依据充分，资金分配额度合理，与项目地方实际相适应，资金按季度细化分配金额。</w:t>
      </w:r>
      <w:r>
        <w:rPr>
          <w:rStyle w:val="19"/>
          <w:rFonts w:hint="eastAsia" w:ascii="楷体" w:hAnsi="楷体" w:eastAsia="楷体"/>
          <w:b w:val="0"/>
          <w:bCs w:val="0"/>
          <w:spacing w:val="-4"/>
          <w:sz w:val="32"/>
          <w:szCs w:val="32"/>
          <w:lang w:eastAsia="zh-CN"/>
        </w:rPr>
        <w:tab/>
      </w:r>
    </w:p>
    <w:p w14:paraId="7E2A27CC">
      <w:pPr>
        <w:spacing w:line="540" w:lineRule="exact"/>
        <w:ind w:firstLine="313" w:firstLineChars="100"/>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35E5499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2560E75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p>
    <w:p w14:paraId="54506B9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该项目所需财政资金能够足额拨付到位，牵头单位能够及时足额按照合同约定将专项资金拨付给单位。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（2）预算执行率，满分6分，得分6分，得分率100%。</w:t>
      </w:r>
    </w:p>
    <w:p w14:paraId="219FA80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该项目资金严格按照季度申请并进行拨付，全年拨付63万元，拨付率100%。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p>
    <w:p w14:paraId="1FF20D4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（2）管理制度健全性，满分5分，得分5分，得分率100%。</w:t>
      </w:r>
    </w:p>
    <w:p w14:paraId="0F74146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我单位制定了相关项目管理办法，同时对财政专项资金进行严格管理，基本做到了专款专用，管理制度健全性。</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（3）制度执行有效性，满分6分，得分6分，得分率100%。</w:t>
      </w:r>
    </w:p>
    <w:p w14:paraId="7A7B1FB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由街道根据村的大小提出经费预算支出可行性方案，经过与组织部沟通后，报组织部研究执行，财务对资金的使用合法合规性进行监督，年底对资金使用效果进行自评。</w:t>
      </w:r>
    </w:p>
    <w:p w14:paraId="78204D55">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1624569F">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12A43D7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经费保障辖区村数量，满分4分，得分4分，得分率100%。</w:t>
      </w:r>
    </w:p>
    <w:p w14:paraId="6DD4F3E3">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“经费保障辖区村数量”指标，预期指标值为“≥3个”，根据实际资金实际拨付，实际完成“经费保障辖区村数量”指标，指标值为“=3个”，指标完成率为100%，与预期目标一致。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保障辖区村正常运转率，满分4分，得分4分，得分率100%。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“保障辖区村正常运转率”指标，预期指标值为“=100%”，根据资金拨付可知，经费得到了有效发放，有效发放率达100%，与预期目标一致。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经费保障辖区村覆盖率，满分4分，得分4分，得分率100%。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“经费保障辖区村覆盖率”指标，预期指标值为“=100%”，根据资金拨付可知，经费得到了有效发放，有效发放率达100%，与预期目标一致。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保障工作运转及时率，满分5分，得分5分，得分率100%。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“保障工作运转及时率”指标，预期指标值为“100%”；实际拨付63万元，实际支出63万元，与预期目标指标一致。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4</w:t>
      </w:r>
      <w:r>
        <w:rPr>
          <w:rStyle w:val="19"/>
          <w:rFonts w:hint="eastAsia" w:ascii="楷体" w:hAnsi="楷体" w:eastAsia="楷体"/>
          <w:b w:val="0"/>
          <w:bCs w:val="0"/>
          <w:spacing w:val="-4"/>
          <w:sz w:val="32"/>
          <w:szCs w:val="32"/>
        </w:rPr>
        <w:t>.产出成本</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村级支出经费总金额，满分5分，得分5分，得分率100%。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“村级支出经费总金额”指标，预期指标值为“≤63万元”，实际完成值为“63万元”，指标完成率为100%。</w:t>
      </w:r>
    </w:p>
    <w:p w14:paraId="7FD5944B">
      <w:pPr>
        <w:numPr>
          <w:ilvl w:val="0"/>
          <w:numId w:val="1"/>
        </w:num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项目效益情况</w:t>
      </w:r>
    </w:p>
    <w:p w14:paraId="076ACA21">
      <w:pPr>
        <w:numPr>
          <w:ilvl w:val="0"/>
          <w:numId w:val="0"/>
        </w:numPr>
        <w:spacing w:line="540" w:lineRule="exact"/>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lang w:val="en-US" w:eastAsia="zh-CN"/>
        </w:rPr>
        <w:t xml:space="preserve">    </w:t>
      </w:r>
      <w:r>
        <w:rPr>
          <w:rStyle w:val="19"/>
          <w:rFonts w:hint="eastAsia" w:ascii="楷体" w:hAnsi="楷体" w:eastAsia="楷体"/>
          <w:b w:val="0"/>
          <w:bCs w:val="0"/>
          <w:spacing w:val="-4"/>
          <w:sz w:val="32"/>
          <w:szCs w:val="32"/>
          <w:lang w:val="en-US" w:eastAsia="zh-CN"/>
        </w:rPr>
        <w:t>效益指标</w:t>
      </w:r>
    </w:p>
    <w:p w14:paraId="2E8BB1D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有效保障机构正常高效运转，满分30分，得分30分，得分率100%；“有效保障机构正常高效运转”指标，预期指标值为“保障”，实际完成值为达成年度指标。</w:t>
      </w:r>
    </w:p>
    <w:p w14:paraId="5959EF53">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1839D9E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村民满意度，满分8分，得分8分，得分率100%。</w:t>
      </w:r>
    </w:p>
    <w:p w14:paraId="0C9CD424">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“村民满意度”指标，预期指标值为“≥90%”，根据对边区居民进行满意度问卷调查的结果可知，满意度达98%。</w:t>
      </w:r>
    </w:p>
    <w:p w14:paraId="43280C2F">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58E6F815">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7AE042F0">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1.聚焦重点任务，推动项目工作落地落实</w:t>
      </w:r>
    </w:p>
    <w:p w14:paraId="57A4CBF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分工和工作流程，明确责任和时间节点，一项一项抓好具体落实，确保了项目按时保质完成，保障了项目效益发挥。</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2.坚持问题导向，加强执行监控，提高资金效益</w:t>
      </w:r>
    </w:p>
    <w:p w14:paraId="30B106C9">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3.强化绩效目标刚性约束，及时对项目进行跟踪问效</w:t>
      </w:r>
    </w:p>
    <w:p w14:paraId="6928B327">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1.绩效预算认识不够充分，绩效理念有待进一步强化</w:t>
      </w:r>
    </w:p>
    <w:p w14:paraId="3C4EB3F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部门绩效管理理念尚未牢固树立，绩效管理专业人员匮乏。单位对全面实施绩效管理认识不够，绩效水平不高，单位绩效管理工作力量薄弱，多数以财务人员牵头开展绩效管理，工作推动机制不</w:t>
      </w:r>
      <w:r>
        <w:rPr>
          <w:rStyle w:val="19"/>
          <w:rFonts w:hint="eastAsia" w:ascii="楷体" w:hAnsi="楷体" w:eastAsia="楷体"/>
          <w:b w:val="0"/>
          <w:bCs w:val="0"/>
          <w:spacing w:val="-4"/>
          <w:sz w:val="32"/>
          <w:szCs w:val="32"/>
          <w:lang w:val="en-US" w:eastAsia="zh-CN"/>
        </w:rPr>
        <w:t>健全</w:t>
      </w:r>
      <w:r>
        <w:rPr>
          <w:rStyle w:val="19"/>
          <w:rFonts w:hint="eastAsia" w:ascii="楷体" w:hAnsi="楷体" w:eastAsia="楷体"/>
          <w:b w:val="0"/>
          <w:bCs w:val="0"/>
          <w:spacing w:val="-4"/>
          <w:sz w:val="32"/>
          <w:szCs w:val="32"/>
        </w:rPr>
        <w:t>，业务人员业务能力和素质还有待进一步提升。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2.绩效档案归档工作有待提高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3.项目支出绩效评价存在</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限性，客观性有待加强</w:t>
      </w:r>
    </w:p>
    <w:p w14:paraId="40558E57">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项目支出绩效评价工作还存在自我审定的</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限性，项目支出绩效工作有较大弹性，评价报告多</w:t>
      </w:r>
      <w:r>
        <w:rPr>
          <w:rStyle w:val="19"/>
          <w:rFonts w:hint="eastAsia" w:ascii="楷体" w:hAnsi="楷体" w:eastAsia="楷体"/>
          <w:b w:val="0"/>
          <w:bCs w:val="0"/>
          <w:spacing w:val="-4"/>
          <w:sz w:val="32"/>
          <w:szCs w:val="32"/>
          <w:lang w:val="en-US" w:eastAsia="zh-CN"/>
        </w:rPr>
        <w:t>的</w:t>
      </w:r>
      <w:r>
        <w:rPr>
          <w:rStyle w:val="19"/>
          <w:rFonts w:hint="eastAsia" w:ascii="楷体" w:hAnsi="楷体" w:eastAsia="楷体"/>
          <w:b w:val="0"/>
          <w:bCs w:val="0"/>
          <w:spacing w:val="-4"/>
          <w:sz w:val="32"/>
          <w:szCs w:val="32"/>
        </w:rPr>
        <w:t>单位</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限于描述项目实施情况，对问题避重就轻，对项目的打分松紧不一，会影响评价质量，在客观性和公正性上说服力不强。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4.项目进度滞后不存在未完成情况。</w:t>
      </w:r>
    </w:p>
    <w:p w14:paraId="20A44A34">
      <w:pPr>
        <w:spacing w:line="540" w:lineRule="exact"/>
        <w:ind w:firstLine="312" w:firstLineChars="1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34BCB24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（一）加强培训，提高相关人员工作水平</w:t>
      </w:r>
    </w:p>
    <w:p w14:paraId="5A8A57C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采取多种培训形式对单位财务人员、业务科室人员进行集中培训，进一步树牢绩效观念，提高工作人员的绩效管理能力和工作水平，为预算绩效管理相关工作的顺利开展提供保障。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（二）扎实推进档案规范化建设，提升档案管理水平</w:t>
      </w:r>
    </w:p>
    <w:p w14:paraId="6979950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（三）高度重视，加强领导</w:t>
      </w:r>
    </w:p>
    <w:p w14:paraId="4E567E2B">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26B960AA">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0485969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无其他说明内容。</w:t>
      </w:r>
    </w:p>
    <w:p w14:paraId="66F0865D">
      <w:pPr>
        <w:spacing w:line="540" w:lineRule="exact"/>
        <w:ind w:firstLine="567"/>
        <w:rPr>
          <w:rStyle w:val="19"/>
          <w:rFonts w:ascii="仿宋" w:hAnsi="仿宋" w:eastAsia="仿宋"/>
          <w:b w:val="0"/>
          <w:spacing w:val="-4"/>
          <w:sz w:val="32"/>
          <w:szCs w:val="32"/>
        </w:rPr>
      </w:pPr>
    </w:p>
    <w:p w14:paraId="55C9A20D">
      <w:pPr>
        <w:spacing w:line="540" w:lineRule="exact"/>
        <w:ind w:firstLine="567"/>
        <w:rPr>
          <w:rStyle w:val="19"/>
          <w:rFonts w:ascii="仿宋" w:hAnsi="仿宋" w:eastAsia="仿宋"/>
          <w:b w:val="0"/>
          <w:spacing w:val="-4"/>
          <w:sz w:val="32"/>
          <w:szCs w:val="32"/>
        </w:rPr>
      </w:pPr>
    </w:p>
    <w:p w14:paraId="65A0141F">
      <w:pPr>
        <w:spacing w:line="540" w:lineRule="exact"/>
        <w:ind w:firstLine="567"/>
        <w:rPr>
          <w:rStyle w:val="19"/>
          <w:rFonts w:ascii="仿宋" w:hAnsi="仿宋" w:eastAsia="仿宋"/>
          <w:b w:val="0"/>
          <w:spacing w:val="-4"/>
          <w:sz w:val="32"/>
          <w:szCs w:val="32"/>
        </w:rPr>
      </w:pPr>
    </w:p>
    <w:p w14:paraId="08576616">
      <w:pPr>
        <w:spacing w:line="540" w:lineRule="exact"/>
        <w:ind w:firstLine="567"/>
        <w:rPr>
          <w:rStyle w:val="19"/>
          <w:rFonts w:ascii="仿宋" w:hAnsi="仿宋" w:eastAsia="仿宋"/>
          <w:b w:val="0"/>
          <w:spacing w:val="-4"/>
          <w:sz w:val="32"/>
          <w:szCs w:val="32"/>
        </w:rPr>
      </w:pPr>
    </w:p>
    <w:p w14:paraId="598C1B98">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1A4011F">
        <w:pPr>
          <w:pStyle w:val="12"/>
          <w:jc w:val="center"/>
        </w:pPr>
        <w:r>
          <w:fldChar w:fldCharType="begin"/>
        </w:r>
        <w:r>
          <w:instrText xml:space="preserve">PAGE   \* MERGEFORMAT</w:instrText>
        </w:r>
        <w:r>
          <w:fldChar w:fldCharType="separate"/>
        </w:r>
        <w:r>
          <w:rPr>
            <w:lang w:val="zh-CN"/>
          </w:rPr>
          <w:t>1</w:t>
        </w:r>
        <w:r>
          <w:fldChar w:fldCharType="end"/>
        </w:r>
      </w:p>
    </w:sdtContent>
  </w:sdt>
  <w:p w14:paraId="65C883C3">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CA04">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706BB"/>
    <w:rsid w:val="2BD31F3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石头</cp:lastModifiedBy>
  <cp:lastPrinted>2018-12-31T10:56:00Z</cp:lastPrinted>
  <dcterms:modified xsi:type="dcterms:W3CDTF">2025-11-06T07:31:01Z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5909</Words>
  <Characters>6125</Characters>
  <Lines>5</Lines>
  <Paragraphs>1</Paragraphs>
  <TotalTime>156</TotalTime>
  <ScaleCrop>false</ScaleCrop>
  <LinksUpToDate>false</LinksUpToDate>
  <CharactersWithSpaces>6139</CharactersWithSpaces>
  <Application>WPS Office_12.1.0.23542_F1E327BC-269C-435d-A152-05C5408002CA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Props1.xml><?xml version="1.0" encoding="utf-8"?>
<ds:datastoreItem xmlns:ds="http://schemas.openxmlformats.org/officeDocument/2006/customXml" ds:itemID="{f7558958-f21d-4d09-993b-8e16e5fc08d1}">
  <ds:schemaRefs/>
</ds:datastoreItem>
</file>

<file path=customXml/itemProps2.xml><?xml version="1.0" encoding="utf-8"?>
<ds:datastoreItem xmlns:ds="http://schemas.openxmlformats.org/officeDocument/2006/customXml" ds:itemID="{3f1ae3c5-2d03-486c-9421-aa7ffb90d622}">
  <ds:schemaRefs/>
</ds:datastoreItem>
</file>

<file path=customXml/itemProps3.xml><?xml version="1.0" encoding="utf-8"?>
<ds:datastoreItem xmlns:ds="http://schemas.openxmlformats.org/officeDocument/2006/customXml" ds:itemID="{ca70353d-690f-4a6d-be07-0c40a7e40564}">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5798</Words>
  <Characters>5994</Characters>
  <Lines>5</Lines>
  <Paragraphs>1</Paragraphs>
  <TotalTime>162</TotalTime>
  <ScaleCrop>false</ScaleCrop>
  <LinksUpToDate>false</LinksUpToDate>
  <CharactersWithSpaces>6208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2025-11-08T08:21:35Z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