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8E6E8">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仿宋" w:hAnsi="仿宋" w:eastAsia="仿宋" w:cs="宋体"/>
          <w:kern w:val="0"/>
          <w:sz w:val="32"/>
          <w:szCs w:val="32"/>
        </w:rPr>
      </w:pPr>
      <w:r>
        <w:rPr>
          <w:rFonts w:hint="eastAsia" w:ascii="仿宋" w:hAnsi="仿宋" w:eastAsia="仿宋" w:cs="宋体"/>
          <w:kern w:val="0"/>
          <w:sz w:val="32"/>
          <w:szCs w:val="32"/>
        </w:rPr>
        <w:t>附件2：</w:t>
      </w:r>
    </w:p>
    <w:p w14:paraId="4B0E7698">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华文中宋" w:hAnsi="华文中宋" w:eastAsia="华文中宋" w:cs="宋体"/>
          <w:b/>
          <w:kern w:val="0"/>
          <w:sz w:val="52"/>
          <w:szCs w:val="52"/>
        </w:rPr>
      </w:pPr>
    </w:p>
    <w:p w14:paraId="065F94DA">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华文中宋" w:hAnsi="华文中宋" w:eastAsia="华文中宋" w:cs="宋体"/>
          <w:b/>
          <w:kern w:val="0"/>
          <w:sz w:val="52"/>
          <w:szCs w:val="52"/>
        </w:rPr>
      </w:pPr>
    </w:p>
    <w:p w14:paraId="27F53259">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华文中宋" w:hAnsi="华文中宋" w:eastAsia="华文中宋" w:cs="宋体"/>
          <w:b/>
          <w:kern w:val="0"/>
          <w:sz w:val="52"/>
          <w:szCs w:val="52"/>
        </w:rPr>
      </w:pPr>
    </w:p>
    <w:p w14:paraId="19E5068D">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int="eastAsia" w:ascii="华文中宋" w:hAnsi="华文中宋" w:eastAsia="华文中宋" w:cs="宋体"/>
          <w:b/>
          <w:kern w:val="0"/>
          <w:sz w:val="52"/>
          <w:szCs w:val="52"/>
          <w:lang w:eastAsia="zh-CN"/>
        </w:rPr>
      </w:pPr>
    </w:p>
    <w:p w14:paraId="6D44654B">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华文中宋" w:hAnsi="华文中宋" w:eastAsia="华文中宋" w:cs="宋体"/>
          <w:b/>
          <w:kern w:val="0"/>
          <w:sz w:val="52"/>
          <w:szCs w:val="52"/>
        </w:rPr>
      </w:pPr>
    </w:p>
    <w:p w14:paraId="306C1159">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华文中宋" w:hAnsi="华文中宋" w:eastAsia="华文中宋" w:cs="宋体"/>
          <w:b/>
          <w:kern w:val="0"/>
          <w:sz w:val="52"/>
          <w:szCs w:val="52"/>
        </w:rPr>
      </w:pPr>
    </w:p>
    <w:p w14:paraId="7CF244C3">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3BA55DE">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华文中宋" w:hAnsi="华文中宋" w:eastAsia="华文中宋" w:cs="宋体"/>
          <w:b/>
          <w:kern w:val="0"/>
          <w:sz w:val="52"/>
          <w:szCs w:val="52"/>
        </w:rPr>
      </w:pPr>
    </w:p>
    <w:p w14:paraId="0FD48C0B">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center"/>
        <w:textAlignment w:val="auto"/>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3E50217">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Ansi="宋体" w:eastAsia="仿宋_GB2312" w:cs="宋体"/>
          <w:kern w:val="0"/>
          <w:sz w:val="30"/>
          <w:szCs w:val="30"/>
        </w:rPr>
      </w:pPr>
    </w:p>
    <w:p w14:paraId="53720E10">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Ansi="宋体" w:eastAsia="仿宋_GB2312" w:cs="宋体"/>
          <w:kern w:val="0"/>
          <w:sz w:val="30"/>
          <w:szCs w:val="30"/>
        </w:rPr>
      </w:pPr>
    </w:p>
    <w:p w14:paraId="23214673">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Ansi="宋体" w:eastAsia="仿宋_GB2312" w:cs="宋体"/>
          <w:kern w:val="0"/>
          <w:sz w:val="30"/>
          <w:szCs w:val="30"/>
        </w:rPr>
      </w:pPr>
    </w:p>
    <w:p w14:paraId="63F08242">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Ansi="宋体" w:eastAsia="仿宋_GB2312" w:cs="宋体"/>
          <w:kern w:val="0"/>
          <w:sz w:val="30"/>
          <w:szCs w:val="30"/>
        </w:rPr>
      </w:pPr>
    </w:p>
    <w:p w14:paraId="5334CF16">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Ansi="宋体" w:eastAsia="仿宋_GB2312" w:cs="宋体"/>
          <w:kern w:val="0"/>
          <w:sz w:val="30"/>
          <w:szCs w:val="30"/>
        </w:rPr>
      </w:pPr>
    </w:p>
    <w:p w14:paraId="5A40D14E">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Ansi="宋体" w:eastAsia="仿宋_GB2312" w:cs="宋体"/>
          <w:kern w:val="0"/>
          <w:sz w:val="30"/>
          <w:szCs w:val="30"/>
        </w:rPr>
      </w:pPr>
    </w:p>
    <w:p w14:paraId="2B45BA28">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hAnsi="宋体" w:eastAsia="仿宋_GB2312" w:cs="宋体"/>
          <w:kern w:val="0"/>
          <w:sz w:val="30"/>
          <w:szCs w:val="30"/>
        </w:rPr>
      </w:pPr>
    </w:p>
    <w:p w14:paraId="53905770">
      <w:pPr>
        <w:keepNext w:val="0"/>
        <w:keepLines w:val="0"/>
        <w:pageBreakBefore w:val="0"/>
        <w:widowControl w:val="0"/>
        <w:kinsoku/>
        <w:wordWrap/>
        <w:overflowPunct/>
        <w:topLinePunct w:val="0"/>
        <w:autoSpaceDE/>
        <w:autoSpaceDN/>
        <w:bidi w:val="0"/>
        <w:adjustRightInd/>
        <w:snapToGrid/>
        <w:spacing w:line="700" w:lineRule="exact"/>
        <w:ind w:left="0" w:firstLine="0" w:firstLineChars="0"/>
        <w:jc w:val="both"/>
        <w:textAlignment w:val="auto"/>
        <w:rPr>
          <w:rFonts w:hAnsi="宋体" w:eastAsia="仿宋_GB2312" w:cs="宋体"/>
          <w:kern w:val="0"/>
          <w:sz w:val="36"/>
          <w:szCs w:val="36"/>
        </w:rPr>
      </w:pPr>
      <w:r>
        <w:rPr>
          <w:rFonts w:hint="eastAsia" w:hAnsi="宋体" w:eastAsia="仿宋_GB2312" w:cs="宋体"/>
          <w:kern w:val="0"/>
          <w:sz w:val="36"/>
          <w:szCs w:val="36"/>
        </w:rPr>
        <w:t xml:space="preserve">     </w:t>
      </w:r>
    </w:p>
    <w:p w14:paraId="246ED240">
      <w:pPr>
        <w:keepNext w:val="0"/>
        <w:keepLines w:val="0"/>
        <w:pageBreakBefore w:val="0"/>
        <w:widowControl w:val="0"/>
        <w:kinsoku/>
        <w:wordWrap/>
        <w:overflowPunct/>
        <w:topLinePunct w:val="0"/>
        <w:autoSpaceDE/>
        <w:autoSpaceDN/>
        <w:bidi w:val="0"/>
        <w:adjustRightInd/>
        <w:snapToGrid/>
        <w:spacing w:line="700" w:lineRule="exact"/>
        <w:ind w:left="0" w:firstLine="0" w:firstLineChars="0"/>
        <w:jc w:val="both"/>
        <w:textAlignment w:val="auto"/>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特定类-融媒体体制调整运行补助</w:t>
      </w:r>
    </w:p>
    <w:p w14:paraId="2C61522B">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哈密市伊州区融媒体中心(哈密市伊州区广播电视台）</w:t>
      </w:r>
    </w:p>
    <w:p w14:paraId="3D7E9C18">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哈密市伊州区融媒体中心(哈密市伊州区广播电视台）</w:t>
      </w:r>
    </w:p>
    <w:p w14:paraId="1B7A84D3">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李东海</w:t>
      </w:r>
    </w:p>
    <w:p w14:paraId="6E7B18C8">
      <w:pPr>
        <w:keepNext w:val="0"/>
        <w:keepLines w:val="0"/>
        <w:pageBreakBefore w:val="0"/>
        <w:widowControl w:val="0"/>
        <w:kinsoku/>
        <w:wordWrap/>
        <w:overflowPunct/>
        <w:topLinePunct w:val="0"/>
        <w:autoSpaceDE/>
        <w:autoSpaceDN/>
        <w:bidi w:val="0"/>
        <w:adjustRightInd/>
        <w:snapToGrid/>
        <w:spacing w:line="540" w:lineRule="exact"/>
        <w:ind w:left="0" w:firstLine="0" w:firstLineChars="0"/>
        <w:jc w:val="both"/>
        <w:textAlignment w:val="auto"/>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14:paraId="7A7A9023">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一、基本情况</w:t>
      </w:r>
    </w:p>
    <w:p w14:paraId="0CB1C92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（一）项目概况</w:t>
      </w:r>
    </w:p>
    <w:p w14:paraId="3200E763">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1.项目背景</w:t>
      </w:r>
    </w:p>
    <w:p w14:paraId="428278DF">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（1）政策依据：</w:t>
      </w:r>
      <w:r>
        <w:rPr>
          <w:rStyle w:val="18"/>
          <w:rFonts w:hint="eastAsia" w:ascii="楷体" w:hAnsi="楷体" w:eastAsia="仿宋_GB2312"/>
          <w:b w:val="0"/>
          <w:bCs w:val="0"/>
          <w:spacing w:val="-4"/>
          <w:sz w:val="32"/>
          <w:szCs w:val="32"/>
          <w:lang w:val="en-US" w:eastAsia="zh-CN"/>
        </w:rPr>
        <w:t>根据相关</w:t>
      </w:r>
      <w:r>
        <w:rPr>
          <w:rStyle w:val="18"/>
          <w:rFonts w:hint="eastAsia" w:ascii="楷体" w:hAnsi="楷体" w:eastAsia="仿宋_GB2312"/>
          <w:b w:val="0"/>
          <w:bCs w:val="0"/>
          <w:spacing w:val="-4"/>
          <w:sz w:val="32"/>
          <w:szCs w:val="32"/>
        </w:rPr>
        <w:t>文件</w:t>
      </w:r>
      <w:r>
        <w:rPr>
          <w:rStyle w:val="18"/>
          <w:rFonts w:hint="eastAsia" w:ascii="楷体" w:hAnsi="楷体" w:eastAsia="仿宋_GB2312"/>
          <w:b w:val="0"/>
          <w:bCs w:val="0"/>
          <w:spacing w:val="-4"/>
          <w:sz w:val="32"/>
          <w:szCs w:val="32"/>
          <w:lang w:val="en-US" w:eastAsia="zh-CN"/>
        </w:rPr>
        <w:t>要求</w:t>
      </w:r>
      <w:r>
        <w:rPr>
          <w:rStyle w:val="18"/>
          <w:rFonts w:hint="eastAsia" w:ascii="楷体" w:hAnsi="楷体" w:eastAsia="仿宋_GB2312"/>
          <w:b w:val="0"/>
          <w:bCs w:val="0"/>
          <w:spacing w:val="-4"/>
          <w:sz w:val="32"/>
          <w:szCs w:val="32"/>
        </w:rPr>
        <w:t>，说明体制调整是落实中央及自治区推动媒体融合向纵深发展的战略部署。</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（2）</w:t>
      </w:r>
      <w:bookmarkStart w:id="0" w:name="_GoBack"/>
      <w:bookmarkEnd w:id="0"/>
      <w:r>
        <w:rPr>
          <w:rStyle w:val="18"/>
          <w:rFonts w:hint="eastAsia" w:ascii="楷体" w:hAnsi="楷体" w:eastAsia="仿宋_GB2312"/>
          <w:b w:val="0"/>
          <w:bCs w:val="0"/>
          <w:spacing w:val="-4"/>
          <w:sz w:val="32"/>
          <w:szCs w:val="32"/>
        </w:rPr>
        <w:t>现实需求：阐述伊州区融媒体中心作为区域主流舆论阵地，在机构改革后需通过基础运维保障实现“一次采集、多元生成、全媒传播”的内容生产、技术支撑、安全传播的基础保障作用。</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2.主要内容及实施情况</w:t>
      </w:r>
    </w:p>
    <w:p w14:paraId="333B201D">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（1）基础运维体系构建：</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物业综合服务：涵盖办公楼、演播厅、设备机房等区域日常维护。</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安防保障：实行24小时安保巡逻+智能监控双体系。</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能源保障：冬季供暖覆盖1445.94平方米办公区。</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设施维护：建立应急维护响应机制。</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（2）实施成效</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·确保每天24小时安全播出</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·保障各项工作顺利开展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3.资金投入和使用情况</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融媒体中心体制改革运行补助经费计划拨付70万元，项目于2024年1月28日批复预算资金70万元，截至2024年12月31日，项目用于单位保安服务费、物业管理服务费、（60亩地绿化用水和日常用水）水费、维修维护、取暖费等，项目资金支付70万元，资金到位率100%，预算执行率为100%。</w:t>
      </w:r>
    </w:p>
    <w:p w14:paraId="046857CD">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（二）项目绩效目标</w:t>
      </w:r>
    </w:p>
    <w:p w14:paraId="267C665C">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本项目总体目标为：融媒体中心建设运行经费主要用于水、暖、物业管理服务费等日常开支，确保融媒体中心正常运行。</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1.产出指标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数量指标：“石油基地办公点取暖面积”不低于1445.94平方米；</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数量指标：“服务企业数量”不低于1个 ；</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质量指标：“融媒体中心正常运转率”达到100%；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时效指标：“融媒体中心正常运行天数”达到365天。</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2.成本指标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11"/>
          <w:sz w:val="32"/>
          <w:szCs w:val="32"/>
        </w:rPr>
        <w:t>经济成本指标</w:t>
      </w:r>
      <w:r>
        <w:rPr>
          <w:rStyle w:val="18"/>
          <w:rFonts w:hint="eastAsia" w:ascii="楷体" w:hAnsi="楷体" w:eastAsia="仿宋_GB2312"/>
          <w:b w:val="0"/>
          <w:bCs w:val="0"/>
          <w:spacing w:val="-11"/>
          <w:sz w:val="32"/>
          <w:szCs w:val="32"/>
          <w:lang w:eastAsia="zh-CN"/>
        </w:rPr>
        <w:t>：</w:t>
      </w:r>
      <w:r>
        <w:rPr>
          <w:rStyle w:val="18"/>
          <w:rFonts w:hint="eastAsia" w:ascii="楷体" w:hAnsi="楷体" w:eastAsia="仿宋_GB2312"/>
          <w:b w:val="0"/>
          <w:bCs w:val="0"/>
          <w:spacing w:val="-11"/>
          <w:sz w:val="32"/>
          <w:szCs w:val="32"/>
        </w:rPr>
        <w:t>“融媒体中心运行及保安服务费”不高于70万元。</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3.效益指标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社会效益指标：“融媒体中心事故发生率”不高于1%。</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4.满意度指标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满意度指标：“融媒体中心工作人员满意度”不低于99%。</w:t>
      </w:r>
    </w:p>
    <w:p w14:paraId="67D22C6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二、绩效评价工作开展情况</w:t>
      </w:r>
    </w:p>
    <w:p w14:paraId="53EA456B">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（一）绩效评价目的、对象和范围</w:t>
      </w:r>
    </w:p>
    <w:p w14:paraId="223CA973">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楷体" w:hAnsi="楷体" w:eastAsia="仿宋_GB2312"/>
          <w:b w:val="0"/>
          <w:bCs w:val="0"/>
          <w:spacing w:val="-4"/>
          <w:sz w:val="32"/>
          <w:szCs w:val="32"/>
        </w:rPr>
      </w:pPr>
      <w:r>
        <w:rPr>
          <w:rStyle w:val="18"/>
          <w:rFonts w:hint="eastAsia" w:ascii="楷体" w:hAnsi="楷体" w:eastAsia="仿宋_GB2312"/>
          <w:b w:val="0"/>
          <w:bCs w:val="0"/>
          <w:spacing w:val="-4"/>
          <w:sz w:val="32"/>
          <w:szCs w:val="32"/>
        </w:rPr>
        <w:t>我单位根据《自治区财政支出绩效评价管理暂行办法》（新财预〔2018〕189号）文件精神，对特定类-融媒体体制调整运行补助项目绩效目标实现情况进行自评。</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100EC22B">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（二）绩效评价原则、评价指标体系、评价方法、评价标准</w:t>
      </w:r>
    </w:p>
    <w:p w14:paraId="524F9D28">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1.绩效评价原则</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（1）科学公正。绩效评价应当运用科学合理的方法，按照规范的程序，对项目绩效进行客观、公正的反映。</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（4）公开透明。绩效评价结果应依法依规公开，并自觉接受社会监督。</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2.评价指标体系</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（1）项目决策</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项目立项：立项依据充分性，权重2分；立项程序规范性，权重2分。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绩效目标：绩效目标明确性，权重4分；绩效目标合理性，权重4分。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预算编制：测算标准合理性，权重3分；测算过程细化度，权重2分。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（2）项目过程</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资金管理：资金到位率，权重6分；预算执行率，权重6分。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组织实施：资金使用合规性，权重4分，管理制度健全性，权重4分，制度执行有效性，权重3分。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（3）项目产出</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数量指标：石油基地办公点取暖面积，权重3分；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数量指标：服务企业数量，权重3分；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质量指标：融媒体中心正常运转率，权重5分；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时效指标：融媒体中心正常运行天数，权重5分。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成本指标：融媒体中心运行及保安服务经费，权重6分。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（3）效益指标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社会效益指标：融媒体中心事故发生率，权重30分。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（4）满意度指标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服务对象满意度指标：融媒体中心工作人员满意度，权重8分。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3.评价方法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特定类-融媒体体制改革运行补助项目绩效评价主要通过项目单位自评、主管部门监督、财政部门参评的方式开展绩效评价工作。</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（1）成本效益分析法。是指将投入与产出、效益进行关联性分析的方法。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（2）比较法。是指将实施情况与绩效目标、历史情况、不同部门和地区同类支出情况进行比较的方法。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（3）因素分析法。是指综合分析影响绩效目标实现、实施效果的内外部因素的方法。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（4）最低成本法。是指在绩效目标确定的前提下，成本最小者为优的方法。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（5）公众评判法。是指通过专家评估、公众问卷及抽样调查等方式进行评判的方法。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4.评价标准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绩效评价标准通常包括计划标准、行业标准、历史标准等，用于对绩效指标完成情况进行比较。</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单位自评采用定量与定性评价相结合的比较法，总分由各项指标得分汇总形成。</w:t>
      </w:r>
    </w:p>
    <w:p w14:paraId="3FCD20C6">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（三）绩效评价工作过程</w:t>
      </w:r>
    </w:p>
    <w:p w14:paraId="11C4FB44">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1.前期准备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（2）采取“年初绩效目标预定与实施效果比较法”进行评价，评价指标体系以绩效目标申报指标为依据。</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2.组织过程</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（1）项目全过程资料档案复核</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（2）检查内容和过程</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发放调查问卷开展融媒体中心工作人员满意度调查工作。</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（3）撰写报告情况</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根据所搜集的印证材料，按绩效评价原理和指标体系进行分析、评价和汇总，撰写绩效自评报告，并在规定时间上报。</w:t>
      </w:r>
    </w:p>
    <w:p w14:paraId="4297837D">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三、综合评价情况及评价结论</w:t>
      </w:r>
    </w:p>
    <w:p w14:paraId="142663C4">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楷体" w:hAnsi="楷体" w:eastAsia="仿宋_GB2312"/>
          <w:b w:val="0"/>
          <w:bCs w:val="0"/>
          <w:spacing w:val="-4"/>
          <w:sz w:val="32"/>
          <w:szCs w:val="32"/>
        </w:rPr>
      </w:pPr>
      <w:r>
        <w:rPr>
          <w:rStyle w:val="18"/>
          <w:rFonts w:hint="eastAsia" w:ascii="楷体" w:hAnsi="楷体" w:eastAsia="仿宋_GB2312"/>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综合评价结论：项目决策方面，项目紧紧围绕&lt;关于印发《伊州区融媒体中心建设实施方案》的通知&gt;（伊区党宣字〔2019〕18号）、 《关于市区两级媒体深度融合发展的实施方案》（哈市改发〔2022〕4号）、《关于加快媒体深度融合发展的实施方案》（哈市党发〔2021〕11号） 等文件要求，项目立项符合国家法律法规、自治区和地区行业发展规划和政策要求，属于本部门履职所需，决策依据充分，目标设定科学；项目过程方面，合规性：70万元经费严格按照预算科目支出；项目产出方面，石油基地办公点取暖面积1445.94平方米，服务企业数量3个，融媒体中心正常运转率为100%，正常运行天数为365天，融媒体中心运行及保安服务费支出70万元，符合预期计划标准；；项目效益方面，融媒体中心事故发生率小于1次；项目满意度方面，融媒体中心工作人员满意度为99%。</w:t>
      </w:r>
    </w:p>
    <w:p w14:paraId="295D2511">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 xml:space="preserve">四、绩效评价指标分析 </w:t>
      </w:r>
    </w:p>
    <w:p w14:paraId="2BF136C4">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（一）项目决策情况</w:t>
      </w:r>
    </w:p>
    <w:p w14:paraId="7CEF4179">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lang w:eastAsia="zh-CN"/>
        </w:rPr>
      </w:pPr>
      <w:r>
        <w:rPr>
          <w:rStyle w:val="18"/>
          <w:rFonts w:hint="eastAsia" w:ascii="楷体" w:hAnsi="楷体" w:eastAsia="仿宋_GB2312"/>
          <w:b w:val="0"/>
          <w:bCs w:val="0"/>
          <w:spacing w:val="-4"/>
          <w:sz w:val="32"/>
          <w:szCs w:val="32"/>
        </w:rPr>
        <w:t>1.项目立项</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立项依据充分性，满分2分，得分2分，得分率100%。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项目结合&lt;关于印发《伊州区融媒体中心建设实施方案》的通知&gt;（伊区党宣字〔2019〕18号）、《关于市区两级媒体深度融合发展的实施方案》（哈市改发〔2022〕4号）、《关于加快媒体深度融合发展的实施方案》（哈市党发〔2021〕11号） 等文件要求组织实施的，项目立项符合国家法律法规、自治区和地区行业发展规划和政策要求，属于本部门履职所需，决策依据充分.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2.绩效目标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（1）绩效目标明确性，满分4分，得分4分，得分率100%。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本项目已将项目绩效目标细化分解为具体的绩效指标，并通过清晰、可衡量的指标值予以体现，与项目目标任务数或计划数相对应。</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（2）绩效目标合理性，满分4分，得分4分，得分率100%。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目标设定依据充分、符合客观实际 。                   。</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3.预算编制</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（1）测算标准合理性，满分3分，得分3分，得分率100%。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预算测算内容符合领域管理标准和社会实际支出水平，测算标准合理，与项目实际相适应。</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（2）测算过程细化清晰，满分2分，得分2分，得分率100%。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预算根据事权划分准确核定本级财政支出。</w:t>
      </w:r>
      <w:r>
        <w:rPr>
          <w:rStyle w:val="18"/>
          <w:rFonts w:hint="eastAsia" w:ascii="楷体" w:hAnsi="楷体" w:eastAsia="仿宋_GB2312"/>
          <w:b w:val="0"/>
          <w:bCs w:val="0"/>
          <w:spacing w:val="-4"/>
          <w:sz w:val="32"/>
          <w:szCs w:val="32"/>
          <w:lang w:eastAsia="zh-CN"/>
        </w:rPr>
        <w:tab/>
      </w:r>
    </w:p>
    <w:p w14:paraId="53E23E6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w:t>
      </w:r>
      <w:r>
        <w:rPr>
          <w:rStyle w:val="18"/>
          <w:rFonts w:hint="eastAsia" w:ascii="楷体_GB2312" w:hAnsi="楷体_GB2312" w:eastAsia="楷体_GB2312" w:cs="楷体_GB2312"/>
          <w:b w:val="0"/>
          <w:bCs w:val="0"/>
          <w:spacing w:val="-4"/>
          <w:sz w:val="32"/>
          <w:szCs w:val="32"/>
          <w:lang w:val="en-US" w:eastAsia="zh-CN"/>
        </w:rPr>
        <w:t>二</w:t>
      </w:r>
      <w:r>
        <w:rPr>
          <w:rStyle w:val="18"/>
          <w:rFonts w:hint="eastAsia" w:ascii="楷体_GB2312" w:hAnsi="楷体_GB2312" w:eastAsia="楷体_GB2312" w:cs="楷体_GB2312"/>
          <w:b w:val="0"/>
          <w:bCs w:val="0"/>
          <w:spacing w:val="-4"/>
          <w:sz w:val="32"/>
          <w:szCs w:val="32"/>
        </w:rPr>
        <w:t>）项目过程情况</w:t>
      </w:r>
    </w:p>
    <w:p w14:paraId="1324C4F7">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1.资金管理</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（1）资金到位率，满分6分，得分6分，得分率100%。                                 该项目所需财政资金能够足额拨付到位。资金到位率=70万元/70万元）*100% 。</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（2）预算执行率，满分6分，得分6分，得分率100%。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本项目预算编制较为详细，预算资金70万元，实际执行70万元，预算执行率为100%，项目资金支出总体能够按照预算执行.     资金执行率=（70万元/70万元）*100% 。</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2.组织实施</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（1）资金使用合规性，满分4分，得分4分，得分率100%。项目资金使用符合政府会计制度的相关规定，各项拨付</w:t>
      </w:r>
      <w:r>
        <w:rPr>
          <w:rStyle w:val="18"/>
          <w:rFonts w:hint="eastAsia" w:ascii="楷体" w:hAnsi="楷体" w:eastAsia="仿宋_GB2312"/>
          <w:b w:val="0"/>
          <w:bCs w:val="0"/>
          <w:spacing w:val="-4"/>
          <w:sz w:val="32"/>
          <w:szCs w:val="32"/>
          <w:lang w:eastAsia="zh-CN"/>
        </w:rPr>
        <w:t>经</w:t>
      </w:r>
      <w:r>
        <w:rPr>
          <w:rStyle w:val="18"/>
          <w:rFonts w:hint="eastAsia" w:ascii="楷体" w:hAnsi="楷体" w:eastAsia="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（2）管理制度健全性，满分4分，得分4分，得分率100%。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我单位制定了《收入支出管理制度》等相关项目管理办法，同时对财政专项资金进行严格管理，基本做到了专款专用。</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（3）制度执行有效性，满分3分，得分3分，得分率100%。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由部门提出经费预算支出可行性方案，经过与分管领导沟通后，报财经会议研究执行，财务对资金的使用合法合规性进行监督，年底对资金使用效果进行自评。</w:t>
      </w:r>
    </w:p>
    <w:p w14:paraId="54E76ED1">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w:t>
      </w:r>
      <w:r>
        <w:rPr>
          <w:rStyle w:val="18"/>
          <w:rFonts w:hint="eastAsia" w:ascii="楷体_GB2312" w:hAnsi="楷体_GB2312" w:eastAsia="楷体_GB2312" w:cs="楷体_GB2312"/>
          <w:b w:val="0"/>
          <w:bCs w:val="0"/>
          <w:spacing w:val="-4"/>
          <w:sz w:val="32"/>
          <w:szCs w:val="32"/>
          <w:lang w:val="en-US" w:eastAsia="zh-CN"/>
        </w:rPr>
        <w:t>三</w:t>
      </w:r>
      <w:r>
        <w:rPr>
          <w:rStyle w:val="18"/>
          <w:rFonts w:hint="eastAsia" w:ascii="楷体_GB2312" w:hAnsi="楷体_GB2312" w:eastAsia="楷体_GB2312" w:cs="楷体_GB2312"/>
          <w:b w:val="0"/>
          <w:bCs w:val="0"/>
          <w:spacing w:val="-4"/>
          <w:sz w:val="32"/>
          <w:szCs w:val="32"/>
        </w:rPr>
        <w:t>）项目产出情况</w:t>
      </w:r>
    </w:p>
    <w:p w14:paraId="55D6132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1.产出数量</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“石油基地办公点取暖面积”指标，满分3分，得分3分，得分率100%。“石油基地办公点取暖面积”指标，预期指标值为“1445.94平方米”，根据检测平台</w:t>
      </w:r>
      <w:r>
        <w:rPr>
          <w:rStyle w:val="18"/>
          <w:rFonts w:hint="eastAsia" w:ascii="楷体" w:hAnsi="楷体" w:eastAsia="仿宋_GB2312"/>
          <w:b w:val="0"/>
          <w:bCs w:val="0"/>
          <w:spacing w:val="-4"/>
          <w:sz w:val="32"/>
          <w:szCs w:val="32"/>
          <w:lang w:eastAsia="zh-CN"/>
        </w:rPr>
        <w:t>导出</w:t>
      </w:r>
      <w:r>
        <w:rPr>
          <w:rStyle w:val="18"/>
          <w:rFonts w:hint="eastAsia" w:ascii="楷体" w:hAnsi="楷体" w:eastAsia="仿宋_GB2312"/>
          <w:b w:val="0"/>
          <w:bCs w:val="0"/>
          <w:spacing w:val="-4"/>
          <w:sz w:val="32"/>
          <w:szCs w:val="32"/>
        </w:rPr>
        <w:t>数据（能够证明指标完成值的资料）可知，实际完成1445.94平方米，指标完成率为100%。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2.产出数量</w:t>
      </w:r>
    </w:p>
    <w:p w14:paraId="7366256E">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“服务企业数量”指标，满分3分，得分3分，得分率100%。“服务企业数量”指标，预期指标值为“≥1个”，根据检测平台</w:t>
      </w:r>
      <w:r>
        <w:rPr>
          <w:rStyle w:val="18"/>
          <w:rFonts w:hint="eastAsia" w:ascii="楷体" w:hAnsi="楷体" w:eastAsia="仿宋_GB2312"/>
          <w:b w:val="0"/>
          <w:bCs w:val="0"/>
          <w:spacing w:val="-4"/>
          <w:sz w:val="32"/>
          <w:szCs w:val="32"/>
          <w:lang w:eastAsia="zh-CN"/>
        </w:rPr>
        <w:t>导出</w:t>
      </w:r>
      <w:r>
        <w:rPr>
          <w:rStyle w:val="18"/>
          <w:rFonts w:hint="eastAsia" w:ascii="楷体" w:hAnsi="楷体" w:eastAsia="仿宋_GB2312"/>
          <w:b w:val="0"/>
          <w:bCs w:val="0"/>
          <w:spacing w:val="-4"/>
          <w:sz w:val="32"/>
          <w:szCs w:val="32"/>
        </w:rPr>
        <w:t>数据（能够证明指标完成值的资料）可知，实际完成1个，指标完成率为100%。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3.产出质量</w:t>
      </w:r>
    </w:p>
    <w:p w14:paraId="39918E60">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“融媒体中心正常运转率”指标，满分5分，得分5分，得分率100%。“融媒体中心正常运转率”指标，预期指标值为“=100%”，根据能够证明指标完成值的资料可知，实际完成365天，指标完成率为100%。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3.产出时效</w:t>
      </w:r>
    </w:p>
    <w:p w14:paraId="59E5489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楷体" w:hAnsi="楷体" w:eastAsia="仿宋_GB2312"/>
          <w:b w:val="0"/>
          <w:bCs w:val="0"/>
          <w:spacing w:val="-4"/>
          <w:sz w:val="32"/>
          <w:szCs w:val="32"/>
        </w:rPr>
      </w:pPr>
      <w:r>
        <w:rPr>
          <w:rStyle w:val="18"/>
          <w:rFonts w:hint="eastAsia" w:ascii="楷体" w:hAnsi="楷体" w:eastAsia="仿宋_GB2312"/>
          <w:b w:val="0"/>
          <w:bCs w:val="0"/>
          <w:spacing w:val="-4"/>
          <w:sz w:val="32"/>
          <w:szCs w:val="32"/>
        </w:rPr>
        <w:t>“融媒体中心正常运转率”指标，满分5分，得分5分，得分率100%。“服务企业数量”指标，预期指标值为“=365天”，根据能够证明指标完成值的资料可知，实际完成365天，指标完成率为100%。</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4.产出成本</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“融媒体中心运行及保安服务费”指标，满分6分，得分6分，得分率100%。“融媒体中心运行及保安服务费”指标，预期指标值为“≤70万元”，根据检测平台</w:t>
      </w:r>
      <w:r>
        <w:rPr>
          <w:rStyle w:val="18"/>
          <w:rFonts w:hint="eastAsia" w:ascii="楷体" w:hAnsi="楷体" w:eastAsia="仿宋_GB2312"/>
          <w:b w:val="0"/>
          <w:bCs w:val="0"/>
          <w:spacing w:val="-4"/>
          <w:sz w:val="32"/>
          <w:szCs w:val="32"/>
          <w:lang w:eastAsia="zh-CN"/>
        </w:rPr>
        <w:t>导出</w:t>
      </w:r>
      <w:r>
        <w:rPr>
          <w:rStyle w:val="18"/>
          <w:rFonts w:hint="eastAsia" w:ascii="楷体" w:hAnsi="楷体" w:eastAsia="仿宋_GB2312"/>
          <w:b w:val="0"/>
          <w:bCs w:val="0"/>
          <w:spacing w:val="-4"/>
          <w:sz w:val="32"/>
          <w:szCs w:val="32"/>
        </w:rPr>
        <w:t>数据（能够证明指标完成值的资料）可知，实际完成70万元，指标完成率为100%。</w:t>
      </w:r>
    </w:p>
    <w:p w14:paraId="232EBEAF">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w:t>
      </w:r>
      <w:r>
        <w:rPr>
          <w:rStyle w:val="18"/>
          <w:rFonts w:hint="eastAsia" w:ascii="楷体_GB2312" w:hAnsi="楷体_GB2312" w:eastAsia="楷体_GB2312" w:cs="楷体_GB2312"/>
          <w:b w:val="0"/>
          <w:bCs w:val="0"/>
          <w:spacing w:val="-4"/>
          <w:sz w:val="32"/>
          <w:szCs w:val="32"/>
          <w:lang w:val="en-US" w:eastAsia="zh-CN"/>
        </w:rPr>
        <w:t>四</w:t>
      </w:r>
      <w:r>
        <w:rPr>
          <w:rStyle w:val="18"/>
          <w:rFonts w:hint="eastAsia" w:ascii="楷体_GB2312" w:hAnsi="楷体_GB2312" w:eastAsia="楷体_GB2312" w:cs="楷体_GB2312"/>
          <w:b w:val="0"/>
          <w:bCs w:val="0"/>
          <w:spacing w:val="-4"/>
          <w:sz w:val="32"/>
          <w:szCs w:val="32"/>
        </w:rPr>
        <w:t>）项目</w:t>
      </w:r>
      <w:r>
        <w:rPr>
          <w:rStyle w:val="18"/>
          <w:rFonts w:hint="eastAsia" w:ascii="楷体_GB2312" w:hAnsi="楷体_GB2312" w:eastAsia="楷体_GB2312" w:cs="楷体_GB2312"/>
          <w:b w:val="0"/>
          <w:bCs w:val="0"/>
          <w:spacing w:val="-4"/>
          <w:sz w:val="32"/>
          <w:szCs w:val="32"/>
          <w:lang w:val="en-US" w:eastAsia="zh-CN"/>
        </w:rPr>
        <w:t>成本</w:t>
      </w:r>
      <w:r>
        <w:rPr>
          <w:rStyle w:val="18"/>
          <w:rFonts w:hint="eastAsia" w:ascii="楷体_GB2312" w:hAnsi="楷体_GB2312" w:eastAsia="楷体_GB2312" w:cs="楷体_GB2312"/>
          <w:b w:val="0"/>
          <w:bCs w:val="0"/>
          <w:spacing w:val="-4"/>
          <w:sz w:val="32"/>
          <w:szCs w:val="32"/>
        </w:rPr>
        <w:t>情况</w:t>
      </w:r>
    </w:p>
    <w:p w14:paraId="742DC677">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1.社会效益</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w:t>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融媒体中心事故发生率”指标，满分30分，得分30分，得分率100%。“融媒体中心事故发生率”指标，预期指标值为“≤1%元”，根据能够证明指标完成值的资料可知，实际完成&lt;1次，指标完成率为100%。</w:t>
      </w:r>
    </w:p>
    <w:p w14:paraId="247A5C9A">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default" w:ascii="楷体_GB2312" w:hAnsi="楷体_GB2312" w:eastAsia="楷体_GB2312" w:cs="楷体_GB2312"/>
          <w:b w:val="0"/>
          <w:bCs w:val="0"/>
          <w:spacing w:val="-4"/>
          <w:sz w:val="32"/>
          <w:szCs w:val="32"/>
          <w:lang w:val="en-US" w:eastAsia="zh-CN"/>
        </w:rPr>
      </w:pPr>
      <w:r>
        <w:rPr>
          <w:rStyle w:val="18"/>
          <w:rFonts w:hint="eastAsia" w:ascii="楷体_GB2312" w:hAnsi="楷体_GB2312" w:eastAsia="楷体_GB2312" w:cs="楷体_GB2312"/>
          <w:b w:val="0"/>
          <w:bCs w:val="0"/>
          <w:spacing w:val="-4"/>
          <w:sz w:val="32"/>
          <w:szCs w:val="32"/>
        </w:rPr>
        <w:t>（</w:t>
      </w:r>
      <w:r>
        <w:rPr>
          <w:rStyle w:val="18"/>
          <w:rFonts w:hint="eastAsia" w:ascii="楷体_GB2312" w:hAnsi="楷体_GB2312" w:eastAsia="楷体_GB2312" w:cs="楷体_GB2312"/>
          <w:b w:val="0"/>
          <w:bCs w:val="0"/>
          <w:spacing w:val="-4"/>
          <w:sz w:val="32"/>
          <w:szCs w:val="32"/>
          <w:lang w:val="en-US" w:eastAsia="zh-CN"/>
        </w:rPr>
        <w:t>五</w:t>
      </w:r>
      <w:r>
        <w:rPr>
          <w:rStyle w:val="18"/>
          <w:rFonts w:hint="eastAsia" w:ascii="楷体_GB2312" w:hAnsi="楷体_GB2312" w:eastAsia="楷体_GB2312" w:cs="楷体_GB2312"/>
          <w:b w:val="0"/>
          <w:bCs w:val="0"/>
          <w:spacing w:val="-4"/>
          <w:sz w:val="32"/>
          <w:szCs w:val="32"/>
        </w:rPr>
        <w:t>）项目效益情况</w:t>
      </w:r>
    </w:p>
    <w:p w14:paraId="01E7603E">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w:t>
      </w:r>
      <w:r>
        <w:rPr>
          <w:rStyle w:val="18"/>
          <w:rFonts w:hint="eastAsia" w:ascii="楷体_GB2312" w:hAnsi="楷体_GB2312" w:eastAsia="楷体_GB2312" w:cs="楷体_GB2312"/>
          <w:b w:val="0"/>
          <w:bCs w:val="0"/>
          <w:spacing w:val="-4"/>
          <w:sz w:val="32"/>
          <w:szCs w:val="32"/>
          <w:lang w:val="en-US" w:eastAsia="zh-CN"/>
        </w:rPr>
        <w:t>六</w:t>
      </w:r>
      <w:r>
        <w:rPr>
          <w:rStyle w:val="18"/>
          <w:rFonts w:hint="eastAsia" w:ascii="楷体_GB2312" w:hAnsi="楷体_GB2312" w:eastAsia="楷体_GB2312" w:cs="楷体_GB2312"/>
          <w:b w:val="0"/>
          <w:bCs w:val="0"/>
          <w:spacing w:val="-4"/>
          <w:sz w:val="32"/>
          <w:szCs w:val="32"/>
        </w:rPr>
        <w:t>）</w:t>
      </w:r>
      <w:r>
        <w:rPr>
          <w:rStyle w:val="18"/>
          <w:rFonts w:hint="eastAsia" w:ascii="楷体_GB2312" w:hAnsi="楷体_GB2312" w:eastAsia="楷体_GB2312" w:cs="楷体_GB2312"/>
          <w:b w:val="0"/>
          <w:bCs w:val="0"/>
          <w:spacing w:val="-4"/>
          <w:sz w:val="32"/>
          <w:szCs w:val="32"/>
          <w:lang w:eastAsia="zh-CN"/>
        </w:rPr>
        <w:t>满意度</w:t>
      </w:r>
      <w:r>
        <w:rPr>
          <w:rStyle w:val="18"/>
          <w:rFonts w:hint="eastAsia" w:ascii="楷体_GB2312" w:hAnsi="楷体_GB2312" w:eastAsia="楷体_GB2312" w:cs="楷体_GB2312"/>
          <w:b w:val="0"/>
          <w:bCs w:val="0"/>
          <w:spacing w:val="-4"/>
          <w:sz w:val="32"/>
          <w:szCs w:val="32"/>
        </w:rPr>
        <w:t>情况</w:t>
      </w:r>
    </w:p>
    <w:p w14:paraId="492AA19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spacing w:val="-4"/>
          <w:sz w:val="32"/>
          <w:szCs w:val="32"/>
        </w:rPr>
      </w:pPr>
      <w:r>
        <w:rPr>
          <w:rStyle w:val="18"/>
          <w:rFonts w:hint="eastAsia" w:ascii="楷体" w:hAnsi="楷体" w:eastAsia="仿宋_GB2312"/>
          <w:b w:val="0"/>
          <w:bCs w:val="0"/>
          <w:spacing w:val="-4"/>
          <w:sz w:val="32"/>
          <w:szCs w:val="32"/>
        </w:rPr>
        <w:t>“融媒体中心工作人员满意度”指标，满分8分，得分8分，得分率100%。“融媒体中心工作人员满意度”指标，预期指标值为“≥99%”，根据能够证明指标完成值的资料可知，实际完成99%，指标完成率为100%。</w:t>
      </w:r>
    </w:p>
    <w:p w14:paraId="2C37F0CC">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lang w:val="en-US" w:eastAsia="zh-CN"/>
        </w:rPr>
        <w:t>五</w:t>
      </w:r>
      <w:r>
        <w:rPr>
          <w:rStyle w:val="18"/>
          <w:rFonts w:hint="eastAsia" w:ascii="黑体" w:hAnsi="黑体" w:eastAsia="黑体" w:cs="黑体"/>
          <w:b w:val="0"/>
          <w:spacing w:val="-4"/>
          <w:sz w:val="32"/>
          <w:szCs w:val="32"/>
        </w:rPr>
        <w:t>、主要经验及做法、存在的问题及原因分析</w:t>
      </w:r>
    </w:p>
    <w:p w14:paraId="3B1677AA">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Fonts w:ascii="仿宋_GB2312" w:eastAsia="仿宋_GB2312"/>
          <w:spacing w:val="-4"/>
          <w:sz w:val="32"/>
          <w:szCs w:val="32"/>
        </w:rPr>
      </w:pPr>
      <w:r>
        <w:rPr>
          <w:rStyle w:val="18"/>
          <w:rFonts w:hint="eastAsia" w:ascii="楷体_GB2312" w:hAnsi="楷体_GB2312" w:eastAsia="楷体_GB2312" w:cs="楷体_GB2312"/>
          <w:b w:val="0"/>
          <w:bCs w:val="0"/>
          <w:spacing w:val="-4"/>
          <w:sz w:val="32"/>
          <w:szCs w:val="32"/>
        </w:rPr>
        <w:t>（一）主要经验及做法</w:t>
      </w:r>
      <w:r>
        <w:rPr>
          <w:rStyle w:val="18"/>
          <w:rFonts w:hint="eastAsia" w:ascii="楷体_GB2312" w:hAnsi="楷体_GB2312" w:eastAsia="楷体_GB2312" w:cs="楷体_GB2312"/>
          <w:b w:val="0"/>
          <w:bCs w:val="0"/>
          <w:spacing w:val="-4"/>
          <w:sz w:val="32"/>
          <w:szCs w:val="32"/>
        </w:rPr>
        <w:br w:type="textWrapping"/>
      </w:r>
      <w:r>
        <w:rPr>
          <w:rStyle w:val="18"/>
          <w:rFonts w:hint="eastAsia" w:ascii="楷体" w:hAnsi="楷体" w:eastAsia="仿宋_GB2312"/>
          <w:b w:val="0"/>
          <w:bCs w:val="0"/>
          <w:spacing w:val="-4"/>
          <w:sz w:val="32"/>
          <w:szCs w:val="32"/>
        </w:rPr>
        <w:t>一是建立高效决策机制，明确决策责任与权限，明确相关人员的决策责任与权限，确保决策能够快速、准确地做出，避免决策拖延或责任不清。设立项目管理小组，根据项目规模和复杂性，设立专门的项目管理小组，负责项目的重大决策，确保决策的专业性和高效性。</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三是加强决策沟通与协调。促进信息共享，建立有效的信息共享机制，确保决策所需的信息能够及时、准确地传递给相关人员。强化跨部门沟通，加强项目实施部门内部及与其他部门之间的沟通，确保决策过程中各方意见得到充分表达和讨论。1.工作人员对相关法律法规、行业发展规划、政策要求以及其他相关规章制度认识不深、业务能力和素质还有待进一步提升。</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rPr>
        <w:t>2.预算管理需完善，预算需进一步细化和明确。</w:t>
      </w:r>
    </w:p>
    <w:p w14:paraId="6EDF24A4">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六、有关建议</w:t>
      </w:r>
    </w:p>
    <w:p w14:paraId="3E31463B">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spacing w:val="-4"/>
          <w:sz w:val="32"/>
          <w:szCs w:val="32"/>
        </w:rPr>
      </w:pPr>
      <w:r>
        <w:rPr>
          <w:rStyle w:val="18"/>
          <w:rFonts w:hint="eastAsia" w:ascii="楷体" w:hAnsi="楷体" w:eastAsia="仿宋_GB2312"/>
          <w:b w:val="0"/>
          <w:bCs w:val="0"/>
          <w:spacing w:val="-4"/>
          <w:sz w:val="32"/>
          <w:szCs w:val="32"/>
        </w:rPr>
        <w:t>1.采取多种培训形式对相关人员进行集中培训，提高相关人员工作水平。</w:t>
      </w:r>
      <w:r>
        <w:rPr>
          <w:rStyle w:val="18"/>
          <w:rFonts w:hint="eastAsia" w:ascii="楷体" w:hAnsi="楷体" w:eastAsia="仿宋_GB2312"/>
          <w:b w:val="0"/>
          <w:bCs w:val="0"/>
          <w:spacing w:val="-4"/>
          <w:sz w:val="32"/>
          <w:szCs w:val="32"/>
        </w:rPr>
        <w:br w:type="textWrapping"/>
      </w:r>
      <w:r>
        <w:rPr>
          <w:rStyle w:val="18"/>
          <w:rFonts w:hint="eastAsia" w:ascii="楷体" w:hAnsi="楷体" w:eastAsia="仿宋_GB2312"/>
          <w:b w:val="0"/>
          <w:bCs w:val="0"/>
          <w:spacing w:val="-4"/>
          <w:sz w:val="32"/>
          <w:szCs w:val="32"/>
          <w:lang w:val="en-US" w:eastAsia="zh-CN"/>
        </w:rPr>
        <w:t xml:space="preserve">  </w:t>
      </w:r>
      <w:r>
        <w:rPr>
          <w:rStyle w:val="18"/>
          <w:rFonts w:hint="eastAsia" w:ascii="楷体" w:hAnsi="楷体" w:eastAsia="仿宋_GB2312"/>
          <w:b w:val="0"/>
          <w:bCs w:val="0"/>
          <w:spacing w:val="-4"/>
          <w:sz w:val="32"/>
          <w:szCs w:val="32"/>
        </w:rPr>
        <w:t>2.健全工作机制，深化预算管理，健全部门预算体系，细化预算编制，强化预算编制和</w:t>
      </w:r>
      <w:r>
        <w:rPr>
          <w:rStyle w:val="18"/>
          <w:rFonts w:hint="eastAsia" w:ascii="楷体" w:hAnsi="楷体" w:eastAsia="仿宋_GB2312"/>
          <w:b w:val="0"/>
          <w:bCs w:val="0"/>
          <w:spacing w:val="-4"/>
          <w:sz w:val="32"/>
          <w:szCs w:val="32"/>
          <w:lang w:eastAsia="zh-CN"/>
        </w:rPr>
        <w:t>执行</w:t>
      </w:r>
      <w:r>
        <w:rPr>
          <w:rStyle w:val="18"/>
          <w:rFonts w:hint="eastAsia" w:ascii="楷体" w:hAnsi="楷体" w:eastAsia="仿宋_GB2312"/>
          <w:b w:val="0"/>
          <w:bCs w:val="0"/>
          <w:spacing w:val="-4"/>
          <w:sz w:val="32"/>
          <w:szCs w:val="32"/>
        </w:rPr>
        <w:t>环节的有效衔接。</w:t>
      </w:r>
    </w:p>
    <w:p w14:paraId="05A86E9F">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七、其他需要说明的问题</w:t>
      </w:r>
    </w:p>
    <w:p w14:paraId="5333023D">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hint="eastAsia" w:ascii="楷体" w:hAnsi="楷体" w:eastAsia="仿宋_GB2312"/>
          <w:b w:val="0"/>
          <w:bCs w:val="0"/>
          <w:spacing w:val="-4"/>
          <w:sz w:val="32"/>
          <w:szCs w:val="32"/>
        </w:rPr>
      </w:pPr>
      <w:r>
        <w:rPr>
          <w:rStyle w:val="18"/>
          <w:rFonts w:hint="eastAsia" w:ascii="楷体" w:hAnsi="楷体" w:eastAsia="仿宋_GB2312"/>
          <w:b w:val="0"/>
          <w:bCs w:val="0"/>
          <w:spacing w:val="-4"/>
          <w:sz w:val="32"/>
          <w:szCs w:val="32"/>
        </w:rPr>
        <w:t>无</w:t>
      </w:r>
    </w:p>
    <w:p w14:paraId="356923A2">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仿宋" w:hAnsi="仿宋" w:eastAsia="仿宋_GB2312"/>
          <w:b w:val="0"/>
          <w:spacing w:val="-4"/>
          <w:sz w:val="32"/>
          <w:szCs w:val="32"/>
        </w:rPr>
      </w:pPr>
    </w:p>
    <w:p w14:paraId="607BC821">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仿宋" w:hAnsi="仿宋" w:eastAsia="仿宋_GB2312"/>
          <w:b w:val="0"/>
          <w:spacing w:val="-4"/>
          <w:sz w:val="32"/>
          <w:szCs w:val="32"/>
        </w:rPr>
      </w:pPr>
    </w:p>
    <w:p w14:paraId="4277B510">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仿宋" w:hAnsi="仿宋" w:eastAsia="仿宋_GB2312"/>
          <w:b w:val="0"/>
          <w:spacing w:val="-4"/>
          <w:sz w:val="32"/>
          <w:szCs w:val="32"/>
        </w:rPr>
      </w:pPr>
    </w:p>
    <w:p w14:paraId="435252EE">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仿宋" w:hAnsi="仿宋" w:eastAsia="仿宋_GB2312"/>
          <w:b w:val="0"/>
          <w:spacing w:val="-4"/>
          <w:sz w:val="32"/>
          <w:szCs w:val="32"/>
        </w:rPr>
      </w:pPr>
    </w:p>
    <w:p w14:paraId="5810697A">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both"/>
        <w:textAlignment w:val="auto"/>
        <w:rPr>
          <w:rStyle w:val="18"/>
          <w:rFonts w:ascii="仿宋" w:hAnsi="仿宋" w:eastAsia="仿宋_GB2312"/>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CE5773E">
        <w:pPr>
          <w:pStyle w:val="12"/>
          <w:jc w:val="center"/>
        </w:pPr>
        <w:r>
          <w:fldChar w:fldCharType="begin"/>
        </w:r>
        <w:r>
          <w:instrText xml:space="preserve">PAGE   \* MERGEFORMAT</w:instrText>
        </w:r>
        <w:r>
          <w:fldChar w:fldCharType="separate"/>
        </w:r>
        <w:r>
          <w:rPr>
            <w:lang w:val="zh-CN"/>
          </w:rPr>
          <w:t>1</w:t>
        </w:r>
        <w:r>
          <w:fldChar w:fldCharType="end"/>
        </w:r>
      </w:p>
    </w:sdtContent>
  </w:sdt>
  <w:p w14:paraId="0EA18B7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8846D">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A0C4E15"/>
    <w:rsid w:val="3029612C"/>
    <w:rsid w:val="32A221C5"/>
    <w:rsid w:val="33F20F2A"/>
    <w:rsid w:val="34C44675"/>
    <w:rsid w:val="36B82B23"/>
    <w:rsid w:val="3B5B5607"/>
    <w:rsid w:val="3CE21B3C"/>
    <w:rsid w:val="3F6F02E8"/>
    <w:rsid w:val="4D2606A1"/>
    <w:rsid w:val="4F8A611E"/>
    <w:rsid w:val="51830480"/>
    <w:rsid w:val="51EB6428"/>
    <w:rsid w:val="53A616BE"/>
    <w:rsid w:val="54662BFB"/>
    <w:rsid w:val="55970B6E"/>
    <w:rsid w:val="565463EF"/>
    <w:rsid w:val="62051CA5"/>
    <w:rsid w:val="6772621F"/>
    <w:rsid w:val="67D65A96"/>
    <w:rsid w:val="6AFF5B4D"/>
    <w:rsid w:val="6C33576A"/>
    <w:rsid w:val="6C3A69EF"/>
    <w:rsid w:val="6D3D1E86"/>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5521</Words>
  <Characters>5798</Characters>
  <Lines>5</Lines>
  <Paragraphs>1</Paragraphs>
  <TotalTime>25</TotalTime>
  <ScaleCrop>false</ScaleCrop>
  <LinksUpToDate>false</LinksUpToDate>
  <CharactersWithSpaces>5895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2025-11-06T03:15:00Z</cp:lastPrinted>
  <dcterms:modified xsi:type="dcterms:W3CDTF">2025-11-08T07:31:44Z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