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6C8E0C">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62126EBE">
      <w:pPr>
        <w:spacing w:line="540" w:lineRule="exact"/>
        <w:jc w:val="center"/>
        <w:rPr>
          <w:rFonts w:ascii="华文中宋" w:hAnsi="华文中宋" w:eastAsia="华文中宋" w:cs="宋体"/>
          <w:b/>
          <w:kern w:val="0"/>
          <w:sz w:val="52"/>
          <w:szCs w:val="52"/>
        </w:rPr>
      </w:pPr>
    </w:p>
    <w:p w14:paraId="0A2B35B5">
      <w:pPr>
        <w:spacing w:line="540" w:lineRule="exact"/>
        <w:jc w:val="center"/>
        <w:rPr>
          <w:rFonts w:ascii="华文中宋" w:hAnsi="华文中宋" w:eastAsia="华文中宋" w:cs="宋体"/>
          <w:b/>
          <w:kern w:val="0"/>
          <w:sz w:val="52"/>
          <w:szCs w:val="52"/>
        </w:rPr>
      </w:pPr>
    </w:p>
    <w:p w14:paraId="3E3ED8FE">
      <w:pPr>
        <w:spacing w:line="540" w:lineRule="exact"/>
        <w:jc w:val="center"/>
        <w:rPr>
          <w:rFonts w:ascii="华文中宋" w:hAnsi="华文中宋" w:eastAsia="华文中宋" w:cs="宋体"/>
          <w:b/>
          <w:kern w:val="0"/>
          <w:sz w:val="52"/>
          <w:szCs w:val="52"/>
        </w:rPr>
      </w:pPr>
    </w:p>
    <w:p w14:paraId="7824F357">
      <w:pPr>
        <w:spacing w:line="540" w:lineRule="exact"/>
        <w:jc w:val="center"/>
        <w:rPr>
          <w:rFonts w:hint="eastAsia" w:ascii="华文中宋" w:hAnsi="华文中宋" w:eastAsia="华文中宋" w:cs="宋体"/>
          <w:b/>
          <w:kern w:val="0"/>
          <w:sz w:val="52"/>
          <w:szCs w:val="52"/>
          <w:lang w:eastAsia="zh-CN"/>
        </w:rPr>
      </w:pPr>
    </w:p>
    <w:p w14:paraId="5F47C6F3">
      <w:pPr>
        <w:spacing w:line="540" w:lineRule="exact"/>
        <w:jc w:val="center"/>
        <w:rPr>
          <w:rFonts w:ascii="华文中宋" w:hAnsi="华文中宋" w:eastAsia="华文中宋" w:cs="宋体"/>
          <w:b/>
          <w:kern w:val="0"/>
          <w:sz w:val="52"/>
          <w:szCs w:val="52"/>
        </w:rPr>
      </w:pPr>
    </w:p>
    <w:p w14:paraId="3A228935">
      <w:pPr>
        <w:spacing w:line="540" w:lineRule="exact"/>
        <w:jc w:val="center"/>
        <w:rPr>
          <w:rFonts w:ascii="华文中宋" w:hAnsi="华文中宋" w:eastAsia="华文中宋" w:cs="宋体"/>
          <w:b/>
          <w:kern w:val="0"/>
          <w:sz w:val="52"/>
          <w:szCs w:val="52"/>
        </w:rPr>
      </w:pPr>
    </w:p>
    <w:p w14:paraId="06125D19">
      <w:pPr>
        <w:spacing w:line="540" w:lineRule="exact"/>
        <w:jc w:val="center"/>
        <w:rPr>
          <w:rFonts w:hint="eastAsia" w:ascii="方正小标宋_GBK" w:hAnsi="华文中宋" w:eastAsia="方正小标宋_GBK" w:cs="宋体"/>
          <w:b/>
          <w:bCs w:val="0"/>
          <w:kern w:val="0"/>
          <w:sz w:val="60"/>
          <w:szCs w:val="60"/>
        </w:rPr>
      </w:pPr>
      <w:r>
        <w:rPr>
          <w:rFonts w:hint="eastAsia" w:ascii="方正小标宋_GBK" w:hAnsi="华文中宋" w:eastAsia="方正小标宋_GBK" w:cs="宋体"/>
          <w:b/>
          <w:bCs w:val="0"/>
          <w:kern w:val="0"/>
          <w:sz w:val="60"/>
          <w:szCs w:val="60"/>
        </w:rPr>
        <w:t>项目支出绩效自评报告</w:t>
      </w:r>
    </w:p>
    <w:p w14:paraId="756FAEDA">
      <w:pPr>
        <w:spacing w:line="540" w:lineRule="exact"/>
        <w:jc w:val="center"/>
        <w:rPr>
          <w:rFonts w:hint="eastAsia" w:ascii="黑体" w:hAnsi="黑体" w:eastAsia="黑体" w:cs="黑体"/>
          <w:b/>
          <w:kern w:val="0"/>
          <w:sz w:val="56"/>
          <w:szCs w:val="56"/>
        </w:rPr>
      </w:pPr>
    </w:p>
    <w:p w14:paraId="0C9C67FA">
      <w:pPr>
        <w:spacing w:line="540" w:lineRule="exact"/>
        <w:jc w:val="center"/>
        <w:rPr>
          <w:rFonts w:hint="eastAsia" w:ascii="楷体" w:hAnsi="楷体" w:eastAsia="楷体" w:cs="楷体"/>
          <w:kern w:val="0"/>
          <w:sz w:val="32"/>
          <w:szCs w:val="32"/>
        </w:rPr>
      </w:pPr>
      <w:r>
        <w:rPr>
          <w:rFonts w:hint="eastAsia" w:ascii="楷体" w:hAnsi="楷体" w:eastAsia="楷体" w:cs="楷体"/>
          <w:kern w:val="0"/>
          <w:sz w:val="32"/>
          <w:szCs w:val="32"/>
        </w:rPr>
        <w:t xml:space="preserve">（   </w:t>
      </w:r>
      <w:r>
        <w:rPr>
          <w:rStyle w:val="19"/>
          <w:rFonts w:hint="eastAsia" w:ascii="楷体" w:hAnsi="楷体" w:eastAsia="楷体" w:cs="楷体"/>
          <w:spacing w:val="-4"/>
          <w:sz w:val="32"/>
          <w:szCs w:val="32"/>
        </w:rPr>
        <w:t>2024</w:t>
      </w:r>
      <w:r>
        <w:rPr>
          <w:rFonts w:hint="eastAsia" w:ascii="楷体" w:hAnsi="楷体" w:eastAsia="楷体" w:cs="楷体"/>
          <w:kern w:val="0"/>
          <w:sz w:val="32"/>
          <w:szCs w:val="32"/>
        </w:rPr>
        <w:t xml:space="preserve">  年度）</w:t>
      </w:r>
    </w:p>
    <w:p w14:paraId="4E239FDA">
      <w:pPr>
        <w:spacing w:line="540" w:lineRule="exact"/>
        <w:jc w:val="center"/>
        <w:rPr>
          <w:rFonts w:hint="eastAsia" w:ascii="黑体" w:hAnsi="黑体" w:eastAsia="黑体" w:cs="黑体"/>
          <w:kern w:val="0"/>
          <w:sz w:val="32"/>
          <w:szCs w:val="32"/>
        </w:rPr>
      </w:pPr>
    </w:p>
    <w:p w14:paraId="60305620">
      <w:pPr>
        <w:spacing w:line="540" w:lineRule="exact"/>
        <w:jc w:val="center"/>
        <w:rPr>
          <w:rFonts w:hint="eastAsia" w:ascii="黑体" w:hAnsi="黑体" w:eastAsia="黑体" w:cs="黑体"/>
          <w:kern w:val="0"/>
          <w:sz w:val="32"/>
          <w:szCs w:val="32"/>
        </w:rPr>
      </w:pPr>
    </w:p>
    <w:p w14:paraId="6ED26305">
      <w:pPr>
        <w:spacing w:line="540" w:lineRule="exact"/>
        <w:jc w:val="center"/>
        <w:rPr>
          <w:rFonts w:hint="eastAsia" w:ascii="黑体" w:hAnsi="黑体" w:eastAsia="黑体" w:cs="黑体"/>
          <w:kern w:val="0"/>
          <w:sz w:val="32"/>
          <w:szCs w:val="32"/>
        </w:rPr>
      </w:pPr>
    </w:p>
    <w:p w14:paraId="0BC75A51">
      <w:pPr>
        <w:spacing w:line="540" w:lineRule="exact"/>
        <w:jc w:val="center"/>
        <w:rPr>
          <w:rFonts w:hint="eastAsia" w:ascii="黑体" w:hAnsi="黑体" w:eastAsia="黑体" w:cs="黑体"/>
          <w:kern w:val="0"/>
          <w:sz w:val="32"/>
          <w:szCs w:val="32"/>
        </w:rPr>
      </w:pPr>
    </w:p>
    <w:p w14:paraId="76CD4315">
      <w:pPr>
        <w:spacing w:line="540" w:lineRule="exact"/>
        <w:jc w:val="center"/>
        <w:rPr>
          <w:rFonts w:hint="eastAsia" w:ascii="黑体" w:hAnsi="黑体" w:eastAsia="黑体" w:cs="黑体"/>
          <w:kern w:val="0"/>
          <w:sz w:val="32"/>
          <w:szCs w:val="32"/>
        </w:rPr>
      </w:pPr>
    </w:p>
    <w:p w14:paraId="5FE2D587">
      <w:pPr>
        <w:spacing w:line="540" w:lineRule="exact"/>
        <w:jc w:val="center"/>
        <w:rPr>
          <w:rFonts w:hint="eastAsia" w:ascii="黑体" w:hAnsi="黑体" w:eastAsia="黑体" w:cs="黑体"/>
          <w:kern w:val="0"/>
          <w:sz w:val="32"/>
          <w:szCs w:val="32"/>
        </w:rPr>
      </w:pPr>
    </w:p>
    <w:p w14:paraId="06F97142">
      <w:pPr>
        <w:spacing w:line="540" w:lineRule="exact"/>
        <w:rPr>
          <w:rFonts w:hint="eastAsia" w:ascii="黑体" w:hAnsi="黑体" w:eastAsia="黑体" w:cs="黑体"/>
          <w:kern w:val="0"/>
          <w:sz w:val="32"/>
          <w:szCs w:val="32"/>
        </w:rPr>
      </w:pPr>
    </w:p>
    <w:p w14:paraId="063737EB">
      <w:pPr>
        <w:spacing w:line="700" w:lineRule="exact"/>
        <w:jc w:val="left"/>
        <w:rPr>
          <w:rFonts w:hint="eastAsia" w:ascii="黑体" w:hAnsi="黑体" w:eastAsia="黑体" w:cs="黑体"/>
          <w:kern w:val="0"/>
          <w:sz w:val="40"/>
          <w:szCs w:val="40"/>
        </w:rPr>
      </w:pPr>
      <w:r>
        <w:rPr>
          <w:rFonts w:hint="eastAsia" w:ascii="黑体" w:hAnsi="黑体" w:eastAsia="黑体" w:cs="黑体"/>
          <w:kern w:val="0"/>
          <w:sz w:val="40"/>
          <w:szCs w:val="40"/>
        </w:rPr>
        <w:t xml:space="preserve">     </w:t>
      </w:r>
    </w:p>
    <w:p w14:paraId="3419FE92">
      <w:pPr>
        <w:spacing w:line="700" w:lineRule="exact"/>
        <w:ind w:firstLine="720" w:firstLineChars="200"/>
        <w:jc w:val="left"/>
        <w:rPr>
          <w:rFonts w:hint="eastAsia" w:ascii="楷体" w:hAnsi="楷体" w:eastAsia="楷体" w:cs="楷体"/>
          <w:b w:val="0"/>
          <w:bCs w:val="0"/>
          <w:kern w:val="0"/>
          <w:sz w:val="40"/>
          <w:szCs w:val="40"/>
        </w:rPr>
      </w:pPr>
      <w:r>
        <w:rPr>
          <w:rFonts w:hint="eastAsia" w:hAnsi="宋体" w:eastAsia="仿宋_GB2312" w:cs="宋体"/>
          <w:kern w:val="0"/>
          <w:sz w:val="36"/>
          <w:szCs w:val="36"/>
        </w:rPr>
        <w:t>项目名称：</w:t>
      </w:r>
      <w:r>
        <w:rPr>
          <w:rStyle w:val="19"/>
          <w:rFonts w:hint="eastAsia" w:ascii="楷体" w:hAnsi="楷体" w:eastAsia="楷体" w:cs="楷体"/>
          <w:b w:val="0"/>
          <w:bCs w:val="0"/>
          <w:spacing w:val="-4"/>
          <w:sz w:val="36"/>
          <w:szCs w:val="36"/>
        </w:rPr>
        <w:t>第五次全国经济普查经费</w:t>
      </w:r>
    </w:p>
    <w:p w14:paraId="7D785ED4">
      <w:pPr>
        <w:spacing w:line="540" w:lineRule="exact"/>
        <w:ind w:firstLine="720" w:firstLineChars="200"/>
        <w:jc w:val="left"/>
        <w:rPr>
          <w:rStyle w:val="19"/>
          <w:rFonts w:hint="eastAsia" w:ascii="楷体" w:hAnsi="楷体" w:eastAsia="楷体" w:cs="楷体"/>
          <w:b w:val="0"/>
          <w:bCs w:val="0"/>
          <w:spacing w:val="-4"/>
          <w:sz w:val="36"/>
          <w:szCs w:val="36"/>
        </w:rPr>
      </w:pPr>
      <w:r>
        <w:rPr>
          <w:rFonts w:hint="eastAsia" w:hAnsi="宋体" w:eastAsia="仿宋_GB2312" w:cs="宋体"/>
          <w:kern w:val="0"/>
          <w:sz w:val="36"/>
          <w:szCs w:val="36"/>
        </w:rPr>
        <w:t>实施单位（公章）：</w:t>
      </w:r>
      <w:r>
        <w:rPr>
          <w:rStyle w:val="19"/>
          <w:rFonts w:hint="eastAsia" w:ascii="楷体" w:hAnsi="楷体" w:eastAsia="楷体" w:cs="楷体"/>
          <w:b w:val="0"/>
          <w:bCs w:val="0"/>
          <w:spacing w:val="-4"/>
          <w:sz w:val="36"/>
          <w:szCs w:val="36"/>
        </w:rPr>
        <w:t>哈密市伊州区统计局</w:t>
      </w:r>
    </w:p>
    <w:p w14:paraId="13161B34">
      <w:pPr>
        <w:spacing w:line="540" w:lineRule="exact"/>
        <w:ind w:firstLine="720" w:firstLineChars="200"/>
        <w:jc w:val="left"/>
        <w:rPr>
          <w:rStyle w:val="19"/>
          <w:rFonts w:hint="eastAsia" w:ascii="楷体" w:hAnsi="楷体" w:eastAsia="楷体" w:cs="楷体"/>
          <w:b w:val="0"/>
          <w:bCs w:val="0"/>
          <w:spacing w:val="-4"/>
          <w:sz w:val="36"/>
          <w:szCs w:val="36"/>
        </w:rPr>
      </w:pPr>
      <w:r>
        <w:rPr>
          <w:rFonts w:hint="eastAsia" w:hAnsi="宋体" w:eastAsia="仿宋_GB2312" w:cs="宋体"/>
          <w:b w:val="0"/>
          <w:bCs w:val="0"/>
          <w:kern w:val="0"/>
          <w:sz w:val="36"/>
          <w:szCs w:val="36"/>
        </w:rPr>
        <w:t>主管部门（公章）：</w:t>
      </w:r>
      <w:r>
        <w:rPr>
          <w:rStyle w:val="19"/>
          <w:rFonts w:hint="eastAsia" w:ascii="楷体" w:hAnsi="楷体" w:eastAsia="楷体" w:cs="楷体"/>
          <w:b w:val="0"/>
          <w:bCs w:val="0"/>
          <w:spacing w:val="-4"/>
          <w:sz w:val="36"/>
          <w:szCs w:val="36"/>
        </w:rPr>
        <w:t>哈密市伊州区统计局</w:t>
      </w:r>
    </w:p>
    <w:p w14:paraId="229A8C0C">
      <w:pPr>
        <w:spacing w:line="540" w:lineRule="exact"/>
        <w:ind w:firstLine="720" w:firstLineChars="200"/>
        <w:jc w:val="left"/>
        <w:rPr>
          <w:rStyle w:val="19"/>
          <w:rFonts w:hint="eastAsia" w:ascii="楷体" w:hAnsi="楷体" w:eastAsia="楷体" w:cs="楷体"/>
          <w:b w:val="0"/>
          <w:bCs w:val="0"/>
          <w:spacing w:val="-4"/>
          <w:sz w:val="36"/>
          <w:szCs w:val="36"/>
        </w:rPr>
      </w:pPr>
      <w:r>
        <w:rPr>
          <w:rFonts w:hint="eastAsia" w:hAnsi="宋体" w:eastAsia="仿宋_GB2312" w:cs="宋体"/>
          <w:b w:val="0"/>
          <w:bCs w:val="0"/>
          <w:kern w:val="0"/>
          <w:sz w:val="36"/>
          <w:szCs w:val="36"/>
        </w:rPr>
        <w:t>项目负责人（签章）：</w:t>
      </w:r>
      <w:r>
        <w:rPr>
          <w:rStyle w:val="19"/>
          <w:rFonts w:hint="eastAsia" w:ascii="楷体" w:hAnsi="楷体" w:eastAsia="楷体" w:cs="楷体"/>
          <w:b w:val="0"/>
          <w:bCs w:val="0"/>
          <w:spacing w:val="-4"/>
          <w:sz w:val="36"/>
          <w:szCs w:val="36"/>
        </w:rPr>
        <w:t>常明娟</w:t>
      </w:r>
    </w:p>
    <w:p w14:paraId="1B863D80">
      <w:pPr>
        <w:spacing w:line="540" w:lineRule="exact"/>
        <w:ind w:firstLine="720" w:firstLineChars="200"/>
        <w:jc w:val="left"/>
        <w:rPr>
          <w:rStyle w:val="19"/>
          <w:rFonts w:hint="eastAsia" w:ascii="楷体" w:hAnsi="楷体" w:eastAsia="楷体" w:cs="楷体"/>
          <w:b w:val="0"/>
          <w:bCs w:val="0"/>
          <w:spacing w:val="-4"/>
          <w:sz w:val="36"/>
          <w:szCs w:val="36"/>
        </w:rPr>
      </w:pPr>
      <w:r>
        <w:rPr>
          <w:rFonts w:hint="eastAsia" w:hAnsi="宋体" w:eastAsia="仿宋_GB2312" w:cs="宋体"/>
          <w:b w:val="0"/>
          <w:bCs w:val="0"/>
          <w:kern w:val="0"/>
          <w:sz w:val="36"/>
          <w:szCs w:val="36"/>
        </w:rPr>
        <w:t>填报时间：</w:t>
      </w:r>
      <w:r>
        <w:rPr>
          <w:rStyle w:val="19"/>
          <w:rFonts w:hint="eastAsia" w:ascii="楷体" w:hAnsi="楷体" w:eastAsia="楷体" w:cs="楷体"/>
          <w:b w:val="0"/>
          <w:bCs w:val="0"/>
          <w:spacing w:val="-4"/>
          <w:sz w:val="36"/>
          <w:szCs w:val="36"/>
        </w:rPr>
        <w:t>2025年05月16日</w:t>
      </w:r>
    </w:p>
    <w:p w14:paraId="0C614883">
      <w:pPr>
        <w:spacing w:line="540" w:lineRule="exact"/>
        <w:rPr>
          <w:rStyle w:val="19"/>
          <w:rFonts w:ascii="黑体" w:hAnsi="黑体" w:eastAsia="黑体"/>
          <w:b w:val="0"/>
          <w:spacing w:val="-4"/>
          <w:sz w:val="32"/>
          <w:szCs w:val="32"/>
        </w:rPr>
      </w:pPr>
    </w:p>
    <w:p w14:paraId="68EBEC31">
      <w:pPr>
        <w:spacing w:line="540" w:lineRule="exact"/>
        <w:rPr>
          <w:rStyle w:val="19"/>
          <w:rFonts w:ascii="黑体" w:hAnsi="黑体" w:eastAsia="黑体"/>
          <w:b w:val="0"/>
          <w:spacing w:val="-4"/>
          <w:sz w:val="32"/>
          <w:szCs w:val="32"/>
        </w:rPr>
      </w:pPr>
      <w:bookmarkStart w:id="0" w:name="_GoBack"/>
      <w:bookmarkEnd w:id="0"/>
    </w:p>
    <w:p w14:paraId="6A953A24">
      <w:pPr>
        <w:spacing w:line="54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4260B164">
      <w:pPr>
        <w:spacing w:line="540" w:lineRule="exact"/>
        <w:ind w:firstLine="567"/>
        <w:jc w:val="left"/>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14:paraId="7A3ADDDE">
      <w:pPr>
        <w:spacing w:line="540" w:lineRule="exact"/>
        <w:ind w:left="319" w:leftChars="152" w:firstLine="530" w:firstLineChars="17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p>
    <w:p w14:paraId="269EAF28">
      <w:pPr>
        <w:spacing w:line="540" w:lineRule="exact"/>
        <w:ind w:left="319" w:leftChars="152" w:firstLine="530" w:firstLineChars="17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规定，经济普查每十年开展两次，分别在逢3、逢8的年份开展。因此在2023年度国家统计局开展第五</w:t>
      </w:r>
      <w:r>
        <w:rPr>
          <w:rStyle w:val="19"/>
          <w:rFonts w:hint="eastAsia" w:ascii="楷体" w:hAnsi="楷体" w:eastAsia="楷体"/>
          <w:b w:val="0"/>
          <w:bCs w:val="0"/>
          <w:spacing w:val="-4"/>
          <w:sz w:val="32"/>
          <w:szCs w:val="32"/>
          <w:lang w:val="en-US" w:eastAsia="zh-CN"/>
        </w:rPr>
        <w:t>次</w:t>
      </w:r>
      <w:r>
        <w:rPr>
          <w:rStyle w:val="19"/>
          <w:rFonts w:hint="eastAsia" w:ascii="楷体" w:hAnsi="楷体" w:eastAsia="楷体"/>
          <w:b w:val="0"/>
          <w:bCs w:val="0"/>
          <w:spacing w:val="-4"/>
          <w:sz w:val="32"/>
          <w:szCs w:val="32"/>
        </w:rPr>
        <w:t>全国经济普查活动。通过全区的经济普查有利于全面把握我区经济“家底”，更好服务推进中国式现代化，为经济社会发展状况进行一次“全面体检”，为科学制定规划、扎实推进中国式现代化提供重要参考依据。有利于准确把握新时代经济社会发展特征，全面把握经济总量、结构变化以及推动高质量发展、构建新发展格局等方面的新进展，推动经济实现质的有效提升和量的合理增长。有利于进一步加强和改善宏观调控，采取更加精准有效的政策措施，推动经济运行持续好转、内生动力持续增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2.主要内容及实施情况</w:t>
      </w:r>
    </w:p>
    <w:p w14:paraId="6CE2C078">
      <w:pPr>
        <w:spacing w:line="540" w:lineRule="exact"/>
        <w:ind w:left="319" w:leftChars="152" w:firstLine="530" w:firstLineChars="17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第五次全国经济普查将对我国境内外第二产业和第三产业进行全面调查，2022年度启动普查筹备工作，截止2023年12月31日我单位对已伊州区各第二产业和第三产业进行全面调查表填报工作，已完成全区单位报表填报。</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3.资金投入和使用情况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第五次经济普查计划拨付48万元，截至2024年12月31日，项目用于开展第五次全国经济普查，项目资金支付48万元，资金到位率100%，预算执行率为100%。</w:t>
      </w:r>
    </w:p>
    <w:p w14:paraId="2F28E3C4">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01080BA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本项目总体目标为：2024年度该项目计划投资48元，用于开展第五次全国经济普查前期筹备工作，为第五次全国经济普查奠定基础，提高调查数据对政策的支撑度。</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文件精神，结合项目相关信息，将年度目标细化分解，最终确定该项目阶段性目标如下：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1.产出指标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数量指标：普查“两员”人员数不低于658人；</w:t>
      </w:r>
      <w:r>
        <w:cr/>
      </w:r>
      <w:r>
        <w:rPr>
          <w:rStyle w:val="19"/>
          <w:rFonts w:hint="eastAsia" w:ascii="楷体" w:hAnsi="楷体" w:eastAsia="楷体"/>
          <w:b w:val="0"/>
          <w:bCs w:val="0"/>
          <w:spacing w:val="-4"/>
          <w:sz w:val="32"/>
          <w:szCs w:val="32"/>
        </w:rPr>
        <w:t>数量指标：清查“两员”人员数不低于514人；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质量指标：普查人员培训参与率达到99%；</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时效指标：普查工作完成率达到100%。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2.成本指标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经济成本指标：项目成本金额不高于48万元。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社会效益指标：增强调查数据对决策支撑度达到有效增强。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满意度指标：普查员满意度不低于95%。</w:t>
      </w:r>
    </w:p>
    <w:p w14:paraId="293FA386">
      <w:pPr>
        <w:spacing w:line="540" w:lineRule="exact"/>
        <w:ind w:firstLine="312" w:firstLineChars="10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1BC15481">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6B23667B">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我单位根据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文件精神，对第五次经济普查项目绩效目标实现情况进行自评。</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14:paraId="1538EB41">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7248739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p>
    <w:p w14:paraId="3A7769FC">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（3）激励约束。绩效评价结果应与预算安排、政策调整、改进管理实质性挂钩，体现奖优罚劣和激励导向，有效要安排、低效要压减、无效要问责。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（4）公开透明。绩效评价结果应依法依规公开，并自觉接受社会监督。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2.评价指标体系</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本项目评价指标体系采用项目绩效自评表与决策、过程自定指标相结合方式，其中项目决策17分，项目过程23分，项目产出22分，项目效益30分，项目满意度8分.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（1）项目决策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项目立项：立项依据充分性，权重2分；立项程序规范性，权重2分。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绩效目标：绩效目标明确性，权重4分；绩效目标合理性，权重4分。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预算编制：测算标准合理性，权重4分；测算过程细化度，权重4分。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（2）项目过程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资金管理：资金到位率，权重6分；预算执行率，权重6分。</w:t>
      </w:r>
    </w:p>
    <w:p w14:paraId="7D3D7BF7">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（3）组织实施：资金使用合规性，权重4分，管理制度健全性，权重4分，制度执行有效性，权重3分。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（4）项目产出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数量指标：普查“两员”人员数不低于658人；权重3分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数量指标：清查“两员”人员数不低于514人；权重3分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质量指标：普查人员培训参与率达到99%；权重5分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时效指标：普查工作完成率达到100%。权重5分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2.成本指标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经济成本指标：项目成本金额不高于48万元，权重6分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社会效益指标：</w:t>
      </w:r>
      <w:r>
        <w:rPr>
          <w:rStyle w:val="19"/>
          <w:rFonts w:hint="eastAsia" w:ascii="楷体" w:hAnsi="楷体" w:eastAsia="楷体"/>
          <w:b w:val="0"/>
          <w:bCs w:val="0"/>
          <w:spacing w:val="-4"/>
          <w:sz w:val="32"/>
          <w:szCs w:val="32"/>
          <w:lang w:val="en-US" w:eastAsia="zh-CN"/>
        </w:rPr>
        <w:t>增强</w:t>
      </w:r>
      <w:r>
        <w:rPr>
          <w:rStyle w:val="19"/>
          <w:rFonts w:hint="eastAsia" w:ascii="楷体" w:hAnsi="楷体" w:eastAsia="楷体"/>
          <w:b w:val="0"/>
          <w:bCs w:val="0"/>
          <w:spacing w:val="-4"/>
          <w:sz w:val="32"/>
          <w:szCs w:val="32"/>
        </w:rPr>
        <w:t>调查数据对决策支撑度，权重30分。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4.服务对象满意度指标：调查员满意度，权重8分。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3.评价方法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第五次经济普查项目绩效评价主要通过项目单位自评、主管部门监督、财政部门参评的方式开展绩效评价工作。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绩效评价的方法主要包括：成本效益分析法、比较法、因素分析法、最低成本法、公众评判法、核实法等。根据评价指标的具体情况，可采用一种或多种方法。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（1）成本效益分析法。是指将投入与产出、效益进行关联性分析的方法。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（2）比较法。是指将实施情况与绩效目标、历史情况、不同部门和地区同类支出情况进行比较的方法。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（3）因素分析法。是指综合分析影响绩效目标实现、实施效果的内外部因素的方法。</w:t>
      </w:r>
    </w:p>
    <w:p w14:paraId="36B44463">
      <w:pPr>
        <w:spacing w:line="540" w:lineRule="exact"/>
        <w:ind w:firstLine="312" w:firstLineChars="1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（4）最低成本法。是指在绩效目标确定的前提下，成本最小者为优的方法。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（5）公众评判法。是指通过专家评估、公众问卷及抽样调查等方式进行评判的方法。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（6）核实法。是收集包括书面资料以外的信息以证实书面资料及其所反映经济活动的真实，合法，合理，有效和正确的方法。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4.评价标准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绩效评价标准通常包括计划标准、行业标准、历史标准等，用于对绩效指标完成情况进行比较。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单位自评采用定量与定性评价相结合的比较法，总分由各项指标得分汇总形成。</w:t>
      </w:r>
    </w:p>
    <w:p w14:paraId="13C1B2C2">
      <w:pPr>
        <w:spacing w:line="540" w:lineRule="exact"/>
        <w:ind w:firstLine="567"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14:paraId="67FA6539">
      <w:pPr>
        <w:spacing w:line="540" w:lineRule="exact"/>
        <w:ind w:left="319" w:leftChars="152"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p>
    <w:p w14:paraId="2974613E">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p>
    <w:p w14:paraId="384818D0">
      <w:pPr>
        <w:spacing w:line="540" w:lineRule="exact"/>
        <w:ind w:left="319" w:leftChars="152"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（2）采取“年初绩效目标预定与实施效果比较法”进行评价，评价指标体系以绩效目标申报指标为依据。</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2.组织过程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（1）项目全过程资料档案复核</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采取现场和非现场评价相结合的方式实施评价，核查核实</w:t>
      </w:r>
    </w:p>
    <w:p w14:paraId="6C73421B">
      <w:pPr>
        <w:spacing w:line="540" w:lineRule="exact"/>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评价基础资料，主要是：相关政策文件、项目实施情况、资金支出情况、项目完成情况。对缺少的印证资料进行补充，对由资金下发不及时和跨年度等原因导致未完成项目，提供相关说明和批复文件。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（2）检查内容和过程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发放调查问卷开展第五次经济普查对象满意度调查工作。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（3）撰写报告情况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根据所搜集的印证材料，按绩效评价原理和指标体系进行分析、评价和汇总，撰写绩效自评报告，并在规定时间上报。</w:t>
      </w:r>
    </w:p>
    <w:p w14:paraId="27F72DAA">
      <w:pPr>
        <w:spacing w:line="540" w:lineRule="exact"/>
        <w:ind w:firstLine="312" w:firstLineChars="10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6CA1A304">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本次项目自评满分100分，自评得分99</w:t>
      </w:r>
      <w:r>
        <w:rPr>
          <w:rStyle w:val="19"/>
          <w:rFonts w:hint="eastAsia" w:ascii="楷体" w:hAnsi="楷体" w:eastAsia="楷体"/>
          <w:b w:val="0"/>
          <w:bCs w:val="0"/>
          <w:spacing w:val="-4"/>
          <w:sz w:val="32"/>
          <w:szCs w:val="32"/>
          <w:lang w:val="en-US" w:eastAsia="zh-CN"/>
        </w:rPr>
        <w:t>.65</w:t>
      </w:r>
      <w:r>
        <w:rPr>
          <w:rStyle w:val="19"/>
          <w:rFonts w:hint="eastAsia" w:ascii="楷体" w:hAnsi="楷体" w:eastAsia="楷体"/>
          <w:b w:val="0"/>
          <w:bCs w:val="0"/>
          <w:spacing w:val="-4"/>
          <w:sz w:val="32"/>
          <w:szCs w:val="32"/>
        </w:rPr>
        <w:t>分，自评结果为“优”，其中项目决策得分17分，项目过程得分23分，项目产出得分21分，项目效益得分30分，项目满意度得分8分。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合评价结论：项目决策方面，项目立项依据清晰，目标明确；测算内容符合相关文件政策规定；预算项目清晰；项目过程方面，资金到位率为100%，财务和业务管理制度是否合法、合规、完整，项目资金遵守相关法律法规和相关管理规定，项目合同书、验收报告、技术鉴定等资料是否齐全并及时归档；项目实施的人员条件、场地设备、信息支撑等落实到位；项目效益方面，调查数据对决策支撑度有效提高；项目满意度方面，调查员满意度达100%。</w:t>
      </w:r>
    </w:p>
    <w:p w14:paraId="43DDD965">
      <w:pPr>
        <w:spacing w:line="540" w:lineRule="exact"/>
        <w:ind w:firstLine="312" w:firstLineChars="10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108AA16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6D4DAE19">
      <w:pPr>
        <w:tabs>
          <w:tab w:val="center" w:pos="4295"/>
        </w:tabs>
        <w:spacing w:line="540" w:lineRule="exact"/>
        <w:ind w:firstLine="624" w:firstLineChars="200"/>
        <w:rPr>
          <w:rStyle w:val="19"/>
          <w:rFonts w:hint="eastAsia" w:ascii="楷体" w:hAnsi="楷体" w:eastAsia="楷体"/>
          <w:b w:val="0"/>
          <w:bCs w:val="0"/>
          <w:spacing w:val="-4"/>
          <w:sz w:val="32"/>
          <w:szCs w:val="32"/>
          <w:lang w:val="en-US" w:eastAsia="zh-CN"/>
        </w:rPr>
      </w:pPr>
      <w:r>
        <w:rPr>
          <w:rStyle w:val="19"/>
          <w:rFonts w:hint="eastAsia" w:ascii="楷体" w:hAnsi="楷体" w:eastAsia="楷体"/>
          <w:b w:val="0"/>
          <w:bCs w:val="0"/>
          <w:spacing w:val="-4"/>
          <w:sz w:val="32"/>
          <w:szCs w:val="32"/>
        </w:rPr>
        <w:t>1.项目立</w:t>
      </w:r>
      <w:r>
        <w:rPr>
          <w:rStyle w:val="19"/>
          <w:rFonts w:hint="eastAsia" w:ascii="楷体" w:hAnsi="楷体" w:eastAsia="楷体"/>
          <w:b w:val="0"/>
          <w:bCs w:val="0"/>
          <w:spacing w:val="-4"/>
          <w:sz w:val="32"/>
          <w:szCs w:val="32"/>
          <w:lang w:val="en-US" w:eastAsia="zh-CN"/>
        </w:rPr>
        <w:t>项</w:t>
      </w:r>
    </w:p>
    <w:p w14:paraId="7A1CA054">
      <w:pPr>
        <w:tabs>
          <w:tab w:val="center" w:pos="4295"/>
        </w:tabs>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（1）立项依据充分性，满分2分，得分2分，得分率100%</w:t>
      </w:r>
      <w:r>
        <w:rPr>
          <w:rStyle w:val="19"/>
          <w:rFonts w:hint="eastAsia" w:ascii="楷体" w:hAnsi="楷体" w:eastAsia="楷体"/>
          <w:b w:val="0"/>
          <w:bCs w:val="0"/>
          <w:spacing w:val="-4"/>
          <w:sz w:val="32"/>
          <w:szCs w:val="32"/>
          <w:lang w:eastAsia="zh-CN"/>
        </w:rPr>
        <w:t>。</w:t>
      </w:r>
    </w:p>
    <w:p w14:paraId="4A990D89">
      <w:pPr>
        <w:tabs>
          <w:tab w:val="center" w:pos="4295"/>
        </w:tabs>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规定，经济普查每十年开展两次，分别在逢3、逢8的年份开展。因此在2024年度国家统计局开展第五</w:t>
      </w:r>
      <w:r>
        <w:rPr>
          <w:rStyle w:val="19"/>
          <w:rFonts w:hint="eastAsia" w:ascii="楷体" w:hAnsi="楷体" w:eastAsia="楷体"/>
          <w:b w:val="0"/>
          <w:bCs w:val="0"/>
          <w:spacing w:val="-4"/>
          <w:sz w:val="32"/>
          <w:szCs w:val="32"/>
          <w:lang w:val="en-US" w:eastAsia="zh-CN"/>
        </w:rPr>
        <w:t>次</w:t>
      </w:r>
      <w:r>
        <w:rPr>
          <w:rStyle w:val="19"/>
          <w:rFonts w:hint="eastAsia" w:ascii="楷体" w:hAnsi="楷体" w:eastAsia="楷体"/>
          <w:b w:val="0"/>
          <w:bCs w:val="0"/>
          <w:spacing w:val="-4"/>
          <w:sz w:val="32"/>
          <w:szCs w:val="32"/>
        </w:rPr>
        <w:t>全国经济普查活动。</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（2）立项程序规范性，满分2分，得分2分，得分率100%。</w:t>
      </w:r>
    </w:p>
    <w:p w14:paraId="7016F5FC">
      <w:pPr>
        <w:tabs>
          <w:tab w:val="center" w:pos="4295"/>
        </w:tabs>
        <w:spacing w:line="540" w:lineRule="exact"/>
        <w:ind w:firstLine="624" w:firstLineChars="200"/>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项目立项符合规定程序，审批文件等材料合规、完整，有完整的评估程序和集体决策。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2.绩效目标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（1）绩效目标明确性，满分4分，得分4分，得分率100%。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第五次全国经济普查年度目标清晰、可衡量的指标值予以体现；与项目目标任务数或计划数相对应。</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（2）绩效目标合理性，满分4分，得分4分，得分率100%。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第五次全国经济普查</w:t>
      </w:r>
      <w:r>
        <w:rPr>
          <w:rStyle w:val="19"/>
          <w:rFonts w:hint="eastAsia" w:ascii="楷体" w:hAnsi="楷体" w:eastAsia="楷体"/>
          <w:b w:val="0"/>
          <w:bCs w:val="0"/>
          <w:spacing w:val="-4"/>
          <w:sz w:val="32"/>
          <w:szCs w:val="32"/>
          <w:lang w:val="en-US" w:eastAsia="zh-CN"/>
        </w:rPr>
        <w:t>绩</w:t>
      </w:r>
      <w:r>
        <w:rPr>
          <w:rStyle w:val="19"/>
          <w:rFonts w:hint="eastAsia" w:ascii="楷体" w:hAnsi="楷体" w:eastAsia="楷体"/>
          <w:b w:val="0"/>
          <w:bCs w:val="0"/>
          <w:spacing w:val="-4"/>
          <w:sz w:val="32"/>
          <w:szCs w:val="32"/>
        </w:rPr>
        <w:t>效目标细化分解为具体的绩效指标项目；绩效目标与实际工作内容具有相关性；项目预期产出效益和效果符合正常的业绩水平；</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3.预算编制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（1）测算标准合理性，满分3分，得分3分，得分率100%。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第五次全国经济普查项目预算测算内容符合相关政策文件规定和相关行业、领域管理标准；预算测算使用部门自行制定的支出标准，符合上级管理部门的标准或社会实际支出水平。</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2</w:t>
      </w:r>
      <w:r>
        <w:rPr>
          <w:rStyle w:val="19"/>
          <w:rFonts w:hint="eastAsia" w:ascii="楷体" w:hAnsi="楷体" w:eastAsia="楷体"/>
          <w:b w:val="0"/>
          <w:bCs w:val="0"/>
          <w:spacing w:val="-4"/>
          <w:sz w:val="32"/>
          <w:szCs w:val="32"/>
        </w:rPr>
        <w:t>）测算过程细化度，满分2分，得分2分，得分率100%。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第五次全国经济普查项目预算按照项目内容，包括人力、商品和服务、资本性等各类支出，分别进行了测算成本，因此项目的预算细致化达到项目需求；</w:t>
      </w:r>
      <w:r>
        <w:rPr>
          <w:rStyle w:val="19"/>
          <w:rFonts w:hint="eastAsia" w:ascii="楷体" w:hAnsi="楷体" w:eastAsia="楷体"/>
          <w:b w:val="0"/>
          <w:bCs w:val="0"/>
          <w:spacing w:val="-4"/>
          <w:sz w:val="32"/>
          <w:szCs w:val="32"/>
          <w:lang w:eastAsia="zh-CN"/>
        </w:rPr>
        <w:tab/>
      </w:r>
    </w:p>
    <w:p w14:paraId="7596D8BD">
      <w:pPr>
        <w:spacing w:line="540" w:lineRule="exact"/>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14:paraId="7DBAF8D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1.资金管理</w:t>
      </w:r>
    </w:p>
    <w:p w14:paraId="59891827">
      <w:pPr>
        <w:spacing w:line="540" w:lineRule="exact"/>
        <w:ind w:firstLine="567"/>
        <w:rPr>
          <w:rStyle w:val="19"/>
          <w:rFonts w:hint="eastAsia" w:ascii="楷体" w:hAnsi="楷体" w:eastAsia="楷体"/>
          <w:b w:val="0"/>
          <w:bCs w:val="0"/>
          <w:spacing w:val="-4"/>
          <w:sz w:val="32"/>
          <w:szCs w:val="32"/>
          <w:lang w:val="en-US" w:eastAsia="zh-CN"/>
        </w:rPr>
      </w:pPr>
      <w:r>
        <w:rPr>
          <w:rStyle w:val="19"/>
          <w:rFonts w:hint="eastAsia" w:ascii="楷体" w:hAnsi="楷体" w:eastAsia="楷体"/>
          <w:b w:val="0"/>
          <w:bCs w:val="0"/>
          <w:spacing w:val="-4"/>
          <w:sz w:val="32"/>
          <w:szCs w:val="32"/>
        </w:rPr>
        <w:t>（1）资金到位率，满分6分，得分6分，得分率100%。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项目预算资金</w:t>
      </w:r>
      <w:r>
        <w:rPr>
          <w:rStyle w:val="19"/>
          <w:rFonts w:hint="eastAsia" w:ascii="楷体" w:hAnsi="楷体" w:eastAsia="楷体"/>
          <w:b w:val="0"/>
          <w:bCs w:val="0"/>
          <w:spacing w:val="-4"/>
          <w:sz w:val="32"/>
          <w:szCs w:val="32"/>
          <w:lang w:val="en-US" w:eastAsia="zh-CN"/>
        </w:rPr>
        <w:t>48</w:t>
      </w:r>
      <w:r>
        <w:rPr>
          <w:rStyle w:val="19"/>
          <w:rFonts w:hint="eastAsia" w:ascii="楷体" w:hAnsi="楷体" w:eastAsia="楷体"/>
          <w:b w:val="0"/>
          <w:bCs w:val="0"/>
          <w:spacing w:val="-4"/>
          <w:sz w:val="32"/>
          <w:szCs w:val="32"/>
        </w:rPr>
        <w:t>万元，财政资金到位率100%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（2）预算执行率，满分6分，得分6分，得分率100%。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截止2024年12月31日，第五次全国经济普查项目资金支付</w:t>
      </w:r>
      <w:r>
        <w:rPr>
          <w:rStyle w:val="19"/>
          <w:rFonts w:hint="eastAsia" w:ascii="楷体" w:hAnsi="楷体" w:eastAsia="楷体"/>
          <w:b w:val="0"/>
          <w:bCs w:val="0"/>
          <w:spacing w:val="-4"/>
          <w:sz w:val="32"/>
          <w:szCs w:val="32"/>
          <w:lang w:val="en-US" w:eastAsia="zh-CN"/>
        </w:rPr>
        <w:t>48</w:t>
      </w:r>
      <w:r>
        <w:rPr>
          <w:rStyle w:val="19"/>
          <w:rFonts w:hint="eastAsia" w:ascii="楷体" w:hAnsi="楷体" w:eastAsia="楷体"/>
          <w:b w:val="0"/>
          <w:bCs w:val="0"/>
          <w:spacing w:val="-4"/>
          <w:sz w:val="32"/>
          <w:szCs w:val="32"/>
        </w:rPr>
        <w:t>万元，项目资金全额支出，资金支付及时率达100%。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2.组织实施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（1）资金使用合规性，满分4分，得分4分，得分率100%。</w:t>
      </w:r>
      <w:r>
        <w:rPr>
          <w:rStyle w:val="19"/>
          <w:rFonts w:hint="eastAsia" w:ascii="楷体" w:hAnsi="楷体" w:eastAsia="楷体"/>
          <w:b w:val="0"/>
          <w:bCs w:val="0"/>
          <w:spacing w:val="-4"/>
          <w:sz w:val="32"/>
          <w:szCs w:val="32"/>
          <w:lang w:val="en-US" w:eastAsia="zh-CN"/>
        </w:rPr>
        <w:t xml:space="preserve">  </w:t>
      </w:r>
    </w:p>
    <w:p w14:paraId="0ABBE01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项目资金使用符合政府会计制度的相关规定，各项拨付</w:t>
      </w:r>
      <w:r>
        <w:rPr>
          <w:rStyle w:val="19"/>
          <w:rFonts w:hint="eastAsia" w:ascii="楷体" w:hAnsi="楷体" w:eastAsia="楷体"/>
          <w:b w:val="0"/>
          <w:bCs w:val="0"/>
          <w:spacing w:val="-4"/>
          <w:sz w:val="32"/>
          <w:szCs w:val="32"/>
          <w:lang w:val="en-US" w:eastAsia="zh-CN"/>
        </w:rPr>
        <w:t>经</w:t>
      </w:r>
      <w:r>
        <w:rPr>
          <w:rStyle w:val="19"/>
          <w:rFonts w:hint="eastAsia" w:ascii="楷体" w:hAnsi="楷体" w:eastAsia="楷体"/>
          <w:b w:val="0"/>
          <w:bCs w:val="0"/>
          <w:spacing w:val="-4"/>
          <w:sz w:val="32"/>
          <w:szCs w:val="32"/>
        </w:rPr>
        <w:t>领导审批，有完整的审批手续，项目支出不存在截留、挤占、挪用、虚列支出等情况，本年度审计、巡视、财政巡察未发现违规问题。</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（2）管理制度健全性，满分4分，得分4分，得分率100%。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第五</w:t>
      </w:r>
      <w:r>
        <w:rPr>
          <w:rStyle w:val="19"/>
          <w:rFonts w:hint="eastAsia" w:ascii="楷体" w:hAnsi="楷体" w:eastAsia="楷体"/>
          <w:b w:val="0"/>
          <w:bCs w:val="0"/>
          <w:spacing w:val="-4"/>
          <w:sz w:val="32"/>
          <w:szCs w:val="32"/>
          <w:lang w:val="en-US" w:eastAsia="zh-CN"/>
        </w:rPr>
        <w:t>次</w:t>
      </w:r>
      <w:r>
        <w:rPr>
          <w:rStyle w:val="19"/>
          <w:rFonts w:hint="eastAsia" w:ascii="楷体" w:hAnsi="楷体" w:eastAsia="楷体"/>
          <w:b w:val="0"/>
          <w:bCs w:val="0"/>
          <w:spacing w:val="-4"/>
          <w:sz w:val="32"/>
          <w:szCs w:val="32"/>
        </w:rPr>
        <w:t>全国经济普查项目的各项财务和业务管理制度合法、合规，材料完整，目标明确。</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3</w:t>
      </w:r>
      <w:r>
        <w:rPr>
          <w:rStyle w:val="19"/>
          <w:rFonts w:hint="eastAsia" w:ascii="楷体" w:hAnsi="楷体" w:eastAsia="楷体"/>
          <w:b w:val="0"/>
          <w:bCs w:val="0"/>
          <w:spacing w:val="-4"/>
          <w:sz w:val="32"/>
          <w:szCs w:val="32"/>
        </w:rPr>
        <w:t>）制度执行有效性，满分3分，得分3分，得分率100%。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第五次全国经济项目资金遵守相关法律法规和相关管理规定，项目合同书、验收报告、技术鉴定等资料是否齐全并及时归档；项目实施的人员条件、场地设备、信息支撑等落实到位</w:t>
      </w:r>
    </w:p>
    <w:p w14:paraId="5F7A9D6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14:paraId="7DEE171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1.产出数量</w:t>
      </w:r>
    </w:p>
    <w:p w14:paraId="1B861F7F">
      <w:pPr>
        <w:spacing w:line="540" w:lineRule="exact"/>
        <w:ind w:firstLine="567"/>
        <w:rPr>
          <w:rStyle w:val="19"/>
          <w:rFonts w:hint="eastAsia" w:ascii="楷体" w:hAnsi="楷体" w:eastAsia="楷体"/>
          <w:b w:val="0"/>
          <w:bCs w:val="0"/>
          <w:spacing w:val="-4"/>
          <w:sz w:val="32"/>
          <w:szCs w:val="32"/>
          <w:lang w:val="en-US" w:eastAsia="zh-CN"/>
        </w:rPr>
      </w:pPr>
      <w:r>
        <w:rPr>
          <w:rStyle w:val="19"/>
          <w:rFonts w:hint="eastAsia" w:ascii="楷体" w:hAnsi="楷体" w:eastAsia="楷体"/>
          <w:b w:val="0"/>
          <w:bCs w:val="0"/>
          <w:spacing w:val="-4"/>
          <w:sz w:val="32"/>
          <w:szCs w:val="32"/>
        </w:rPr>
        <w:t>（1）普查“两员”人员数，满分3分，得分2分，得分率75%。</w:t>
      </w:r>
      <w:r>
        <w:rPr>
          <w:rStyle w:val="19"/>
          <w:rFonts w:hint="eastAsia" w:ascii="楷体" w:hAnsi="楷体" w:eastAsia="楷体"/>
          <w:b w:val="0"/>
          <w:bCs w:val="0"/>
          <w:spacing w:val="-4"/>
          <w:sz w:val="32"/>
          <w:szCs w:val="32"/>
          <w:lang w:val="en-US" w:eastAsia="zh-CN"/>
        </w:rPr>
        <w:t xml:space="preserve">   </w:t>
      </w:r>
    </w:p>
    <w:p w14:paraId="0A86A13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按照我单位工作计划，普查“两员”人员数应不低于658人，根据工作完成情况，全区共计抽调“两员”635人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（2）清查“两员”人员数，满分3分，得分3分，得分率100%</w:t>
      </w:r>
    </w:p>
    <w:p w14:paraId="34D7001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按照我单位工作计划，清查“两员”人员数应不低于658人，根据工作完成情况，全区共计抽调清查“两员”573人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2.产出质量</w:t>
      </w:r>
    </w:p>
    <w:p w14:paraId="32D3911C">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普查人员培训参与率大于99%，满分5分，得分5分，得分率100%。截止2024年12月31日，全区共计抽调“两员”635人，采取集中培训、送学上门等方式，对乡（镇）、街道、园区管委会普查机构的“两员”清查及普查阶段集中培训21场次，完成率达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3.产出时效</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普查工作完成及时率，满分5分，得分5分，得分率100%。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截止2024年12月31日，第五次全国经济普查已完成对全区企业的调查数据填报，达到国家统计局预期效果，</w:t>
      </w:r>
      <w:r>
        <w:rPr>
          <w:rStyle w:val="19"/>
          <w:rFonts w:hint="eastAsia" w:ascii="楷体" w:hAnsi="楷体" w:eastAsia="楷体"/>
          <w:b w:val="0"/>
          <w:bCs w:val="0"/>
          <w:spacing w:val="-4"/>
          <w:sz w:val="32"/>
          <w:szCs w:val="32"/>
          <w:lang w:val="en-US" w:eastAsia="zh-CN"/>
        </w:rPr>
        <w:t>在</w:t>
      </w:r>
      <w:r>
        <w:rPr>
          <w:rStyle w:val="19"/>
          <w:rFonts w:hint="eastAsia" w:ascii="楷体" w:hAnsi="楷体" w:eastAsia="楷体"/>
          <w:b w:val="0"/>
          <w:bCs w:val="0"/>
          <w:spacing w:val="-4"/>
          <w:sz w:val="32"/>
          <w:szCs w:val="32"/>
        </w:rPr>
        <w:t>指定时间内完成统计调查业务。</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4.产出成本</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第五次全国经济普查经费，满分6分，得分6分，得分率100%。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第五次全国经济普查项目成本金额48万元，符合单位预计成本指标，不存在超出或未使用指标金额等情况。</w:t>
      </w:r>
    </w:p>
    <w:p w14:paraId="2B2E693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项目效益情况</w:t>
      </w:r>
    </w:p>
    <w:p w14:paraId="2775B6E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1.社会效益</w:t>
      </w:r>
    </w:p>
    <w:p w14:paraId="2E311A9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增强调查数据对决策支撑度，满分30分，得分30分，得分率100%。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截止2024年12月31日，第五次全国经济普查已完成对全区企业的调查数据填报，通过各企业的数据填报能够有效的分析我区各类企业现况，了解我区第二产业、第三产业的营业状况，有效</w:t>
      </w:r>
      <w:r>
        <w:rPr>
          <w:rStyle w:val="19"/>
          <w:rFonts w:hint="eastAsia" w:ascii="楷体" w:hAnsi="楷体" w:eastAsia="楷体"/>
          <w:b w:val="0"/>
          <w:bCs w:val="0"/>
          <w:spacing w:val="-4"/>
          <w:sz w:val="32"/>
          <w:szCs w:val="32"/>
          <w:lang w:val="en-US" w:eastAsia="zh-CN"/>
        </w:rPr>
        <w:t>地</w:t>
      </w:r>
      <w:r>
        <w:rPr>
          <w:rStyle w:val="19"/>
          <w:rFonts w:hint="eastAsia" w:ascii="楷体" w:hAnsi="楷体" w:eastAsia="楷体"/>
          <w:b w:val="0"/>
          <w:bCs w:val="0"/>
          <w:spacing w:val="-4"/>
          <w:sz w:val="32"/>
          <w:szCs w:val="32"/>
        </w:rPr>
        <w:t>满足了我区对未来决策及政策的支撑。</w:t>
      </w:r>
    </w:p>
    <w:p w14:paraId="17B37B07">
      <w:pPr>
        <w:spacing w:line="540" w:lineRule="exact"/>
        <w:ind w:firstLine="313" w:firstLineChars="100"/>
        <w:rPr>
          <w:rStyle w:val="19"/>
          <w:rFonts w:hint="eastAsia" w:ascii="楷体" w:hAnsi="楷体" w:eastAsia="楷体"/>
          <w:b w:val="0"/>
          <w:bCs w:val="0"/>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Fonts w:hint="eastAsia" w:ascii="楷体" w:hAnsi="楷体" w:eastAsia="楷体"/>
          <w:b/>
          <w:spacing w:val="-4"/>
          <w:sz w:val="32"/>
          <w:szCs w:val="32"/>
          <w:lang w:eastAsia="zh-CN"/>
        </w:rPr>
        <w:t>满意度</w:t>
      </w:r>
      <w:r>
        <w:rPr>
          <w:rStyle w:val="19"/>
          <w:rFonts w:hint="eastAsia" w:ascii="楷体" w:hAnsi="楷体" w:eastAsia="楷体"/>
          <w:spacing w:val="-4"/>
          <w:sz w:val="32"/>
          <w:szCs w:val="32"/>
        </w:rPr>
        <w:t>情况</w:t>
      </w:r>
    </w:p>
    <w:p w14:paraId="46D04D94">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服务对象满意度</w:t>
      </w:r>
    </w:p>
    <w:p w14:paraId="7914E582">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调查员满意度，满分8分，得分8分，得分率100%。</w:t>
      </w:r>
    </w:p>
    <w:p w14:paraId="6077DD1C">
      <w:pPr>
        <w:spacing w:line="540" w:lineRule="exact"/>
        <w:ind w:firstLine="624" w:firstLineChars="200"/>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第五次全国经济普查通过问卷的形式对各社区普查员发送调查问卷35份，主要内容包含各社区普查员对我单位开展经济普查项目满意度，及各类培训服务满意度等项目的调查问卷，截止2024年12月31日共收回调查问卷33份，满意度达100%</w:t>
      </w:r>
    </w:p>
    <w:p w14:paraId="0DCF74BE">
      <w:pPr>
        <w:spacing w:line="540" w:lineRule="exact"/>
        <w:ind w:firstLine="312" w:firstLineChars="10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五</w:t>
      </w:r>
      <w:r>
        <w:rPr>
          <w:rStyle w:val="19"/>
          <w:rFonts w:hint="eastAsia" w:ascii="黑体" w:hAnsi="黑体" w:eastAsia="黑体"/>
          <w:b w:val="0"/>
          <w:spacing w:val="-4"/>
          <w:sz w:val="32"/>
          <w:szCs w:val="32"/>
        </w:rPr>
        <w:t>、主要经验及做法、存在的问题及原因分析</w:t>
      </w:r>
    </w:p>
    <w:p w14:paraId="3EB9211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（一）主要经验及做法</w:t>
      </w:r>
    </w:p>
    <w:p w14:paraId="43706D7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在预算执行的过程中，</w:t>
      </w:r>
      <w:r>
        <w:rPr>
          <w:rStyle w:val="19"/>
          <w:rFonts w:hint="eastAsia" w:ascii="楷体" w:hAnsi="楷体" w:eastAsia="楷体"/>
          <w:b w:val="0"/>
          <w:bCs w:val="0"/>
          <w:spacing w:val="-4"/>
          <w:sz w:val="32"/>
          <w:szCs w:val="32"/>
          <w:lang w:val="en-US" w:eastAsia="zh-CN"/>
        </w:rPr>
        <w:t>实行</w:t>
      </w:r>
      <w:r>
        <w:rPr>
          <w:rStyle w:val="19"/>
          <w:rFonts w:hint="eastAsia" w:ascii="楷体" w:hAnsi="楷体" w:eastAsia="楷体"/>
          <w:b w:val="0"/>
          <w:bCs w:val="0"/>
          <w:spacing w:val="-4"/>
          <w:sz w:val="32"/>
          <w:szCs w:val="32"/>
        </w:rPr>
        <w:t>“双重监控”机制，以确保预算执行进度和绩效目标的实现程度相互协调，从而增强对预算项目的约束力。确定绩效目标，有利于预算编制细化量化，科学制定单位未来工作目标。预算绩效管理可以有效衡量部门预算支出，提高预算资金使用效益，有效节省预算资金。利用绩效目标的实现程度</w:t>
      </w:r>
      <w:r>
        <w:rPr>
          <w:rStyle w:val="19"/>
          <w:rFonts w:hint="eastAsia" w:ascii="楷体" w:hAnsi="楷体" w:eastAsia="楷体"/>
          <w:b w:val="0"/>
          <w:bCs w:val="0"/>
          <w:spacing w:val="-4"/>
          <w:sz w:val="32"/>
          <w:szCs w:val="32"/>
          <w:lang w:val="en-US" w:eastAsia="zh-CN"/>
        </w:rPr>
        <w:t>反映</w:t>
      </w:r>
      <w:r>
        <w:rPr>
          <w:rStyle w:val="19"/>
          <w:rFonts w:hint="eastAsia" w:ascii="楷体" w:hAnsi="楷体" w:eastAsia="楷体"/>
          <w:b w:val="0"/>
          <w:bCs w:val="0"/>
          <w:spacing w:val="-4"/>
          <w:sz w:val="32"/>
          <w:szCs w:val="32"/>
        </w:rPr>
        <w:t>单位履职程度，增强工作效果和责任意识。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（二）存在问题及原因分析</w:t>
      </w:r>
    </w:p>
    <w:p w14:paraId="180CF99E">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由于是前期筹备第五次全国经济普查工作，因此在目标制定中存在一定的数据偏差。</w:t>
      </w:r>
    </w:p>
    <w:p w14:paraId="4BD5FE83">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u w:val="dotted"/>
          <w:lang w:val="en-US" w:eastAsia="zh-CN"/>
        </w:rPr>
        <w:t>六</w:t>
      </w:r>
      <w:r>
        <w:rPr>
          <w:rStyle w:val="19"/>
          <w:rFonts w:hint="eastAsia" w:ascii="黑体" w:hAnsi="黑体" w:eastAsia="黑体"/>
          <w:b w:val="0"/>
          <w:spacing w:val="-4"/>
          <w:sz w:val="32"/>
          <w:szCs w:val="32"/>
        </w:rPr>
        <w:t>、有关建议</w:t>
      </w:r>
    </w:p>
    <w:p w14:paraId="3D1751BF">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明确项目目标和范围，这包括单位领导班子共同确定项目的预期效果，并明确项目的边界。一个清晰的目标和范围有助于确保所有项目活动都围绕核心目标进行，避免偏离主题或资源浪费。</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由于现单位财务人员均非财务专业，因此在项目目标的制定中存在一定的数据偏差或业务不熟等情况，因此需要财政部门多开展类似项目的培训、学习工作。</w:t>
      </w:r>
    </w:p>
    <w:p w14:paraId="0E60CA8E">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6EF287B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无</w:t>
      </w:r>
    </w:p>
    <w:p w14:paraId="56B1B194">
      <w:pPr>
        <w:spacing w:line="540" w:lineRule="exact"/>
        <w:ind w:firstLine="567"/>
        <w:rPr>
          <w:rStyle w:val="19"/>
          <w:rFonts w:ascii="仿宋" w:hAnsi="仿宋" w:eastAsia="仿宋"/>
          <w:b w:val="0"/>
          <w:spacing w:val="-4"/>
          <w:sz w:val="32"/>
          <w:szCs w:val="32"/>
        </w:rPr>
      </w:pPr>
    </w:p>
    <w:p w14:paraId="10C51A11">
      <w:pPr>
        <w:spacing w:line="540" w:lineRule="exact"/>
        <w:ind w:firstLine="567"/>
        <w:rPr>
          <w:rStyle w:val="19"/>
          <w:rFonts w:ascii="仿宋" w:hAnsi="仿宋" w:eastAsia="仿宋"/>
          <w:b w:val="0"/>
          <w:spacing w:val="-4"/>
          <w:sz w:val="32"/>
          <w:szCs w:val="32"/>
        </w:rPr>
      </w:pPr>
    </w:p>
    <w:p w14:paraId="4230F1C8">
      <w:pPr>
        <w:spacing w:line="540" w:lineRule="exact"/>
        <w:ind w:firstLine="567"/>
        <w:rPr>
          <w:rStyle w:val="19"/>
          <w:rFonts w:ascii="仿宋" w:hAnsi="仿宋" w:eastAsia="仿宋"/>
          <w:b w:val="0"/>
          <w:spacing w:val="-4"/>
          <w:sz w:val="32"/>
          <w:szCs w:val="32"/>
        </w:rPr>
      </w:pPr>
    </w:p>
    <w:p w14:paraId="4B18AFBA">
      <w:pPr>
        <w:spacing w:line="540" w:lineRule="exact"/>
        <w:ind w:firstLine="567"/>
        <w:rPr>
          <w:rStyle w:val="19"/>
          <w:rFonts w:ascii="仿宋" w:hAnsi="仿宋" w:eastAsia="仿宋"/>
          <w:b w:val="0"/>
          <w:spacing w:val="-4"/>
          <w:sz w:val="32"/>
          <w:szCs w:val="32"/>
        </w:rPr>
      </w:pPr>
    </w:p>
    <w:p w14:paraId="77643405">
      <w:pPr>
        <w:spacing w:line="540" w:lineRule="exact"/>
        <w:ind w:firstLine="567"/>
        <w:rPr>
          <w:rStyle w:val="19"/>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宋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18795570">
        <w:pPr>
          <w:pStyle w:val="12"/>
          <w:jc w:val="center"/>
        </w:pPr>
        <w:r>
          <w:fldChar w:fldCharType="begin"/>
        </w:r>
        <w:r>
          <w:instrText xml:space="preserve">PAGE   \* MERGEFORMAT</w:instrText>
        </w:r>
        <w:r>
          <w:fldChar w:fldCharType="separate"/>
        </w:r>
        <w:r>
          <w:rPr>
            <w:lang w:val="zh-CN"/>
          </w:rPr>
          <w:t>1</w:t>
        </w:r>
        <w:r>
          <w:fldChar w:fldCharType="end"/>
        </w:r>
      </w:p>
    </w:sdtContent>
  </w:sdt>
  <w:p w14:paraId="31E719DF">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5E499">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F61758"/>
    <w:rsid w:val="439305FF"/>
    <w:rsid w:val="731024B4"/>
    <w:rsid w:val="74AC4202"/>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eyJoZGlkIjoiN2YzNjBkOTgyNWQ1YTMxYzM3MzMwNWFiODNmOWIzYWMiLCJ1c2VySWQiOiI3NTc1MDIxMjYifQ==</vt:lpwstr>
  </property>
</Properties>
</file>

<file path=customXml/item2.xml><?xml version="1.0" encoding="utf-8"?>
<Properties xmlns="http://schemas.openxmlformats.org/officeDocument/2006/extended-properties" xmlns:vt="http://schemas.openxmlformats.org/officeDocument/2006/docPropsVTypes">
  <Template>Normal.dotm</Template>
  <Pages>12</Pages>
  <Words>5159</Words>
  <Characters>5387</Characters>
  <Lines>5</Lines>
  <Paragraphs>1</Paragraphs>
  <TotalTime>25</TotalTime>
  <ScaleCrop>false</ScaleCrop>
  <LinksUpToDate>false</LinksUpToDate>
  <CharactersWithSpaces>5403</CharactersWithSpaces>
  <Application>WPS Office_12.1.0.23542_F1E327BC-269C-435d-A152-05C5408002CA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石头</cp:lastModifiedBy>
  <cp:lastPrinted>2018-12-31T10:56:00Z</cp:lastPrinted>
  <dcterms:modified xsi:type="dcterms:W3CDTF">2025-11-06T08:22:42Z</dcterms:modified>
  <cp:revision>19</cp:revision>
</cp:coreProperties>
</file>

<file path=customXml/itemProps1.xml><?xml version="1.0" encoding="utf-8"?>
<ds:datastoreItem xmlns:ds="http://schemas.openxmlformats.org/officeDocument/2006/customXml" ds:itemID="{71684977-d47c-4d34-8fd2-6e3f2ba43935}">
  <ds:schemaRefs/>
</ds:datastoreItem>
</file>

<file path=customXml/itemProps2.xml><?xml version="1.0" encoding="utf-8"?>
<ds:datastoreItem xmlns:ds="http://schemas.openxmlformats.org/officeDocument/2006/customXml" ds:itemID="{29596501-dea3-4b91-a123-ac7ee6f16720}">
  <ds:schemaRefs/>
</ds:datastoreItem>
</file>

<file path=customXml/itemProps3.xml><?xml version="1.0" encoding="utf-8"?>
<ds:datastoreItem xmlns:ds="http://schemas.openxmlformats.org/officeDocument/2006/customXml" ds:itemID="{25f0aa25-028f-48da-bbf8-f24f9b2b102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5150</Words>
  <Characters>5378</Characters>
  <Lines>5</Lines>
  <Paragraphs>1</Paragraphs>
  <TotalTime>28</TotalTime>
  <ScaleCrop>false</ScaleCrop>
  <LinksUpToDate>false</LinksUpToDate>
  <CharactersWithSpaces>5630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石头</cp:lastModifiedBy>
  <cp:lastPrinted>2018-12-31T10:56:00Z</cp:lastPrinted>
  <dcterms:modified xsi:type="dcterms:W3CDTF">2025-11-06T11:27:01Z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eyJoZGlkIjoiN2YzNjBkOTgyNWQ1YTMxYzM3MzMwNWFiODNmOWIzYWMiLCJ1c2VySWQiOiI3NTc1MDIxMjYifQ==</vt:lpwstr>
  </property>
</Properties>
</file>