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技工学校运转经费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哈密市伊州区第一技工学校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哈密市伊州区人力资源和社会保障局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陈元坤</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2025年05月22日</w:t>
      </w:r>
    </w:p>
    <w:p>
      <w:pPr>
        <w:spacing w:line="700" w:lineRule="exact"/>
        <w:ind w:firstLine="708" w:firstLineChars="236"/>
        <w:jc w:val="left"/>
        <w:rPr>
          <w:rFonts w:hAnsi="宋体" w:eastAsia="仿宋_GB2312" w:cs="宋体"/>
          <w:kern w:val="0"/>
          <w:sz w:val="30"/>
          <w:szCs w:val="30"/>
        </w:rPr>
      </w:pPr>
    </w:p>
    <w:p>
      <w:pPr>
        <w:numPr>
          <w:ilvl w:val="0"/>
          <w:numId w:val="1"/>
        </w:num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基本情况</w:t>
      </w:r>
    </w:p>
    <w:p>
      <w:pPr>
        <w:numPr>
          <w:ilvl w:val="0"/>
          <w:numId w:val="0"/>
        </w:num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保证学校正常运转，确保培训工作高质量开展，项目资金计划用于办公费、物业费、水电暖、维修（护）费、交通、办公设备、实训材料、培训人员伙食费等方面； 立项依据：根据我单位2024年工作计划立项； 测算依据：依据我单位今年所需办公物业水电等工作经费进行测算。</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本年计划投入150万元，主要用于：用于学校教育教学、校园文化、学校硬件、安全等建设，保障了7114名学员使用，提高了学员学习环境，提高了教师工作积极性，师生满意度97%以上。本项目于2024年1月开始实施，截止2024年12月已全部完成，通过本项目的实施，有效保障学校教育教学、校园文化、学校硬件、安全等建设，有效保障教育教学工作，有效提高学员和教师的幸福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3.项目实施主体</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我单位共有4个内设机构，包括哈密市伊州区第一技工学校无下属预算单位，下设 4 个处室， 分别是：党政办、教务室、招生就业办公室、总务室。</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编制人数为30人，其中：行政人员编制0人、工勤1人、参公0人、事业编制30人。实有在职人数50人，其中：行政在职0人、工勤0人、参公0人、事业在职50人、财聘人员3人；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2024年技工学校运行经费计划拨付150万元，项目于2024年3月1日批复预算资金150万元，截至2024年12月31日，项目用于支付2024年学校教育教学、办公费、物业费、水电暖、维修（护）费、交通、办公设备、实训材料、培训人员伙食费等方面，项目资金支付147.07万元，资金到位率100%，预算执行率为98.</w:t>
      </w: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本项目总体目标为：2024年该项目预算资金150万元，保障7114名学员，不断提高学员学习环境建设，提高教师工作积极性，师生满意度97%以上。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数量指标：购买固定资产打码机数量不低于1个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数量指标：各专业培训人数不低于6780人；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质量指标：资金使用合规率达到100%；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时效指标：设备维修维护及时率达到100%。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经济成本指标：2024年技工学校运行经费不高于150万元。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经济效益指标：确保障技工学校运转经费</w:t>
      </w:r>
      <w:r>
        <w:rPr>
          <w:rStyle w:val="18"/>
          <w:rFonts w:hint="eastAsia" w:ascii="仿宋_GB2312" w:hAnsi="仿宋_GB2312" w:eastAsia="仿宋_GB2312" w:cs="仿宋_GB2312"/>
          <w:b w:val="0"/>
          <w:bCs w:val="0"/>
          <w:spacing w:val="-4"/>
          <w:sz w:val="32"/>
          <w:szCs w:val="32"/>
          <w:lang w:eastAsia="zh-CN"/>
        </w:rPr>
        <w:t>正</w:t>
      </w:r>
      <w:r>
        <w:rPr>
          <w:rStyle w:val="18"/>
          <w:rFonts w:hint="eastAsia" w:ascii="仿宋_GB2312" w:hAnsi="仿宋_GB2312" w:eastAsia="仿宋_GB2312" w:cs="仿宋_GB2312"/>
          <w:b w:val="0"/>
          <w:bCs w:val="0"/>
          <w:spacing w:val="-4"/>
          <w:sz w:val="32"/>
          <w:szCs w:val="32"/>
        </w:rPr>
        <w:t>常运行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满意度指标：学员满意度达到95%。</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城乡义务教育补助（中央公用经费）资金资金项目绩效目标实现情况进行自评。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240" w:lineRule="auto"/>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预算编制：测算标准科学性，权重3分；资金分配合理性，权重2分。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数量指标：享受2024年技工学校运行经费学员人数，权重6分；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质量指标：经费使用合规率，权重5分；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时效指标：基本保障经费支付及时率，权重5分。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0"/>
          <w:sz w:val="32"/>
          <w:szCs w:val="32"/>
        </w:rPr>
        <w:t>成本指标：学员均享受2024年技工学校运行经费标准权重6分。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社会效益指标：确保教育投入优先保障，权重30分；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服务对象满意度指标：师生满意度，权重8分。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2024年技工学校运行经费资金项目绩效评价主要通过项目单位自评、主管部门监督、财政部门参评的方式开展绩效评价工作。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发放调查问卷开展教师、学员满意度调查工作。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w:t>
      </w:r>
      <w:r>
        <w:rPr>
          <w:rStyle w:val="18"/>
          <w:rFonts w:hint="eastAsia" w:ascii="仿宋_GB2312" w:hAnsi="仿宋_GB2312" w:eastAsia="仿宋_GB2312" w:cs="仿宋_GB2312"/>
          <w:b w:val="0"/>
          <w:bCs w:val="0"/>
          <w:spacing w:val="-4"/>
          <w:sz w:val="32"/>
          <w:szCs w:val="32"/>
          <w:lang w:val="en-US" w:eastAsia="zh-CN"/>
        </w:rPr>
        <w:t>98.61</w:t>
      </w:r>
      <w:r>
        <w:rPr>
          <w:rStyle w:val="18"/>
          <w:rFonts w:hint="eastAsia" w:ascii="仿宋_GB2312" w:hAnsi="仿宋_GB2312" w:eastAsia="仿宋_GB2312" w:cs="仿宋_GB2312"/>
          <w:b w:val="0"/>
          <w:bCs w:val="0"/>
          <w:spacing w:val="-4"/>
          <w:sz w:val="32"/>
          <w:szCs w:val="32"/>
        </w:rPr>
        <w:t>分，自评结果为“优”，其中项目决策得分17分，项目过程得分23分，项目产出得分22分，项目效益得分30分，项目满意度得分8分。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立法依据充分合理，项目立项符合法律法规、相关政策、发展规划以及部门职责，能用于反映和考核项目立项依据情况。绩效目标明确性达标，依据绩效目标设定的绩效指标清晰、细化、可衡量等，能用以反映和考核项目绩效目标的明细化情况。项目所设定的绩效目标依据充分，能符合客观实际，用以反映和考核项目绩效目标与项目实施的相符情况。预算编制方面，项目预算测算项目支出标准符合相关政策制度或行业、领域规定；测算过程细化清晰。项目过程方面，预算资金足额到位，能用以反映和考核资金落实情况和对项目实施的总体保障程度，项目实施单位的财务和业务管理制度很健全；制度执行有效性较好；项目产出方面：经费使用合规率、基本保障经费支付及时率、生均享受教育经费标准都能达标；项目效益方面，社会效益能达标，确保教育投入优先保障，不断改善学员学习环境建设，经济效益没有评价；项目满意度方面，教师和学员的满意度调查结果，反映教师和学员对学校的满意程度都在97%以上。</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立项依据充分性，满分4分，得分4分，得分率100%。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我单位根据2024年技工学校运行经费，项目立项符合法律法规、相关政策、发展规划以及部门职责，能用于反映和考核项目立项依据情况。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绩效目标为：2024年该项目预算资金150万元，保障7114名学员，不断提高学员学习环境建设，提高教师工作积极性，师员满意度97%以上。绩效目标包含产出和效果内容，并通过清晰、可衡量的指标予以体现，符合部门工作任务要求，依据绩效目标设定的绩效指标清晰、细化、可衡量等，能用以反映和考核项目绩效目标的明细化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绩效目标为：2024年该项目预算资金150万元，保障7114名学员，不断提高学员学习环境建设，提高教师工作积极性，师生满意度97%以上。项目绩效目标细化分解为具体指标，绩效目标内容与项目相关，产出和效益符合正常业绩水平，资金投入与预算资金相匹配。项目所设定的绩效目标依据充分，能符合客观实际，用以反映和考核项目绩效目标与项目实施的相符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项目依据是2024年技工学校运行经费， 办公费、物业费、水电暖、维修（护）费、交通、办公设备、实训材料、培训人员伙食费等方面申请预算资金，共计申请147.07万元，项目预算测算项目支出标准符合相关政策制度或行业、领域规定，测算标准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项目依据是2024年技工学校运行经费， 办公费、物业费、水电暖、维修（护）费、交通、办公设备、实训材料、培训人员伙食费等方面申请预算资金申请预算资金，共计申请150万元，该项目资金已按预算计划全部支付，已根据实际购置设备测算成本，测算过程细化清晰。</w:t>
      </w:r>
      <w:r>
        <w:rPr>
          <w:rStyle w:val="18"/>
          <w:rFonts w:hint="eastAsia" w:ascii="仿宋_GB2312" w:hAnsi="仿宋_GB2312" w:eastAsia="仿宋_GB2312" w:cs="仿宋_GB2312"/>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本项目2024年3月共计申请资金150万元，2024年3月伊州区财政局拨付150万元，资金到位率达到100%，能用以反映和考核资金落实情况和对项目实施的总体保障程度。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本项目2024年3月共计申请资金150万元，2024年3月伊州区财政局拨付150万元，2024年12月底前预算支出147.07万元，预算执行率达到</w:t>
      </w:r>
      <w:r>
        <w:rPr>
          <w:rStyle w:val="18"/>
          <w:rFonts w:hint="eastAsia" w:ascii="仿宋_GB2312" w:hAnsi="仿宋_GB2312" w:eastAsia="仿宋_GB2312" w:cs="仿宋_GB2312"/>
          <w:b w:val="0"/>
          <w:bCs w:val="0"/>
          <w:spacing w:val="-4"/>
          <w:sz w:val="32"/>
          <w:szCs w:val="32"/>
          <w:lang w:val="en-US" w:eastAsia="zh-CN"/>
        </w:rPr>
        <w:t>98.1</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财务制度方面，我单位为保障项目资金合理支出，通过校支委会、校委会多次集体讨论，最终制定《预算管理内部控制制度》等，规定项目支出的合理流程，用以反映和考核财务和业务管理制度对项目顺利实施的保障情况，同时多次召开校委会扩大会议，校主要领导带领大家认真学习《预算管理内部控制制度》等文件和制度，校支委会多次开会补充和完善实际工作中发现现有制度的不足之处，最终使学校的各项制度很健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我单位为保障项目资金合理支出，制定《预算管理内部控制制度》，规定项目支出的合理流程，制度执行有效性很好，评价内容主要从项目申报、项目实施、项目结项、项目后续等4个环节展开，结合相关管理规定进行评价，我单位严格按照《预算管理内部控制制度》等相关制度，严格按流程去申报项目、实施、检查、评价等环节，最终证实我单位的制度执行是高效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固定资产打码机数量，满分3分，得分3分，得分率100%。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2024年该项目预算资金150万元，保障7114名学员，已完成购买固定资产打码机一个。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各专业培训人数，满分3分，得分3分，得分率100%。依据2024年技工学校运行经费，我校应享受义务教育经费学员人数达到6780人，核对2024年年报学员数据，实际享受2024年技工学校运行经费人数达到7114人。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资金使用合规率，满分5分，得分5分，得分率100%。经费使用合规率方面严格按政策执行2024年技工学校运行经费，我单位经费使用合规率达到100%。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设备维修维护及时率，满分5分，得分5分，得分率100%。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该项目资金计划拨付150万元，实际拨付资金147.07万元，项目资金及时到位，根据实际工作完成情况，设备维修维护及时率达到100%。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2024年技工学校运行经费，满分6分，得分6分，得分率100%。我单位根据2024年技工学校运行经费150万元，区财政局实际拨付150万元，按办公费、物业费、水电暖、维修（护）费、交通、办公设备、实训材料、培训人员伙食费技工学校运行经费标准已达标。</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保障技工学校运转经费</w:t>
      </w:r>
      <w:r>
        <w:rPr>
          <w:rStyle w:val="18"/>
          <w:rFonts w:hint="eastAsia" w:ascii="仿宋_GB2312" w:hAnsi="仿宋_GB2312" w:eastAsia="仿宋_GB2312" w:cs="仿宋_GB2312"/>
          <w:b w:val="0"/>
          <w:bCs w:val="0"/>
          <w:spacing w:val="-4"/>
          <w:sz w:val="32"/>
          <w:szCs w:val="32"/>
          <w:lang w:eastAsia="zh-CN"/>
        </w:rPr>
        <w:t>正</w:t>
      </w:r>
      <w:r>
        <w:rPr>
          <w:rStyle w:val="18"/>
          <w:rFonts w:hint="eastAsia" w:ascii="仿宋_GB2312" w:hAnsi="仿宋_GB2312" w:eastAsia="仿宋_GB2312" w:cs="仿宋_GB2312"/>
          <w:b w:val="0"/>
          <w:bCs w:val="0"/>
          <w:spacing w:val="-4"/>
          <w:sz w:val="32"/>
          <w:szCs w:val="32"/>
        </w:rPr>
        <w:t>常运行，满分30分，得分30分，得分率100%。我校全面贯彻党的教育方针，</w:t>
      </w:r>
      <w:r>
        <w:rPr>
          <w:rStyle w:val="18"/>
          <w:rFonts w:hint="eastAsia" w:ascii="仿宋_GB2312" w:hAnsi="仿宋_GB2312" w:eastAsia="仿宋_GB2312" w:cs="仿宋_GB2312"/>
          <w:b w:val="0"/>
          <w:bCs w:val="0"/>
          <w:spacing w:val="-4"/>
          <w:sz w:val="32"/>
          <w:szCs w:val="32"/>
          <w:lang w:eastAsia="zh-CN"/>
        </w:rPr>
        <w:t>以</w:t>
      </w:r>
      <w:r>
        <w:rPr>
          <w:rStyle w:val="18"/>
          <w:rFonts w:hint="eastAsia" w:ascii="仿宋_GB2312" w:hAnsi="仿宋_GB2312" w:eastAsia="仿宋_GB2312" w:cs="仿宋_GB2312"/>
          <w:b w:val="0"/>
          <w:bCs w:val="0"/>
          <w:spacing w:val="-4"/>
          <w:sz w:val="32"/>
          <w:szCs w:val="32"/>
        </w:rPr>
        <w:t>立德树人为根本任务，以“提升教育教学等提升师生综合素质、提升学校内涵发展、凸显学</w:t>
      </w:r>
      <w:r>
        <w:rPr>
          <w:rStyle w:val="18"/>
          <w:rFonts w:hint="eastAsia" w:ascii="仿宋_GB2312" w:hAnsi="仿宋_GB2312" w:eastAsia="仿宋_GB2312" w:cs="仿宋_GB2312"/>
          <w:b w:val="0"/>
          <w:bCs w:val="0"/>
          <w:spacing w:val="-4"/>
          <w:sz w:val="32"/>
          <w:szCs w:val="32"/>
          <w:lang w:eastAsia="zh-CN"/>
        </w:rPr>
        <w:t>校</w:t>
      </w:r>
      <w:r>
        <w:rPr>
          <w:rStyle w:val="18"/>
          <w:rFonts w:hint="eastAsia" w:ascii="仿宋_GB2312" w:hAnsi="仿宋_GB2312" w:eastAsia="仿宋_GB2312" w:cs="仿宋_GB2312"/>
          <w:b w:val="0"/>
          <w:bCs w:val="0"/>
          <w:spacing w:val="-4"/>
          <w:sz w:val="32"/>
          <w:szCs w:val="32"/>
        </w:rPr>
        <w:t>办学特色”为工作重点，依法治校，遵循育人规律，科学组织，努力做到“教师发展，学员发展，学校发展”，真正办一所群众满意的学校。我校党支部带领全校教职工扎实有效的确保教育投入优先保障，不断改善学员学习环境建设。</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学员满意度，满分8分，得分8分，得分率100%。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为了更好地了解和提升我校行政后勤服务的质量和效率，确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保为广大学员提供舒适的学习环境，2024年度开展了哈密市伊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州区技工学校行政后勤满意度调查。调查对象随机抽取在校培训学员，调查方式采用线下纸质问卷方式，有效回收率100%，调查内容涵盖行政管理、食堂餐饮服务、学习环境、公共设施等方面。调查结果分析，综合满意度达到97%满意</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eastAsia="zh-CN"/>
        </w:rPr>
        <w:t>健</w:t>
      </w:r>
      <w:r>
        <w:rPr>
          <w:rStyle w:val="18"/>
          <w:rFonts w:hint="eastAsia" w:ascii="仿宋_GB2312" w:hAnsi="仿宋_GB2312" w:eastAsia="仿宋_GB2312" w:cs="仿宋_GB2312"/>
          <w:b w:val="0"/>
          <w:bCs w:val="0"/>
          <w:spacing w:val="-4"/>
          <w:sz w:val="32"/>
          <w:szCs w:val="32"/>
        </w:rPr>
        <w:t>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w:t>
      </w:r>
      <w:bookmarkStart w:id="0" w:name="_GoBack"/>
      <w:bookmarkEnd w:id="0"/>
      <w:r>
        <w:rPr>
          <w:rStyle w:val="18"/>
          <w:rFonts w:hint="eastAsia" w:ascii="仿宋_GB2312" w:hAnsi="仿宋_GB2312" w:eastAsia="仿宋_GB2312" w:cs="仿宋_GB2312"/>
          <w:b w:val="0"/>
          <w:bCs w:val="0"/>
          <w:spacing w:val="-4"/>
          <w:sz w:val="32"/>
          <w:szCs w:val="32"/>
        </w:rPr>
        <w:t>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3.项目支出绩效评价存在单位局限性，客观性有待加强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支出绩效评价工作还存在自我审定的单位局限性，项目支出绩效工作有较大弹性，评价报告多单位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1.加强培训，提高相关人员工作水平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2.扎实推进档案规范化建设，提升档案管理水平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进一步完善项目评价资料。项目启动时同步做好档案的归纳与整理，及时整理、收集、汇总，健全档案资料。二是严格落实哈密市关于绩效管理工作档案资料归档的相关要求，强化收集力度，确保归档资料的完整齐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高度重视，加强领导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lang w:val="en-US" w:eastAsia="zh-CN"/>
        </w:rPr>
        <w:t>七</w:t>
      </w:r>
      <w:r>
        <w:rPr>
          <w:rStyle w:val="18"/>
          <w:rFonts w:hint="eastAsia" w:ascii="仿宋_GB2312" w:hAnsi="仿宋_GB2312" w:eastAsia="仿宋_GB2312" w:cs="仿宋_GB2312"/>
          <w:b/>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bCs w:val="0"/>
          <w:spacing w:val="-4"/>
          <w:sz w:val="32"/>
          <w:szCs w:val="32"/>
        </w:rPr>
        <w:t>无</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61444"/>
    <w:multiLevelType w:val="singleLevel"/>
    <w:tmpl w:val="8D86144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F1146A"/>
    <w:rsid w:val="0856517C"/>
    <w:rsid w:val="0BFB189F"/>
    <w:rsid w:val="11BD75F7"/>
    <w:rsid w:val="13BE561A"/>
    <w:rsid w:val="15392994"/>
    <w:rsid w:val="15520B1A"/>
    <w:rsid w:val="18FE139B"/>
    <w:rsid w:val="3029612C"/>
    <w:rsid w:val="32A221C5"/>
    <w:rsid w:val="33F20F2A"/>
    <w:rsid w:val="34C44675"/>
    <w:rsid w:val="36B82B23"/>
    <w:rsid w:val="3B5B5607"/>
    <w:rsid w:val="3C920EBC"/>
    <w:rsid w:val="3CE21B3C"/>
    <w:rsid w:val="4D2606A1"/>
    <w:rsid w:val="4F8A611E"/>
    <w:rsid w:val="51830480"/>
    <w:rsid w:val="51EB6428"/>
    <w:rsid w:val="53A616BE"/>
    <w:rsid w:val="54662BFB"/>
    <w:rsid w:val="569E749E"/>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6946</Words>
  <Characters>7283</Characters>
  <Lines>5</Lines>
  <Paragraphs>1</Paragraphs>
  <TotalTime>29</TotalTime>
  <ScaleCrop>false</ScaleCrop>
  <LinksUpToDate>false</LinksUpToDate>
  <CharactersWithSpaces>7313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2025-11-06T13:28:10Z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