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AF78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B41E65D">
      <w:pPr>
        <w:spacing w:line="540" w:lineRule="exact"/>
        <w:jc w:val="center"/>
        <w:rPr>
          <w:rFonts w:ascii="华文中宋" w:hAnsi="华文中宋" w:eastAsia="华文中宋" w:cs="宋体"/>
          <w:b/>
          <w:kern w:val="0"/>
          <w:sz w:val="52"/>
          <w:szCs w:val="52"/>
        </w:rPr>
      </w:pPr>
    </w:p>
    <w:p w14:paraId="25079144">
      <w:pPr>
        <w:spacing w:line="540" w:lineRule="exact"/>
        <w:jc w:val="center"/>
        <w:rPr>
          <w:rFonts w:ascii="华文中宋" w:hAnsi="华文中宋" w:eastAsia="华文中宋" w:cs="宋体"/>
          <w:b/>
          <w:kern w:val="0"/>
          <w:sz w:val="52"/>
          <w:szCs w:val="52"/>
        </w:rPr>
      </w:pPr>
    </w:p>
    <w:p w14:paraId="0B2C890C">
      <w:pPr>
        <w:spacing w:line="540" w:lineRule="exact"/>
        <w:jc w:val="center"/>
        <w:rPr>
          <w:rFonts w:ascii="华文中宋" w:hAnsi="华文中宋" w:eastAsia="华文中宋" w:cs="宋体"/>
          <w:b/>
          <w:kern w:val="0"/>
          <w:sz w:val="52"/>
          <w:szCs w:val="52"/>
        </w:rPr>
      </w:pPr>
    </w:p>
    <w:p w14:paraId="7B633012">
      <w:pPr>
        <w:spacing w:line="540" w:lineRule="exact"/>
        <w:jc w:val="center"/>
        <w:rPr>
          <w:rFonts w:hint="eastAsia" w:ascii="华文中宋" w:hAnsi="华文中宋" w:eastAsia="华文中宋" w:cs="宋体"/>
          <w:b/>
          <w:kern w:val="0"/>
          <w:sz w:val="52"/>
          <w:szCs w:val="52"/>
          <w:lang w:eastAsia="zh-CN"/>
        </w:rPr>
      </w:pPr>
    </w:p>
    <w:p w14:paraId="267CF46A">
      <w:pPr>
        <w:spacing w:line="540" w:lineRule="exact"/>
        <w:jc w:val="center"/>
        <w:rPr>
          <w:rFonts w:ascii="华文中宋" w:hAnsi="华文中宋" w:eastAsia="华文中宋" w:cs="宋体"/>
          <w:b/>
          <w:kern w:val="0"/>
          <w:sz w:val="52"/>
          <w:szCs w:val="52"/>
        </w:rPr>
      </w:pPr>
    </w:p>
    <w:p w14:paraId="1BE9A7CB">
      <w:pPr>
        <w:spacing w:line="540" w:lineRule="exact"/>
        <w:jc w:val="center"/>
        <w:rPr>
          <w:rFonts w:ascii="华文中宋" w:hAnsi="华文中宋" w:eastAsia="华文中宋" w:cs="宋体"/>
          <w:b/>
          <w:kern w:val="0"/>
          <w:sz w:val="52"/>
          <w:szCs w:val="52"/>
        </w:rPr>
      </w:pPr>
    </w:p>
    <w:p w14:paraId="0F0A70F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B7BE065">
      <w:pPr>
        <w:spacing w:line="540" w:lineRule="exact"/>
        <w:jc w:val="center"/>
        <w:rPr>
          <w:rFonts w:ascii="华文中宋" w:hAnsi="华文中宋" w:eastAsia="华文中宋" w:cs="宋体"/>
          <w:b/>
          <w:kern w:val="0"/>
          <w:sz w:val="52"/>
          <w:szCs w:val="52"/>
        </w:rPr>
      </w:pPr>
    </w:p>
    <w:p w14:paraId="525E6D3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96A425D">
      <w:pPr>
        <w:spacing w:line="540" w:lineRule="exact"/>
        <w:jc w:val="center"/>
        <w:rPr>
          <w:rFonts w:hAnsi="宋体" w:eastAsia="仿宋_GB2312" w:cs="宋体"/>
          <w:kern w:val="0"/>
          <w:sz w:val="30"/>
          <w:szCs w:val="30"/>
        </w:rPr>
      </w:pPr>
    </w:p>
    <w:p w14:paraId="3A2C5B73">
      <w:pPr>
        <w:spacing w:line="540" w:lineRule="exact"/>
        <w:jc w:val="center"/>
        <w:rPr>
          <w:rFonts w:hAnsi="宋体" w:eastAsia="仿宋_GB2312" w:cs="宋体"/>
          <w:kern w:val="0"/>
          <w:sz w:val="30"/>
          <w:szCs w:val="30"/>
        </w:rPr>
      </w:pPr>
    </w:p>
    <w:p w14:paraId="47A1AAB2">
      <w:pPr>
        <w:spacing w:line="540" w:lineRule="exact"/>
        <w:jc w:val="center"/>
        <w:rPr>
          <w:rFonts w:hAnsi="宋体" w:eastAsia="仿宋_GB2312" w:cs="宋体"/>
          <w:kern w:val="0"/>
          <w:sz w:val="30"/>
          <w:szCs w:val="30"/>
        </w:rPr>
      </w:pPr>
    </w:p>
    <w:p w14:paraId="3BFF3E6F">
      <w:pPr>
        <w:spacing w:line="540" w:lineRule="exact"/>
        <w:jc w:val="center"/>
        <w:rPr>
          <w:rFonts w:hAnsi="宋体" w:eastAsia="仿宋_GB2312" w:cs="宋体"/>
          <w:kern w:val="0"/>
          <w:sz w:val="30"/>
          <w:szCs w:val="30"/>
        </w:rPr>
      </w:pPr>
    </w:p>
    <w:p w14:paraId="0C905075">
      <w:pPr>
        <w:spacing w:line="540" w:lineRule="exact"/>
        <w:jc w:val="center"/>
        <w:rPr>
          <w:rFonts w:hAnsi="宋体" w:eastAsia="仿宋_GB2312" w:cs="宋体"/>
          <w:kern w:val="0"/>
          <w:sz w:val="30"/>
          <w:szCs w:val="30"/>
        </w:rPr>
      </w:pPr>
    </w:p>
    <w:p w14:paraId="7DFC3485">
      <w:pPr>
        <w:spacing w:line="540" w:lineRule="exact"/>
        <w:jc w:val="center"/>
        <w:rPr>
          <w:rFonts w:hAnsi="宋体" w:eastAsia="仿宋_GB2312" w:cs="宋体"/>
          <w:kern w:val="0"/>
          <w:sz w:val="30"/>
          <w:szCs w:val="30"/>
        </w:rPr>
      </w:pPr>
    </w:p>
    <w:p w14:paraId="31B87C75">
      <w:pPr>
        <w:spacing w:line="540" w:lineRule="exact"/>
        <w:rPr>
          <w:rFonts w:hAnsi="宋体" w:eastAsia="仿宋_GB2312" w:cs="宋体"/>
          <w:kern w:val="0"/>
          <w:sz w:val="30"/>
          <w:szCs w:val="30"/>
        </w:rPr>
      </w:pPr>
    </w:p>
    <w:p w14:paraId="556E858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59A1CA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2021年基层科普行动计划资金</w:t>
      </w:r>
    </w:p>
    <w:p w14:paraId="69CE122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哈密市伊州区科学技术协会</w:t>
      </w:r>
    </w:p>
    <w:p w14:paraId="67230E4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哈密市伊州区人民政府办公室</w:t>
      </w:r>
    </w:p>
    <w:p w14:paraId="2C64FE2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张江宏</w:t>
      </w:r>
    </w:p>
    <w:p w14:paraId="046E6135">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2025年05月18日</w:t>
      </w:r>
    </w:p>
    <w:p w14:paraId="4F242D14">
      <w:pPr>
        <w:spacing w:line="700" w:lineRule="exact"/>
        <w:ind w:firstLine="708" w:firstLineChars="236"/>
        <w:jc w:val="left"/>
        <w:rPr>
          <w:rFonts w:hAnsi="宋体" w:eastAsia="仿宋_GB2312" w:cs="宋体"/>
          <w:kern w:val="0"/>
          <w:sz w:val="30"/>
          <w:szCs w:val="30"/>
        </w:rPr>
      </w:pPr>
    </w:p>
    <w:p w14:paraId="6311C1F7">
      <w:pPr>
        <w:spacing w:line="540" w:lineRule="exact"/>
        <w:rPr>
          <w:rStyle w:val="19"/>
          <w:rFonts w:ascii="黑体" w:hAnsi="黑体" w:eastAsia="黑体"/>
          <w:b w:val="0"/>
          <w:spacing w:val="-4"/>
          <w:sz w:val="32"/>
          <w:szCs w:val="32"/>
        </w:rPr>
      </w:pPr>
    </w:p>
    <w:p w14:paraId="0C9DFAF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F4C72C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2A4F39E0">
      <w:pPr>
        <w:spacing w:line="540" w:lineRule="exact"/>
        <w:ind w:left="1051" w:leftChars="456" w:hanging="93" w:hangingChars="3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4DBD275F">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2021年基层科普行动计划上级转移拨付预算资金8万元，主要用于文化传媒平台运营费，科技工作者日慰问；深入推进银龄工程。与伊州区老年体育协会举办首届“展银龄康乐风采、爱运动永无止境”伊州区科普杯老年门球邀请赛，老年人门球赛奖品，利用好奇伊州抖音平台及户外宣传栏等阵地，及时做好政策解读、知识普及和舆情引导，文化传媒作品征集活动费。落实全民科学素质行动计划纲要，把提高全民科学素质摆在更加突出的位置抓紧抓实，发挥全民科学素质领导小组办公室协调作用，动员督促各成员单位认真落实职责分工，着力推动科普能力的不断增强，同时，为了确保该项目的顺利实施，单位于2024年制定了</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确保该项目的顺利实施。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收到上级提前下达</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下达资金8万元，计划投入8万元，开通《好奇伊州》抖音公众号，大力传播科学文化知识、大力弘扬科学精神和科学家精神，《好奇伊州》抖音公众号发布作品30个，作品浏览量达到10万人次；开展科技文化卫生“三下乡”，“世界水日”“全国防灾减灾日”“节能低碳日”“世界助残日”“科技工作者日”等主题活动及科普大篷车志愿服务活动13场次；完善和建立“科技工作者联系制度”、“科技工作者建议征集”等制度。举办“科技工作者日”活动；大力开展高技能人才培训。充分发挥高技能人才实训基地、技能大师工作室、职工教育培训中心、职业技能培训学校平台作用；引导各行业科技工作者积极建言献策。并对各部门单位推荐的25名优秀科技工作者进行慰问，向自治区科协推荐4名优秀科技工作者参加中国青年科技奖的评选，与伊州区老年体育协会举办首届“展银龄康乐风采、爱运动永无止境”伊州区科普杯老年门球邀请赛。与市中心医院、商业银行深入五个街道10个社区开展智享时代·银龄生活---伊州区科协关爱老人科普志愿服务活动；本项目于2024年02月开始实施，截止2024年12月31日已完成99.50%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成功举办首届“好奇伊州”抖音短视频作品征集活动。全区共有60部作品参加活动，有39个参赛作品通过评选分别获得一、二、三等奖和优秀奖。通过短视频这一新兴传播方式，以生动有趣的形式普及科学知识，展示科技创新成果，激发公众的科学好奇心和探索欲。</w:t>
      </w:r>
      <w:r>
        <w:rPr>
          <w:rStyle w:val="19"/>
          <w:rFonts w:hint="eastAsia" w:ascii="楷体" w:hAnsi="楷体" w:eastAsia="楷体"/>
          <w:b w:val="0"/>
          <w:bCs w:val="0"/>
          <w:spacing w:val="-4"/>
          <w:sz w:val="32"/>
          <w:szCs w:val="32"/>
          <w:lang w:val="en-US" w:eastAsia="zh-CN"/>
        </w:rPr>
        <w:t>截至</w:t>
      </w:r>
      <w:r>
        <w:rPr>
          <w:rStyle w:val="19"/>
          <w:rFonts w:hint="eastAsia" w:ascii="楷体" w:hAnsi="楷体" w:eastAsia="楷体"/>
          <w:b w:val="0"/>
          <w:bCs w:val="0"/>
          <w:spacing w:val="-4"/>
          <w:sz w:val="32"/>
          <w:szCs w:val="32"/>
        </w:rPr>
        <w:t>目前，《好奇伊州》抖音公众号发布作品62个，作品浏览量达到257692人次，点赞量已达到3125人次。此项目预算3.5万元，实际支出3.5万元。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持续做好人才服务机制。召开2024年度伊州区科技工作者交流座谈会，引导各行业科技工作者积极建言献策。并对各部门单位推荐的25名优秀科技工作者进行慰问。2024年向自治区科协推荐4名优秀科技工作者参加中国青年科技奖的评选。此项目预算0.5万元，实际支出0.5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与伊州区老年体育协会举办首届“展银龄康乐风采、爱运动永无止境”伊州区科普杯老年门球邀请赛。与市中心医院、商业银行深入五个街道10个社区开展智享时代·银龄生活---伊州区科协关爱老人科普志愿服务活动，进一步弘扬中华民族尊老、敬老、孝老的传统美德，加强对基层老人的感情交流和生活关怀。共有600余名老年人得到科普、宣传、义诊服务。此项目预算1万元，实际支出0.97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印刷老年人科普读物、企业科协建立折页、新疆科协企业创新服务清单、应急科普宣传、养殖业、畜牧业、林果业、庭院经济、设施农业等方面的等宣传册。用于对伊州区所属科技类中小微企业开展全面摸底调研、展智享时代·银龄生活---伊州区科协关爱老人科普志愿服务活动、农牧民科学文化素质提升工作要求、完善应急科普协同机制等方面做好政策解读、知识普及和舆情引导。此项目预算3万元，实际支出3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计划拨付8万元，项目于2024年1月28日批复预算资金8万元，截至2024年12月31日，项目用于用于文化传媒平台运营费，科技工作者日慰问；深入推进银龄工程。与伊州区老年体育协会举办首届“展银龄康乐风采、爱运动永无止境”伊州区科普杯老年门球邀请赛，老年人门球赛奖品，利用好奇伊州抖音平台及户外宣传栏等阵地，及时做好政策解读、知识普及和舆情引导，文化传媒作品征集活动费，项目资金支付7.96万元，资金到位率100%，预算执行率为99.5%。通过本项目的实施有效带动了科普宣传信息化基础设施正常运行，提升了科普行动服务水平、增强了科普宣传满意产出比例，提升科技成果转化率。</w:t>
      </w:r>
    </w:p>
    <w:p w14:paraId="6873008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103C166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2024年本项目计划投入8万元，用于科普文化抖音传播项目预算3.5万元，计划完成10万人次；做好人才服务机制项目预算0.5万元，推荐的25名优秀科技工作者进行慰问；推进银龄工程，深入五个街道10个社区开展智享时代·银龄生活---伊州区科协关爱老人科普志愿服务活动项目预算1万元；用于对伊州区所属科技类中小微企业开展全面摸底调研、</w:t>
      </w:r>
      <w:r>
        <w:rPr>
          <w:rStyle w:val="19"/>
          <w:rFonts w:hint="eastAsia" w:ascii="楷体" w:hAnsi="楷体" w:eastAsia="楷体"/>
          <w:b w:val="0"/>
          <w:bCs w:val="0"/>
          <w:spacing w:val="-4"/>
          <w:sz w:val="32"/>
          <w:szCs w:val="32"/>
          <w:lang w:val="en-US" w:eastAsia="zh-CN"/>
        </w:rPr>
        <w:t>开</w:t>
      </w:r>
      <w:r>
        <w:rPr>
          <w:rStyle w:val="19"/>
          <w:rFonts w:hint="eastAsia" w:ascii="楷体" w:hAnsi="楷体" w:eastAsia="楷体"/>
          <w:b w:val="0"/>
          <w:bCs w:val="0"/>
          <w:spacing w:val="-4"/>
          <w:sz w:val="32"/>
          <w:szCs w:val="32"/>
        </w:rPr>
        <w:t>展智享时代·银龄生活---伊州区科协关爱老人科普志愿服务活动、项目预算3万元；提升科普宣传管理服务水平，加强科普宣传满意产出比例，提升科技成果转化率，通过科普行动目标合作，培养高水平科技人才，提升科普管理服务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数量指标：科普文化抖音传播数量个数不低于10万人次；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数量指标：开展科普系列活动场次不低于3场次；</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数量指标：支持基层科普组织不低于2个。</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质量指标：抖音号运行稳定率达到95%；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质量指标：科普系列活动圆满完成率达到95%。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质量指标：支持科普组织合规达到100%；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时效指标：基层科普行动计划完成及时率达到100%。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经济成本指标：成本控制率不高于8万元。</w:t>
      </w:r>
      <w:r>
        <w:cr/>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社会效益指标：提升居民科学素养进一步提高；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社会效益指标：科技推广能力进一步提高。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满意度指标：科普活动参与者满意度不低于95%。</w:t>
      </w:r>
    </w:p>
    <w:p w14:paraId="3C705E6C">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E003D85">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5D5E41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文件精神，对2021年基层科普行动计划项目绩效目标实现情况进行自评。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0D09109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556AD8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数量指标：科普文化抖音传播数量个数不低于10万人，权重2分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数量指标：开展科普系列活动数量个数不低于3场次，权重2分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数量指标：支持基层科普组织不低于2个，权重2分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 抖音号运行稳定率达到95%，权重2分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质量指标：科普系列活动圆满完成率达到95%，权重2分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质量指标：支持科普组织合规率达到100%，权重2分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时效指标：基层科普行动计划完成及时率达到100%，权重5分。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经济成本指标：基层科普行动计划经费，权重5分。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社会效益指标：提升居民科学素养，权重15分。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社会效益指标：提升科技推广能力，权重15分。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科普活动参与者满意度，权重8分。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2021年基层科普行动计划项目绩效评价主要通过项目单位自评、主管部门监督、财政部门参评的方式开展绩效评价工作。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14:paraId="76A11CBB">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71E9F3D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发放调查问卷开展科普活动参与者满意度调查工作。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36A48E6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04272E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99.85</w:t>
      </w:r>
      <w:r>
        <w:rPr>
          <w:rStyle w:val="19"/>
          <w:rFonts w:hint="eastAsia" w:ascii="楷体" w:hAnsi="楷体" w:eastAsia="楷体"/>
          <w:b w:val="0"/>
          <w:bCs w:val="0"/>
          <w:spacing w:val="-4"/>
          <w:sz w:val="32"/>
          <w:szCs w:val="32"/>
        </w:rPr>
        <w:t>分，自评结果为“优”，其中项目决策得分17分，项目过程得分23分，项目产出得分22分，项目效益得分30分，项目满意度得分8分。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综合评价结论：项目决策方面，项目立项依据根据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进行立项，符合相关规定要求，绩效目标设置明确，符合部门履职工作需求；项目过程方面，本项目共计申请资金8万元，全年下达指标8万元，资金到位率100%，项目过程方面实际到位资金与预算资金的比率99.50%，项目预算资金能按照计划执行，实际到位预算项目资金全部开展，已实施完成；项目产出方面，项目开展科普系列活动，资金拨付合规，时限及时，成本控制符合预期标准项目；效益方面，部门项目实施，测算过程部分达成年度指标表并具有一定的效果建设指标清晰；项目满意度方面，据对社会公众或服务对象对项目实施效果的满意度调查结果好。</w:t>
      </w:r>
    </w:p>
    <w:p w14:paraId="410546D4">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3A6FFE2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F327751">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、项目立项是否符合国家法律法规、国民经济</w:t>
      </w:r>
      <w:r>
        <w:rPr>
          <w:rStyle w:val="19"/>
          <w:rFonts w:hint="eastAsia" w:ascii="楷体" w:hAnsi="楷体" w:eastAsia="楷体"/>
          <w:b w:val="0"/>
          <w:bCs w:val="0"/>
          <w:spacing w:val="-4"/>
          <w:sz w:val="32"/>
          <w:szCs w:val="32"/>
          <w:lang w:val="en-US" w:eastAsia="zh-CN"/>
        </w:rPr>
        <w:t>和社会</w:t>
      </w:r>
      <w:r>
        <w:rPr>
          <w:rStyle w:val="19"/>
          <w:rFonts w:hint="eastAsia" w:ascii="楷体" w:hAnsi="楷体" w:eastAsia="楷体"/>
          <w:b w:val="0"/>
          <w:bCs w:val="0"/>
          <w:spacing w:val="-4"/>
          <w:sz w:val="32"/>
          <w:szCs w:val="32"/>
        </w:rPr>
        <w:t>发展规划和相关政策，符合行业发展规划和政策要求，符合我单位弘扬科学精神，普及科学知识，传播科学思想和方法。捍卫科学尊严，推广普及先进技术，文化传媒平台运营费，科技工作者日慰问；深入推进银龄工程。与伊州区老年体育协会举办首届“展银龄康乐风采、爱运动永无止境”伊州区科普杯老年门球邀请赛，老年人门球赛奖品，利用好奇伊州抖音平台及户外宣传栏等阵地，及时做好政策解读、知识普及和舆情引导，文化传媒作品征集活动，提高全民科学文化素质，符合职责范围相符，属于部门履职所需属于公共财政支持范围，符合市、区两级政府事权支出责任划分原则。项目不存在与相关部门同类项目或部门</w:t>
      </w:r>
      <w:r>
        <w:rPr>
          <w:rStyle w:val="19"/>
          <w:rFonts w:hint="eastAsia" w:ascii="楷体" w:hAnsi="楷体" w:eastAsia="楷体"/>
          <w:b w:val="0"/>
          <w:bCs w:val="0"/>
          <w:spacing w:val="-4"/>
          <w:sz w:val="32"/>
          <w:szCs w:val="32"/>
          <w:lang w:val="en-US" w:eastAsia="zh-CN"/>
        </w:rPr>
        <w:t>单位</w:t>
      </w:r>
      <w:r>
        <w:rPr>
          <w:rStyle w:val="19"/>
          <w:rFonts w:hint="eastAsia" w:ascii="楷体" w:hAnsi="楷体" w:eastAsia="楷体"/>
          <w:b w:val="0"/>
          <w:bCs w:val="0"/>
          <w:spacing w:val="-4"/>
          <w:sz w:val="32"/>
          <w:szCs w:val="32"/>
        </w:rPr>
        <w:t>相关项目存在政策交叉重复。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（2）立项程序规范性，满分2分，得分2分，得分率100%。</w:t>
      </w:r>
    </w:p>
    <w:p w14:paraId="51160DDD">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项目立项符合规定程序，审批文件等材料合规、完整，有完整的评估程序和集体决策。</w:t>
      </w:r>
      <w:r>
        <w:cr/>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文件要求本单位年初计划，为提升全民科学素质，组织科技工作者，凝聚科技力量，建立科技基础。通过清晰、可衡量的指标值予以体现；与项目目标任务数或计划数相对应。</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、进行项目绩效目标与实际工作内容是否具有相关性；项目预期产出效益和效果是否符合正常的业绩水平；与预算确定的项目投资额</w:t>
      </w:r>
      <w:r>
        <w:rPr>
          <w:rStyle w:val="19"/>
          <w:rFonts w:hint="eastAsia" w:ascii="楷体" w:hAnsi="楷体" w:eastAsia="楷体"/>
          <w:b w:val="0"/>
          <w:bCs w:val="0"/>
          <w:spacing w:val="-4"/>
          <w:sz w:val="32"/>
          <w:szCs w:val="32"/>
          <w:lang w:val="en-US" w:eastAsia="zh-CN"/>
        </w:rPr>
        <w:t>和</w:t>
      </w:r>
      <w:r>
        <w:rPr>
          <w:rStyle w:val="19"/>
          <w:rFonts w:hint="eastAsia" w:ascii="楷体" w:hAnsi="楷体" w:eastAsia="楷体"/>
          <w:b w:val="0"/>
          <w:bCs w:val="0"/>
          <w:spacing w:val="-4"/>
          <w:sz w:val="32"/>
          <w:szCs w:val="32"/>
        </w:rPr>
        <w:t>资金量相匹配。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、进行项目绩效目标与实际工作内容的相关性；下达2021年基层科普行动计划8万元。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本项目不涉及人力、资本性支出等项目内容，只涉及商品服务支出。</w:t>
      </w:r>
      <w:r>
        <w:rPr>
          <w:rStyle w:val="19"/>
          <w:rFonts w:hint="eastAsia" w:ascii="楷体" w:hAnsi="楷体" w:eastAsia="楷体"/>
          <w:b w:val="0"/>
          <w:bCs w:val="0"/>
          <w:spacing w:val="-4"/>
          <w:sz w:val="32"/>
          <w:szCs w:val="32"/>
          <w:lang w:eastAsia="zh-CN"/>
        </w:rPr>
        <w:tab/>
      </w:r>
    </w:p>
    <w:p w14:paraId="5D86101E">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360083F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文件要求预计下达资金为8万元，实际到位资金为7.9</w:t>
      </w:r>
      <w:r>
        <w:rPr>
          <w:rStyle w:val="19"/>
          <w:rFonts w:hint="eastAsia" w:ascii="楷体" w:hAnsi="楷体" w:eastAsia="楷体"/>
          <w:b w:val="0"/>
          <w:bCs w:val="0"/>
          <w:spacing w:val="-4"/>
          <w:sz w:val="32"/>
          <w:szCs w:val="32"/>
          <w:lang w:val="en-US" w:eastAsia="zh-CN"/>
        </w:rPr>
        <w:t>6</w:t>
      </w:r>
      <w:r>
        <w:rPr>
          <w:rStyle w:val="19"/>
          <w:rFonts w:hint="eastAsia" w:ascii="楷体" w:hAnsi="楷体" w:eastAsia="楷体"/>
          <w:b w:val="0"/>
          <w:bCs w:val="0"/>
          <w:spacing w:val="-4"/>
          <w:sz w:val="32"/>
          <w:szCs w:val="32"/>
        </w:rPr>
        <w:t>万元。实际到位资金与预算资金的比率99.50%。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伊州区财政下达“2021年基层科普行动计划”2024年2月8万元，2024年实际支付7.9</w:t>
      </w:r>
      <w:r>
        <w:rPr>
          <w:rStyle w:val="19"/>
          <w:rFonts w:hint="eastAsia" w:ascii="楷体" w:hAnsi="楷体" w:eastAsia="楷体"/>
          <w:b w:val="0"/>
          <w:bCs w:val="0"/>
          <w:spacing w:val="-4"/>
          <w:sz w:val="32"/>
          <w:szCs w:val="32"/>
          <w:lang w:val="en-US" w:eastAsia="zh-CN"/>
        </w:rPr>
        <w:t>6</w:t>
      </w:r>
      <w:r>
        <w:rPr>
          <w:rStyle w:val="19"/>
          <w:rFonts w:hint="eastAsia" w:ascii="楷体" w:hAnsi="楷体" w:eastAsia="楷体"/>
          <w:b w:val="0"/>
          <w:bCs w:val="0"/>
          <w:spacing w:val="-4"/>
          <w:sz w:val="32"/>
          <w:szCs w:val="32"/>
        </w:rPr>
        <w:t>万元，项目预算资金能按照计划执行，实际到位资金与预算资金的比率99.50%，预算资金项目已开展完成。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w:t>
      </w:r>
    </w:p>
    <w:p w14:paraId="5F0ADE2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建立本单位采购、轮岗、固定资产、绩效管理、合同等制度，但本单位业务管理制度还不够健全。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本单位聘请了专业的法律顾问，在合同签订、项目验收等方面能进行专业指导。</w:t>
      </w:r>
    </w:p>
    <w:p w14:paraId="0DD6916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39E6023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（1）科普文化抖音传播数量，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根据项目工作计划要求，科普文化抖音传播人数10万人，依据工作总结显示，实际完成科普文化抖音传播人数25.76万人，符合计划要求。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（2）开展科普系列活动，满分2分，得分2分，得分率100%。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根据项目工作计划要求，开展科普系列活动3场次，依据工作总结显示，实际完成开展科普系列活动3场次，符合计划要求。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（3）支持基层科普组织，满分2分，得分2分，得分率100%。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根据项目工作计划要求，支持基层科普组织2个，依据工作总结显示，实际完成支持基层科普组织2个，符合计划要求。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 抖音号运行稳定率，满分2分，得分2分，得分率100%。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根据项目工作计划，要求抖音号运行稳定率为100%，通过伊州抖音资料方案签到册显示，抖音号运行稳定率为100%，符合计划要求。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（2）科普系列活动圆满完成率，满分2分，得分2分，得分率100%。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根据项目工作计划，要求科普系列活动圆满完成率为100%，通过项目工作总结显示，科普系列活动圆满完成率为100%，符合计划要求。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（3）支持科普组织合规率，满分2分，得分2分，得分率100%。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根据项目工作计划，要求支持科普组织合规率为100%，通过项目工作总结显示，支持科普组织合规率为100%，符合计划要求。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基层科普行动计划完成及时率，满分5分，得分5分，得分率100%。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本年度伊州区科学技术协会根据区政府的统一安排进行拨付；项目全部开展，实施完成。基层科普行动计划完成及时率为100%。</w:t>
      </w:r>
      <w:r>
        <w:cr/>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基层科普行动计划经费，满分5分，得分5分，得分率100%。伊州区财政提前下达中央“2021年基层科普行动计划”2024年2月下达资金8万元，2024年实际支付7.9</w:t>
      </w:r>
      <w:r>
        <w:rPr>
          <w:rStyle w:val="19"/>
          <w:rFonts w:hint="eastAsia" w:ascii="楷体" w:hAnsi="楷体" w:eastAsia="楷体"/>
          <w:b w:val="0"/>
          <w:bCs w:val="0"/>
          <w:spacing w:val="-4"/>
          <w:sz w:val="32"/>
          <w:szCs w:val="32"/>
          <w:lang w:val="en-US" w:eastAsia="zh-CN"/>
        </w:rPr>
        <w:t>6</w:t>
      </w:r>
      <w:r>
        <w:rPr>
          <w:rStyle w:val="19"/>
          <w:rFonts w:hint="eastAsia" w:ascii="楷体" w:hAnsi="楷体" w:eastAsia="楷体"/>
          <w:b w:val="0"/>
          <w:bCs w:val="0"/>
          <w:spacing w:val="-4"/>
          <w:sz w:val="32"/>
          <w:szCs w:val="32"/>
        </w:rPr>
        <w:t>万元，项目预算资金能按照计划执行，实际到位资金与预算资金的比率99.95%，预算项目资金全部开展，已实施完成。</w:t>
      </w:r>
    </w:p>
    <w:p w14:paraId="3D0E8B0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3E56F9F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（1）提升居民科学素养，满分15分，得分15分，得分率100%。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伊州区科协为认真贯彻实施科教兴</w:t>
      </w:r>
      <w:r>
        <w:rPr>
          <w:rStyle w:val="19"/>
          <w:rFonts w:hint="eastAsia" w:ascii="楷体" w:hAnsi="楷体" w:eastAsia="楷体"/>
          <w:b w:val="0"/>
          <w:bCs w:val="0"/>
          <w:spacing w:val="-4"/>
          <w:sz w:val="32"/>
          <w:szCs w:val="32"/>
          <w:lang w:val="en-US" w:eastAsia="zh-CN"/>
        </w:rPr>
        <w:t>国</w:t>
      </w:r>
      <w:r>
        <w:rPr>
          <w:rStyle w:val="19"/>
          <w:rFonts w:hint="eastAsia" w:ascii="楷体" w:hAnsi="楷体" w:eastAsia="楷体"/>
          <w:b w:val="0"/>
          <w:bCs w:val="0"/>
          <w:spacing w:val="-4"/>
          <w:sz w:val="32"/>
          <w:szCs w:val="32"/>
        </w:rPr>
        <w:t>战略，弘扬科学精神，普及科学知识，传播科学思想和方法。捍卫科学尊严，推广普及先进技术，文化传媒平台运营费，科技工作者日慰问；深入推进银龄工程。与伊州区老年体育协会举办首届“展银龄康乐风采、爱运动永无止境”伊州区科普杯老年门球邀请赛，老年人门球赛奖品，利用好奇伊州抖音平台及户外宣传栏等阵地，及时做好政策解读、知识普及和舆情引导，文化传媒作品征集活动，提高全民科学文化素质，围绕伊州区经济发展实际，发挥好科技工作者和农业专家的作用，开展种植、养殖、设施农业和庭院经济等方面的，面向农村推广新技术新品种，</w:t>
      </w:r>
      <w:r>
        <w:rPr>
          <w:rStyle w:val="19"/>
          <w:rFonts w:hint="eastAsia" w:ascii="楷体" w:hAnsi="楷体" w:eastAsia="楷体"/>
          <w:b w:val="0"/>
          <w:bCs w:val="0"/>
          <w:spacing w:val="-4"/>
          <w:sz w:val="32"/>
          <w:szCs w:val="32"/>
          <w:lang w:val="en-US" w:eastAsia="zh-CN"/>
        </w:rPr>
        <w:t>发放</w:t>
      </w:r>
      <w:r>
        <w:rPr>
          <w:rStyle w:val="19"/>
          <w:rFonts w:hint="eastAsia" w:ascii="楷体" w:hAnsi="楷体" w:eastAsia="楷体"/>
          <w:b w:val="0"/>
          <w:bCs w:val="0"/>
          <w:spacing w:val="-4"/>
          <w:sz w:val="32"/>
          <w:szCs w:val="32"/>
        </w:rPr>
        <w:t>科学与生活、知识力量、科普读本等科普图书，全面推进全民科学素质的提升。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（2）提升科技推广能力，满分15分，得分15分，得分率100%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计划实施利用好奇伊州抖音平台及户外宣传栏等阵地，及时做好政策解读、知识普及和舆情引导，对伊州区所属12家科技类中小微企业开展全面摸底调研。成功举办首届“好奇伊州”抖音短视频作品征集活动。全区共有60部作品参加活动，有39个参赛作品通过评选分别获得一、二、三等奖和优秀奖。通过短视频这一新兴传播方式，以生动有趣的形式普及科学知识，展示科技创新成果，激发公众的科学好奇心和探索欲。</w:t>
      </w:r>
      <w:r>
        <w:rPr>
          <w:rStyle w:val="19"/>
          <w:rFonts w:hint="eastAsia" w:ascii="楷体" w:hAnsi="楷体" w:eastAsia="楷体"/>
          <w:b w:val="0"/>
          <w:bCs w:val="0"/>
          <w:spacing w:val="-4"/>
          <w:sz w:val="32"/>
          <w:szCs w:val="32"/>
          <w:lang w:val="en-US" w:eastAsia="zh-CN"/>
        </w:rPr>
        <w:t>截至</w:t>
      </w:r>
      <w:r>
        <w:rPr>
          <w:rStyle w:val="19"/>
          <w:rFonts w:hint="eastAsia" w:ascii="楷体" w:hAnsi="楷体" w:eastAsia="楷体"/>
          <w:b w:val="0"/>
          <w:bCs w:val="0"/>
          <w:spacing w:val="-4"/>
          <w:sz w:val="32"/>
          <w:szCs w:val="32"/>
        </w:rPr>
        <w:t>目前，《好奇伊州》抖音公众号发布作品62个，作品浏览量达到257692人次，点赞量已达到3125人次。引导居民科学生产、健康生活，可持续发展。</w:t>
      </w:r>
    </w:p>
    <w:p w14:paraId="2F62D134">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0E09BEDF">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科普活动参与者满意度，满分8分，得分8分，得分率</w:t>
      </w:r>
    </w:p>
    <w:p w14:paraId="467628BB">
      <w:pPr>
        <w:spacing w:line="540" w:lineRule="exact"/>
        <w:ind w:firstLine="624" w:firstLineChars="2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本年度伊州区科学技术协会采用随机发放的方式出30份调查表，结果都获得了一致的好评。</w:t>
      </w:r>
    </w:p>
    <w:p w14:paraId="03871B92">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6D6B266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1、领导重视，组织策划周密按照中央、自治区、哈密市科协的统一要求，区科协高度重视，结合实际，成立了工作领导小组，对2024年科普日活动进行了专题研究、全面地安排和部署，为全</w:t>
      </w:r>
      <w:r>
        <w:rPr>
          <w:rStyle w:val="19"/>
          <w:rFonts w:hint="eastAsia" w:ascii="楷体" w:hAnsi="楷体" w:eastAsia="楷体"/>
          <w:b w:val="0"/>
          <w:bCs w:val="0"/>
          <w:spacing w:val="-4"/>
          <w:sz w:val="32"/>
          <w:szCs w:val="32"/>
          <w:lang w:val="en-US" w:eastAsia="zh-CN"/>
        </w:rPr>
        <w:t>国</w:t>
      </w:r>
      <w:r>
        <w:rPr>
          <w:rStyle w:val="19"/>
          <w:rFonts w:hint="eastAsia" w:ascii="楷体" w:hAnsi="楷体" w:eastAsia="楷体"/>
          <w:b w:val="0"/>
          <w:bCs w:val="0"/>
          <w:spacing w:val="-4"/>
          <w:sz w:val="32"/>
          <w:szCs w:val="32"/>
        </w:rPr>
        <w:t>科普日活动的有序、顺利开展打下了良好的组织基础。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w:t>
      </w:r>
      <w:bookmarkStart w:id="0" w:name="_GoBack"/>
      <w:bookmarkEnd w:id="0"/>
      <w:r>
        <w:rPr>
          <w:rStyle w:val="19"/>
          <w:rFonts w:hint="eastAsia" w:ascii="楷体" w:hAnsi="楷体" w:eastAsia="楷体"/>
          <w:b w:val="0"/>
          <w:bCs w:val="0"/>
          <w:spacing w:val="-4"/>
          <w:sz w:val="32"/>
          <w:szCs w:val="32"/>
        </w:rPr>
        <w:t>加强绩效执行管理，做好事前审批、事中管理和事后监督工作，不断加快绩效执行进度，推动绩效执行按照资金计划有序进行。强化支出绩效约束，进一步提高绩效编制的科学性和准确性，完善绩效执行动态约束机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3、加强财政绩效资金管理，统筹协调推进项目执行，提高财政资金效益和效果进一步细化收支项目，按项目、按时间、按进度支出，提高资金的使用</w:t>
      </w:r>
      <w:r>
        <w:rPr>
          <w:rStyle w:val="19"/>
          <w:rFonts w:hint="eastAsia" w:ascii="楷体" w:hAnsi="楷体" w:eastAsia="楷体"/>
          <w:b w:val="0"/>
          <w:bCs w:val="0"/>
          <w:spacing w:val="-4"/>
          <w:sz w:val="32"/>
          <w:szCs w:val="32"/>
          <w:lang w:val="en-US" w:eastAsia="zh-CN"/>
        </w:rPr>
        <w:t>效率</w:t>
      </w:r>
      <w:r>
        <w:rPr>
          <w:rStyle w:val="19"/>
          <w:rFonts w:hint="eastAsia" w:ascii="楷体" w:hAnsi="楷体" w:eastAsia="楷体"/>
          <w:b w:val="0"/>
          <w:bCs w:val="0"/>
          <w:spacing w:val="-4"/>
          <w:sz w:val="32"/>
          <w:szCs w:val="32"/>
        </w:rPr>
        <w:t>，尽量避免跨年下拨。</w:t>
      </w:r>
    </w:p>
    <w:p w14:paraId="6438F1F9">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1.预算执行观念薄弱。</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对预算执行缺乏正确认识，对预算执行的重要性的认识还不到位，预算执行意识不强，对预算执行知识缺乏基本了解，把预算执行看成是财务部门的事，对预算执行缺乏积极性、主动性。</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2.工作主动性、前瞻性不足。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项目实施的工程中，在项目立项的过程中绩效指标设置不够严谨，没有把握好项目所设立的绩效目标，没有具体细化分解产出指标、效益指标及满意度指标，项目产出指标中的数量指标没有具体量化，预算资金到位存在个别指标未完全达到预期。</w:t>
      </w:r>
    </w:p>
    <w:p w14:paraId="7CA5E2C5">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27DCF549">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1、完善管理落实预算执行分析，及时了解预算执行差异，合理调整、纠正预算</w:t>
      </w:r>
      <w:r>
        <w:rPr>
          <w:rStyle w:val="19"/>
          <w:rFonts w:hint="eastAsia" w:ascii="楷体" w:hAnsi="楷体" w:eastAsia="楷体"/>
          <w:b w:val="0"/>
          <w:bCs w:val="0"/>
          <w:spacing w:val="-4"/>
          <w:sz w:val="32"/>
          <w:szCs w:val="32"/>
          <w:lang w:val="en-US" w:eastAsia="zh-CN"/>
        </w:rPr>
        <w:t>执行</w:t>
      </w:r>
      <w:r>
        <w:rPr>
          <w:rStyle w:val="19"/>
          <w:rFonts w:hint="eastAsia" w:ascii="楷体" w:hAnsi="楷体" w:eastAsia="楷体"/>
          <w:b w:val="0"/>
          <w:bCs w:val="0"/>
          <w:spacing w:val="-4"/>
          <w:sz w:val="32"/>
          <w:szCs w:val="32"/>
        </w:rPr>
        <w:t>偏差，切实提高部门预算收支管理水平。加强项目管理人员的培训和素质提升，提高其对项目管理的要求和标准的认识和理解。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2、建立完善的项目立项管理制度和流程，规范项目立项的各个阶段和环节，提高项目立项的效率和质量。加强项目管理，保障项目及时完成高度重视，精心组织。项目负责人及时调整项目内容，提高项目管理精确度，加强业务人员沟通交流，保障项目及时运转。进一歩健全绩效目标设置和绩效评价体系，优化完善分行业、分类别绩效评价标准，促进绩效评价管理水平的不断提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3、加强预算执行培训，提高财务人员工作水平，采取多种培训形式对单位财务人员、业务科室人员进行集中培训，进一步树牢预算执行观念，多</w:t>
      </w:r>
      <w:r>
        <w:rPr>
          <w:rStyle w:val="19"/>
          <w:rFonts w:hint="eastAsia" w:ascii="楷体" w:hAnsi="楷体" w:eastAsia="楷体"/>
          <w:b w:val="0"/>
          <w:bCs w:val="0"/>
          <w:spacing w:val="-4"/>
          <w:sz w:val="32"/>
          <w:szCs w:val="32"/>
          <w:lang w:val="en-US" w:eastAsia="zh-CN"/>
        </w:rPr>
        <w:t>与</w:t>
      </w:r>
      <w:r>
        <w:rPr>
          <w:rStyle w:val="19"/>
          <w:rFonts w:hint="eastAsia" w:ascii="楷体" w:hAnsi="楷体" w:eastAsia="楷体"/>
          <w:b w:val="0"/>
          <w:bCs w:val="0"/>
          <w:spacing w:val="-4"/>
          <w:sz w:val="32"/>
          <w:szCs w:val="32"/>
        </w:rPr>
        <w:t>财政沟通，提高本单位工作人员的预算执行能力和工作水平，为预算执行管理相关工作的顺利开展提供保障。</w:t>
      </w:r>
    </w:p>
    <w:p w14:paraId="3D0A673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53BE05A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162A412B">
      <w:pPr>
        <w:spacing w:line="540" w:lineRule="exact"/>
        <w:ind w:firstLine="567"/>
        <w:rPr>
          <w:rStyle w:val="19"/>
          <w:rFonts w:ascii="仿宋" w:hAnsi="仿宋" w:eastAsia="仿宋"/>
          <w:b w:val="0"/>
          <w:spacing w:val="-4"/>
          <w:sz w:val="32"/>
          <w:szCs w:val="32"/>
        </w:rPr>
      </w:pPr>
    </w:p>
    <w:p w14:paraId="3E6FF736">
      <w:pPr>
        <w:spacing w:line="540" w:lineRule="exact"/>
        <w:ind w:firstLine="567"/>
        <w:rPr>
          <w:rStyle w:val="19"/>
          <w:rFonts w:ascii="仿宋" w:hAnsi="仿宋" w:eastAsia="仿宋"/>
          <w:b w:val="0"/>
          <w:spacing w:val="-4"/>
          <w:sz w:val="32"/>
          <w:szCs w:val="32"/>
        </w:rPr>
      </w:pPr>
    </w:p>
    <w:p w14:paraId="0638BFEA">
      <w:pPr>
        <w:spacing w:line="540" w:lineRule="exact"/>
        <w:ind w:firstLine="567"/>
        <w:rPr>
          <w:rStyle w:val="19"/>
          <w:rFonts w:ascii="仿宋" w:hAnsi="仿宋" w:eastAsia="仿宋"/>
          <w:b w:val="0"/>
          <w:spacing w:val="-4"/>
          <w:sz w:val="32"/>
          <w:szCs w:val="32"/>
        </w:rPr>
      </w:pPr>
    </w:p>
    <w:p w14:paraId="4C7CF74D">
      <w:pPr>
        <w:spacing w:line="540" w:lineRule="exact"/>
        <w:ind w:firstLine="567"/>
        <w:rPr>
          <w:rStyle w:val="19"/>
          <w:rFonts w:ascii="仿宋" w:hAnsi="仿宋" w:eastAsia="仿宋"/>
          <w:b w:val="0"/>
          <w:spacing w:val="-4"/>
          <w:sz w:val="32"/>
          <w:szCs w:val="32"/>
        </w:rPr>
      </w:pPr>
    </w:p>
    <w:p w14:paraId="23F889EC">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60CF3B7">
        <w:pPr>
          <w:pStyle w:val="12"/>
          <w:jc w:val="center"/>
        </w:pPr>
        <w:r>
          <w:fldChar w:fldCharType="begin"/>
        </w:r>
        <w:r>
          <w:instrText xml:space="preserve">PAGE   \* MERGEFORMAT</w:instrText>
        </w:r>
        <w:r>
          <w:fldChar w:fldCharType="separate"/>
        </w:r>
        <w:r>
          <w:rPr>
            <w:lang w:val="zh-CN"/>
          </w:rPr>
          <w:t>1</w:t>
        </w:r>
        <w:r>
          <w:fldChar w:fldCharType="end"/>
        </w:r>
      </w:p>
    </w:sdtContent>
  </w:sdt>
  <w:p w14:paraId="52F08E0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DF35F">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AF97DC6"/>
    <w:rsid w:val="11C574B3"/>
    <w:rsid w:val="5E7E5F7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2.xml><?xml version="1.0" encoding="utf-8"?>
<Properties xmlns="http://schemas.openxmlformats.org/officeDocument/2006/extended-properties" xmlns:vt="http://schemas.openxmlformats.org/officeDocument/2006/docPropsVTypes">
  <Template>Normal.dotm</Template>
  <Pages>18</Pages>
  <Words>9006</Words>
  <Characters>9508</Characters>
  <Lines>5</Lines>
  <Paragraphs>1</Paragraphs>
  <TotalTime>1</TotalTime>
  <ScaleCrop>false</ScaleCrop>
  <LinksUpToDate>false</LinksUpToDate>
  <CharactersWithSpaces>9632</CharactersWithSpaces>
  <Application>WPS Office_11.1.0.12165_F1E327BC-269C-435d-A152-05C5408002CA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2025-11-06T07:40:48Z</dcterms:modified>
  <cp:revision>19</cp:revision>
</cp:coreProperties>
</file>

<file path=customXml/itemProps1.xml><?xml version="1.0" encoding="utf-8"?>
<ds:datastoreItem xmlns:ds="http://schemas.openxmlformats.org/officeDocument/2006/customXml" ds:itemID="{35e69e03-84d6-4803-8e1d-c41ea995639a}">
  <ds:schemaRefs/>
</ds:datastoreItem>
</file>

<file path=customXml/itemProps2.xml><?xml version="1.0" encoding="utf-8"?>
<ds:datastoreItem xmlns:ds="http://schemas.openxmlformats.org/officeDocument/2006/customXml" ds:itemID="{7666e39d-00b6-4156-8be0-2c385a60b5b8}">
  <ds:schemaRefs/>
</ds:datastoreItem>
</file>

<file path=customXml/itemProps3.xml><?xml version="1.0" encoding="utf-8"?>
<ds:datastoreItem xmlns:ds="http://schemas.openxmlformats.org/officeDocument/2006/customXml" ds:itemID="{26fc238d-3888-487f-a642-9fc173f17194}">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8278</Words>
  <Characters>8617</Characters>
  <Lines>5</Lines>
  <Paragraphs>1</Paragraphs>
  <TotalTime>15</TotalTime>
  <ScaleCrop>false</ScaleCrop>
  <LinksUpToDate>false</LinksUpToDate>
  <CharactersWithSpaces>8745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2025-11-08T05:29:28Z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