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C173F4">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69C7DE6D">
      <w:pPr>
        <w:spacing w:line="540" w:lineRule="exact"/>
        <w:jc w:val="center"/>
        <w:rPr>
          <w:rFonts w:ascii="华文中宋" w:hAnsi="华文中宋" w:eastAsia="华文中宋" w:cs="宋体"/>
          <w:b/>
          <w:kern w:val="0"/>
          <w:sz w:val="52"/>
          <w:szCs w:val="52"/>
        </w:rPr>
      </w:pPr>
    </w:p>
    <w:p w14:paraId="66408F8D">
      <w:pPr>
        <w:spacing w:line="540" w:lineRule="exact"/>
        <w:jc w:val="center"/>
        <w:rPr>
          <w:rFonts w:ascii="华文中宋" w:hAnsi="华文中宋" w:eastAsia="华文中宋" w:cs="宋体"/>
          <w:b/>
          <w:kern w:val="0"/>
          <w:sz w:val="52"/>
          <w:szCs w:val="52"/>
        </w:rPr>
      </w:pPr>
    </w:p>
    <w:p w14:paraId="4673678C">
      <w:pPr>
        <w:spacing w:line="540" w:lineRule="exact"/>
        <w:jc w:val="center"/>
        <w:rPr>
          <w:rFonts w:ascii="华文中宋" w:hAnsi="华文中宋" w:eastAsia="华文中宋" w:cs="宋体"/>
          <w:b/>
          <w:kern w:val="0"/>
          <w:sz w:val="52"/>
          <w:szCs w:val="52"/>
        </w:rPr>
      </w:pPr>
    </w:p>
    <w:p w14:paraId="519D952B">
      <w:pPr>
        <w:spacing w:line="540" w:lineRule="exact"/>
        <w:jc w:val="center"/>
        <w:rPr>
          <w:rFonts w:hint="eastAsia" w:ascii="华文中宋" w:hAnsi="华文中宋" w:eastAsia="华文中宋" w:cs="宋体"/>
          <w:b/>
          <w:kern w:val="0"/>
          <w:sz w:val="52"/>
          <w:szCs w:val="52"/>
          <w:lang w:eastAsia="zh-CN"/>
        </w:rPr>
      </w:pPr>
    </w:p>
    <w:p w14:paraId="43BB309C">
      <w:pPr>
        <w:spacing w:line="540" w:lineRule="exact"/>
        <w:jc w:val="center"/>
        <w:rPr>
          <w:rFonts w:ascii="华文中宋" w:hAnsi="华文中宋" w:eastAsia="华文中宋" w:cs="宋体"/>
          <w:b/>
          <w:kern w:val="0"/>
          <w:sz w:val="52"/>
          <w:szCs w:val="52"/>
        </w:rPr>
      </w:pPr>
    </w:p>
    <w:p w14:paraId="3C0F9FAF">
      <w:pPr>
        <w:spacing w:line="540" w:lineRule="exact"/>
        <w:jc w:val="center"/>
        <w:rPr>
          <w:rFonts w:ascii="华文中宋" w:hAnsi="华文中宋" w:eastAsia="华文中宋" w:cs="宋体"/>
          <w:b/>
          <w:kern w:val="0"/>
          <w:sz w:val="52"/>
          <w:szCs w:val="52"/>
        </w:rPr>
      </w:pPr>
    </w:p>
    <w:p w14:paraId="1CF00521">
      <w:pPr>
        <w:spacing w:line="540" w:lineRule="exact"/>
        <w:jc w:val="center"/>
        <w:rPr>
          <w:rFonts w:hint="eastAsia" w:ascii="微软雅黑" w:hAnsi="微软雅黑" w:eastAsia="微软雅黑" w:cs="微软雅黑"/>
          <w:b/>
          <w:kern w:val="0"/>
          <w:sz w:val="48"/>
          <w:szCs w:val="48"/>
        </w:rPr>
      </w:pPr>
      <w:r>
        <w:rPr>
          <w:rFonts w:hint="eastAsia" w:ascii="微软雅黑" w:hAnsi="微软雅黑" w:eastAsia="微软雅黑" w:cs="微软雅黑"/>
          <w:b/>
          <w:kern w:val="0"/>
          <w:sz w:val="48"/>
          <w:szCs w:val="48"/>
        </w:rPr>
        <w:t>项目支出绩效自评报告</w:t>
      </w:r>
    </w:p>
    <w:p w14:paraId="2103185F">
      <w:pPr>
        <w:spacing w:line="540" w:lineRule="exact"/>
        <w:jc w:val="center"/>
        <w:rPr>
          <w:rFonts w:ascii="华文中宋" w:hAnsi="华文中宋" w:eastAsia="华文中宋" w:cs="宋体"/>
          <w:b/>
          <w:kern w:val="0"/>
          <w:sz w:val="52"/>
          <w:szCs w:val="52"/>
        </w:rPr>
      </w:pPr>
    </w:p>
    <w:p w14:paraId="698F49A7">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19ACC14D">
      <w:pPr>
        <w:spacing w:line="540" w:lineRule="exact"/>
        <w:jc w:val="center"/>
        <w:rPr>
          <w:rFonts w:hAnsi="宋体" w:eastAsia="仿宋_GB2312" w:cs="宋体"/>
          <w:kern w:val="0"/>
          <w:sz w:val="30"/>
          <w:szCs w:val="30"/>
        </w:rPr>
      </w:pPr>
    </w:p>
    <w:p w14:paraId="489FB43E">
      <w:pPr>
        <w:spacing w:line="540" w:lineRule="exact"/>
        <w:jc w:val="center"/>
        <w:rPr>
          <w:rFonts w:hAnsi="宋体" w:eastAsia="仿宋_GB2312" w:cs="宋体"/>
          <w:kern w:val="0"/>
          <w:sz w:val="30"/>
          <w:szCs w:val="30"/>
        </w:rPr>
      </w:pPr>
    </w:p>
    <w:p w14:paraId="76AF8B5B">
      <w:pPr>
        <w:spacing w:line="540" w:lineRule="exact"/>
        <w:jc w:val="center"/>
        <w:rPr>
          <w:rFonts w:hAnsi="宋体" w:eastAsia="仿宋_GB2312" w:cs="宋体"/>
          <w:kern w:val="0"/>
          <w:sz w:val="30"/>
          <w:szCs w:val="30"/>
        </w:rPr>
      </w:pPr>
    </w:p>
    <w:p w14:paraId="221BB246">
      <w:pPr>
        <w:spacing w:line="540" w:lineRule="exact"/>
        <w:jc w:val="center"/>
        <w:rPr>
          <w:rFonts w:hAnsi="宋体" w:eastAsia="仿宋_GB2312" w:cs="宋体"/>
          <w:kern w:val="0"/>
          <w:sz w:val="30"/>
          <w:szCs w:val="30"/>
        </w:rPr>
      </w:pPr>
    </w:p>
    <w:p w14:paraId="35D6E0F6">
      <w:pPr>
        <w:spacing w:line="540" w:lineRule="exact"/>
        <w:jc w:val="center"/>
        <w:rPr>
          <w:rFonts w:hAnsi="宋体" w:eastAsia="仿宋_GB2312" w:cs="宋体"/>
          <w:kern w:val="0"/>
          <w:sz w:val="30"/>
          <w:szCs w:val="30"/>
        </w:rPr>
      </w:pPr>
    </w:p>
    <w:p w14:paraId="0AEDC97D">
      <w:pPr>
        <w:spacing w:line="540" w:lineRule="exact"/>
        <w:jc w:val="center"/>
        <w:rPr>
          <w:rFonts w:hAnsi="宋体" w:eastAsia="仿宋_GB2312" w:cs="宋体"/>
          <w:kern w:val="0"/>
          <w:sz w:val="30"/>
          <w:szCs w:val="30"/>
        </w:rPr>
      </w:pPr>
    </w:p>
    <w:p w14:paraId="041A2767">
      <w:pPr>
        <w:spacing w:line="540" w:lineRule="exact"/>
        <w:rPr>
          <w:rFonts w:hAnsi="宋体" w:eastAsia="仿宋_GB2312" w:cs="宋体"/>
          <w:kern w:val="0"/>
          <w:sz w:val="30"/>
          <w:szCs w:val="30"/>
        </w:rPr>
      </w:pPr>
    </w:p>
    <w:p w14:paraId="1373D61F">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34583DA">
      <w:pPr>
        <w:spacing w:line="700" w:lineRule="exact"/>
        <w:ind w:firstLine="900" w:firstLineChars="250"/>
        <w:jc w:val="left"/>
        <w:rPr>
          <w:rFonts w:hAnsi="宋体" w:eastAsia="仿宋_GB2312" w:cs="宋体"/>
          <w:b w:val="0"/>
          <w:bCs w:val="0"/>
          <w:kern w:val="0"/>
          <w:sz w:val="36"/>
          <w:szCs w:val="36"/>
        </w:rPr>
      </w:pPr>
      <w:r>
        <w:rPr>
          <w:rFonts w:hint="eastAsia" w:hAnsi="宋体" w:eastAsia="仿宋_GB2312" w:cs="宋体"/>
          <w:kern w:val="0"/>
          <w:sz w:val="36"/>
          <w:szCs w:val="36"/>
        </w:rPr>
        <w:t>项目名称：</w:t>
      </w:r>
      <w:r>
        <w:rPr>
          <w:rStyle w:val="19"/>
          <w:rFonts w:hint="eastAsia" w:ascii="楷体" w:hAnsi="楷体" w:eastAsia="楷体"/>
          <w:b w:val="0"/>
          <w:bCs w:val="0"/>
          <w:spacing w:val="-4"/>
          <w:sz w:val="32"/>
          <w:szCs w:val="32"/>
        </w:rPr>
        <w:t>2024年中央财政困难群众救助补助金</w:t>
      </w:r>
    </w:p>
    <w:p w14:paraId="3447C66F">
      <w:pPr>
        <w:spacing w:line="540" w:lineRule="exact"/>
        <w:ind w:firstLine="567"/>
        <w:rPr>
          <w:rFonts w:ascii="楷体" w:hAnsi="楷体" w:eastAsia="楷体"/>
          <w:b w:val="0"/>
          <w:bCs w:val="0"/>
          <w:spacing w:val="-4"/>
          <w:sz w:val="32"/>
          <w:szCs w:val="32"/>
        </w:rPr>
      </w:pPr>
      <w:r>
        <w:rPr>
          <w:rFonts w:hint="eastAsia" w:hAnsi="宋体" w:eastAsia="仿宋_GB2312" w:cs="宋体"/>
          <w:b w:val="0"/>
          <w:bCs w:val="0"/>
          <w:kern w:val="0"/>
          <w:sz w:val="36"/>
          <w:szCs w:val="36"/>
        </w:rPr>
        <w:t xml:space="preserve">  实施单位（公章）：</w:t>
      </w:r>
      <w:r>
        <w:rPr>
          <w:rStyle w:val="19"/>
          <w:rFonts w:hint="eastAsia" w:ascii="楷体" w:hAnsi="楷体" w:eastAsia="楷体"/>
          <w:b w:val="0"/>
          <w:bCs w:val="0"/>
          <w:spacing w:val="-4"/>
          <w:sz w:val="32"/>
          <w:szCs w:val="32"/>
        </w:rPr>
        <w:t>哈密市伊州区社会福利服务中心</w:t>
      </w:r>
    </w:p>
    <w:p w14:paraId="7D1D9415">
      <w:pPr>
        <w:spacing w:line="540" w:lineRule="exact"/>
        <w:ind w:firstLine="900" w:firstLineChars="250"/>
        <w:rPr>
          <w:rFonts w:ascii="楷体" w:hAnsi="楷体" w:eastAsia="楷体"/>
          <w:b w:val="0"/>
          <w:bCs w:val="0"/>
          <w:spacing w:val="-4"/>
          <w:sz w:val="28"/>
          <w:szCs w:val="28"/>
        </w:rPr>
      </w:pPr>
      <w:r>
        <w:rPr>
          <w:rFonts w:hint="eastAsia" w:hAnsi="宋体" w:eastAsia="仿宋_GB2312" w:cs="宋体"/>
          <w:b w:val="0"/>
          <w:bCs w:val="0"/>
          <w:kern w:val="0"/>
          <w:sz w:val="36"/>
          <w:szCs w:val="36"/>
        </w:rPr>
        <w:t>主管部门（公章）：</w:t>
      </w:r>
      <w:r>
        <w:rPr>
          <w:rStyle w:val="19"/>
          <w:rFonts w:hint="eastAsia" w:ascii="楷体" w:hAnsi="楷体" w:eastAsia="楷体"/>
          <w:b w:val="0"/>
          <w:bCs w:val="0"/>
          <w:spacing w:val="-4"/>
          <w:sz w:val="32"/>
          <w:szCs w:val="32"/>
        </w:rPr>
        <w:t>哈密市伊州区社会福利服务中心</w:t>
      </w:r>
    </w:p>
    <w:p w14:paraId="49C96C9D">
      <w:pPr>
        <w:spacing w:line="540" w:lineRule="exact"/>
        <w:ind w:firstLine="900" w:firstLineChars="250"/>
        <w:rPr>
          <w:rFonts w:ascii="楷体" w:hAnsi="楷体" w:eastAsia="楷体"/>
          <w:b w:val="0"/>
          <w:bCs w:val="0"/>
          <w:spacing w:val="-4"/>
          <w:sz w:val="32"/>
          <w:szCs w:val="32"/>
        </w:rPr>
      </w:pPr>
      <w:r>
        <w:rPr>
          <w:rFonts w:hint="eastAsia" w:hAnsi="宋体" w:eastAsia="仿宋_GB2312" w:cs="宋体"/>
          <w:b w:val="0"/>
          <w:bCs w:val="0"/>
          <w:kern w:val="0"/>
          <w:sz w:val="36"/>
          <w:szCs w:val="36"/>
        </w:rPr>
        <w:t>项目负责人（签章）：</w:t>
      </w:r>
      <w:r>
        <w:rPr>
          <w:rStyle w:val="19"/>
          <w:rFonts w:hint="eastAsia" w:ascii="楷体" w:hAnsi="楷体" w:eastAsia="楷体"/>
          <w:b w:val="0"/>
          <w:bCs w:val="0"/>
          <w:spacing w:val="-4"/>
          <w:sz w:val="32"/>
          <w:szCs w:val="32"/>
        </w:rPr>
        <w:t>艾合买提</w:t>
      </w:r>
    </w:p>
    <w:p w14:paraId="0A95CBD9">
      <w:pPr>
        <w:spacing w:line="540" w:lineRule="exact"/>
        <w:ind w:left="273" w:firstLine="567"/>
        <w:rPr>
          <w:rStyle w:val="19"/>
          <w:rFonts w:ascii="楷体" w:hAnsi="楷体" w:eastAsia="楷体"/>
          <w:b w:val="0"/>
          <w:bCs w:val="0"/>
          <w:spacing w:val="-4"/>
          <w:sz w:val="32"/>
          <w:szCs w:val="32"/>
        </w:rPr>
      </w:pPr>
      <w:r>
        <w:rPr>
          <w:rFonts w:hint="eastAsia" w:hAnsi="宋体" w:eastAsia="仿宋_GB2312" w:cs="宋体"/>
          <w:b w:val="0"/>
          <w:bCs w:val="0"/>
          <w:kern w:val="0"/>
          <w:sz w:val="36"/>
          <w:szCs w:val="36"/>
        </w:rPr>
        <w:t>填报时间：</w:t>
      </w:r>
      <w:r>
        <w:rPr>
          <w:rStyle w:val="19"/>
          <w:rFonts w:hint="eastAsia" w:ascii="楷体" w:hAnsi="楷体" w:eastAsia="楷体"/>
          <w:b w:val="0"/>
          <w:bCs w:val="0"/>
          <w:spacing w:val="-4"/>
          <w:sz w:val="32"/>
          <w:szCs w:val="32"/>
        </w:rPr>
        <w:t>2025年05月20日</w:t>
      </w:r>
    </w:p>
    <w:p w14:paraId="624EA46F">
      <w:pPr>
        <w:spacing w:line="540" w:lineRule="exact"/>
        <w:rPr>
          <w:rStyle w:val="19"/>
          <w:rFonts w:ascii="黑体" w:hAnsi="黑体" w:eastAsia="黑体"/>
          <w:b w:val="0"/>
          <w:spacing w:val="-4"/>
          <w:sz w:val="32"/>
          <w:szCs w:val="32"/>
        </w:rPr>
      </w:pPr>
    </w:p>
    <w:p w14:paraId="5F151F92">
      <w:pPr>
        <w:spacing w:line="540" w:lineRule="exact"/>
        <w:rPr>
          <w:rStyle w:val="19"/>
          <w:rFonts w:ascii="黑体" w:hAnsi="黑体" w:eastAsia="黑体"/>
          <w:b w:val="0"/>
          <w:spacing w:val="-4"/>
          <w:sz w:val="32"/>
          <w:szCs w:val="32"/>
        </w:rPr>
      </w:pPr>
    </w:p>
    <w:p w14:paraId="6413C57F">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0BA9ADCC">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（一）项目概况</w:t>
      </w:r>
    </w:p>
    <w:p w14:paraId="29193676">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p>
    <w:p w14:paraId="097B3D74">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伊州区社会福利服务中心是集福利院、残疾人托养中心为一体的综合性社会福利机构，主要负责伊州区各乡镇困难群众的生活照料，提供康复、托养及医疗等服务。内设办公室、护理部、餐饮部，占地面积34865㎡，建筑面积12286㎡，绿化面积23579㎡，有养老床位300张，现居住老人92人。困难群众救助事关困难群众基本生活和衣食冷暖。是保障基本民生，促进社会公平，维护社会稳定的兜底性、基础性制度安排也是党全心全意为人民服务根本宗旨的集中体现。为全面贯彻党中央</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国务院决策部署，统筹发展社会救助体系，切实兜牢基本民生保障底线。2024年中央财政困难群众救助补助金，解决困难群众集中供养</w:t>
      </w:r>
      <w:bookmarkStart w:id="0" w:name="_GoBack"/>
      <w:bookmarkEnd w:id="0"/>
      <w:r>
        <w:rPr>
          <w:rStyle w:val="19"/>
          <w:rFonts w:hint="eastAsia" w:ascii="楷体" w:hAnsi="楷体" w:eastAsia="楷体"/>
          <w:b w:val="0"/>
          <w:bCs w:val="0"/>
          <w:spacing w:val="-4"/>
          <w:sz w:val="32"/>
          <w:szCs w:val="32"/>
        </w:rPr>
        <w:t>问题。</w:t>
      </w:r>
    </w:p>
    <w:p w14:paraId="287D3CD3">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2.主要内容及实施情况</w:t>
      </w:r>
    </w:p>
    <w:p w14:paraId="222D91D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于2024年1月开始实施，截止2024年12月已全部完成，2024年福利服务中心的共计花费90万元困难群众救助补助金。主要用于支付福利中心集中供养的困难群众的日常生活费、伙食费和护理费以及定点医院产生的相关费用等。</w:t>
      </w:r>
    </w:p>
    <w:p w14:paraId="13DC399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3.资金投入和使用情况</w:t>
      </w:r>
    </w:p>
    <w:p w14:paraId="1A54E028">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该项目计划拨付90万元，项目于2024年1月28日批复预算资金90万元，截至2024年12月31日，项目用于支付福利中心集中供养的困难群众的日常生活费、伙食费和护理费以及定点医院产生的相关费用等，项目资金支付90万元，资金到位率100%，预算执行率为100%。</w:t>
      </w:r>
    </w:p>
    <w:p w14:paraId="70B807AA">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5970187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本项目总体目标为：投入资金90万元，用于福利中心集中供养特困人员92人的日常开销以及22名护理人员的护理费开销和定点医院的相关费用，有效提高特困人员集中供养后的生活水平。</w:t>
      </w:r>
    </w:p>
    <w:p w14:paraId="324CBB8E">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文件精神，结合项目相关信息，将年度目标细化分解，最终确定该项目阶段性目标如下：</w:t>
      </w:r>
    </w:p>
    <w:p w14:paraId="17D0480A">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1.产出指标</w:t>
      </w:r>
    </w:p>
    <w:p w14:paraId="4BE2C3EB">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数量指标：农村特困集中供养人数不低于97人、照顾困难群众所需护理员人数不低于28人；</w:t>
      </w:r>
    </w:p>
    <w:p w14:paraId="7BAFFB7E">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质量指标：生活不能自理特困人员集中供养率达到99%、困难群众集中供养帮扶覆盖率达到99%；</w:t>
      </w:r>
    </w:p>
    <w:p w14:paraId="31541E76">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时效指标：资金拨付及时率达到99%。</w:t>
      </w:r>
    </w:p>
    <w:p w14:paraId="758C8CEF">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2.成本指标</w:t>
      </w:r>
    </w:p>
    <w:p w14:paraId="45A12A18">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经济成本指标：困难群众救助补助金金额不高于90万元。</w:t>
      </w:r>
    </w:p>
    <w:p w14:paraId="2C61CA73">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3.效益指标</w:t>
      </w:r>
    </w:p>
    <w:p w14:paraId="4903B413">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社会效益指标：集中供养人员生活水平明显提升。</w:t>
      </w:r>
    </w:p>
    <w:p w14:paraId="33828BF6">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4.满意度指标</w:t>
      </w:r>
    </w:p>
    <w:p w14:paraId="2F2A3D22">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满意度指标：困难群众满意度不低于95%。</w:t>
      </w:r>
    </w:p>
    <w:p w14:paraId="09E0562C">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5EB4D15E">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2325F20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我单位根据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文件精神，对提前下达2024年自治区困难群众救助补助金项目绩效目标实现情况进行自评。</w:t>
      </w:r>
    </w:p>
    <w:p w14:paraId="46FDB91A">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14:paraId="25B6164A">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2DBF93B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p>
    <w:p w14:paraId="44E31DE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（1）科学公正。绩效评价应当运用科学合理的方法，按照规范的程序，对项目绩效进行客观、公正的反映。</w:t>
      </w:r>
    </w:p>
    <w:p w14:paraId="1FD1E272">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p>
    <w:p w14:paraId="2EA0489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（3）激励约束。绩效评价结果应与预算安排、政策调整、改进管理实质性挂钩，体现奖优罚劣和激励导向，有效要安排、低效要压减、无效要问责。</w:t>
      </w:r>
    </w:p>
    <w:p w14:paraId="1CED97B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（4）公开透明。绩效评价结果应依法依规公开，并自觉接受社会监督。</w:t>
      </w:r>
    </w:p>
    <w:p w14:paraId="1F4CCAAA">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2.评价指标体系</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p>
    <w:p w14:paraId="7F180FED">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（1）项目决策</w:t>
      </w:r>
    </w:p>
    <w:p w14:paraId="69F8237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项目立项：立项依据充分性，权重4分。</w:t>
      </w:r>
    </w:p>
    <w:p w14:paraId="1028112E">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绩效目标：绩效目标明确性，权重4分；绩效目标合理性，权重4分。</w:t>
      </w:r>
    </w:p>
    <w:p w14:paraId="29D35921">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预算编制：测算标准合理性，权重3分；测算过程细化度，权重2分。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（2）项目过程</w:t>
      </w:r>
    </w:p>
    <w:p w14:paraId="7C8F5EFA">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资金管理：资金到位率，权重6分；预算执行率，权重6分。</w:t>
      </w:r>
    </w:p>
    <w:p w14:paraId="55F0482D">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组织实施：管理制度健全性，权重5分，制度执行有效性，权重6分。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（3）项目产出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产出数量：农村特困集中供养人数，权重6分。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产出质量：生活不能自理特困人员集中供养率，权重5分；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产出时效：资金拨付及时率，权重5分。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产出成本：困难群众救助补助金额，权重6分。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4</w:t>
      </w:r>
      <w:r>
        <w:rPr>
          <w:rStyle w:val="19"/>
          <w:rFonts w:hint="eastAsia" w:ascii="楷体" w:hAnsi="楷体" w:eastAsia="楷体"/>
          <w:b w:val="0"/>
          <w:bCs w:val="0"/>
          <w:spacing w:val="-4"/>
          <w:sz w:val="32"/>
          <w:szCs w:val="32"/>
        </w:rPr>
        <w:t>）效益指标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社会效益指标：农村特困人员集中供养生活水平明显提升，权重30分；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5</w:t>
      </w:r>
      <w:r>
        <w:rPr>
          <w:rStyle w:val="19"/>
          <w:rFonts w:hint="eastAsia" w:ascii="楷体" w:hAnsi="楷体" w:eastAsia="楷体"/>
          <w:b w:val="0"/>
          <w:bCs w:val="0"/>
          <w:spacing w:val="-4"/>
          <w:sz w:val="32"/>
          <w:szCs w:val="32"/>
        </w:rPr>
        <w:t>）满意度指标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服务对象满意度指标：困难群众满意度，权重8分。</w:t>
      </w:r>
    </w:p>
    <w:p w14:paraId="319CDA44">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3.评价方法</w:t>
      </w:r>
    </w:p>
    <w:p w14:paraId="21EAAD62">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提前下达2024年自治区困难群众救助补助金项目绩效评价主要通过项目单位自评、主管部门监督、财政部门参评的方式开展绩效评价工作。</w:t>
      </w:r>
    </w:p>
    <w:p w14:paraId="55629BB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绩效评价的方法主要包括：成本效益分析法、比较法、因素分析法、最低成本法、公众评判法、核实法等。根据评价指标的具体情况，可采用一种或多种方法。</w:t>
      </w:r>
    </w:p>
    <w:p w14:paraId="15E4455C">
      <w:pPr>
        <w:numPr>
          <w:ilvl w:val="0"/>
          <w:numId w:val="1"/>
        </w:numPr>
        <w:spacing w:line="540" w:lineRule="exact"/>
        <w:ind w:left="-147" w:leftChars="0" w:firstLine="567" w:firstLineChars="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成本效益分析法。是指将投入与产出、效益进行关联性分析的方法。</w:t>
      </w:r>
    </w:p>
    <w:p w14:paraId="17AD2248">
      <w:pPr>
        <w:numPr>
          <w:ilvl w:val="0"/>
          <w:numId w:val="1"/>
        </w:numPr>
        <w:spacing w:line="540" w:lineRule="exact"/>
        <w:ind w:left="-147" w:leftChars="0" w:firstLine="567" w:firstLineChars="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比较法。是指将实施情况与绩效目标、历史情况、不同部门和地区同类支出情况进行比较的方法。</w:t>
      </w:r>
    </w:p>
    <w:p w14:paraId="7142DEF6">
      <w:pPr>
        <w:numPr>
          <w:ilvl w:val="0"/>
          <w:numId w:val="1"/>
        </w:numPr>
        <w:spacing w:line="540" w:lineRule="exact"/>
        <w:ind w:left="-147" w:leftChars="0" w:firstLine="567" w:firstLineChars="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因素分析法。是指综合分析影响绩效目标实现、实施效果的内外部因素的方法。</w:t>
      </w:r>
    </w:p>
    <w:p w14:paraId="15CE18DC">
      <w:pPr>
        <w:numPr>
          <w:ilvl w:val="0"/>
          <w:numId w:val="1"/>
        </w:numPr>
        <w:spacing w:line="540" w:lineRule="exact"/>
        <w:ind w:left="-147" w:leftChars="0" w:firstLine="567" w:firstLineChars="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最低成本法。是指在绩效目标确定的前提下，成本最小者为优的方法。</w:t>
      </w:r>
    </w:p>
    <w:p w14:paraId="73BE9D2F">
      <w:pPr>
        <w:numPr>
          <w:ilvl w:val="0"/>
          <w:numId w:val="1"/>
        </w:numPr>
        <w:spacing w:line="540" w:lineRule="exact"/>
        <w:ind w:left="-147" w:leftChars="0" w:firstLine="567" w:firstLineChars="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公众评判法。是指通过专家评估、公众问卷及抽样调查等方式进行评判的方法。</w:t>
      </w:r>
    </w:p>
    <w:p w14:paraId="101207DC">
      <w:pPr>
        <w:numPr>
          <w:ilvl w:val="0"/>
          <w:numId w:val="1"/>
        </w:numPr>
        <w:spacing w:line="540" w:lineRule="exact"/>
        <w:ind w:left="-147" w:leftChars="0" w:firstLine="567" w:firstLineChars="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核实法。是收集包括书面资料以外的信息以证实书面资料及其所反映经济活动的真实，合法，合理，有效和正确的方法。</w:t>
      </w:r>
    </w:p>
    <w:p w14:paraId="1B7452CD">
      <w:pPr>
        <w:numPr>
          <w:ilvl w:val="0"/>
          <w:numId w:val="0"/>
        </w:numPr>
        <w:spacing w:line="540" w:lineRule="exact"/>
        <w:ind w:left="420" w:leftChars="0"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4.评价标准</w:t>
      </w:r>
    </w:p>
    <w:p w14:paraId="60FB4E2F">
      <w:pPr>
        <w:numPr>
          <w:ilvl w:val="0"/>
          <w:numId w:val="0"/>
        </w:numPr>
        <w:spacing w:line="540" w:lineRule="exact"/>
        <w:ind w:left="420" w:leftChars="0"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绩效评价标准通常包括计划标准、行业标准、历史标准等，用于对绩效指标完成情况进行比较。</w:t>
      </w:r>
    </w:p>
    <w:p w14:paraId="7317CF9F">
      <w:pPr>
        <w:numPr>
          <w:ilvl w:val="0"/>
          <w:numId w:val="0"/>
        </w:numPr>
        <w:spacing w:line="540" w:lineRule="exact"/>
        <w:ind w:left="420" w:leftChars="0" w:firstLine="312" w:firstLineChars="1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单位自评采用定量与定性评价相结合的比较法，总分由各项指标得分汇总形成。</w:t>
      </w:r>
    </w:p>
    <w:p w14:paraId="780800A4">
      <w:pPr>
        <w:spacing w:line="540" w:lineRule="exact"/>
        <w:ind w:firstLine="567" w:firstLineChars="181"/>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14:paraId="32917A53">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（2）采取“年初绩效目标预定与实施效果比较法”进行评价，评价指标体系以绩效目标申报指标为依据。</w:t>
      </w:r>
    </w:p>
    <w:p w14:paraId="3D712B2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2.组织过程</w:t>
      </w:r>
    </w:p>
    <w:p w14:paraId="722216D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（1）项目全过程资料档案复核</w:t>
      </w:r>
    </w:p>
    <w:p w14:paraId="3CB209B2">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p>
    <w:p w14:paraId="0E13B982">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（2）检查内容和过程</w:t>
      </w:r>
    </w:p>
    <w:p w14:paraId="231D82A9">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p>
    <w:p w14:paraId="3DE1D2F1">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发放调查问卷开展困难群众满意度调查工作。</w:t>
      </w:r>
    </w:p>
    <w:p w14:paraId="7E6C3BF2">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（3）撰写报告情况</w:t>
      </w:r>
    </w:p>
    <w:p w14:paraId="7314CA59">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根据所搜集的印证材料，按绩效评价原理和指标体系进行分析、评价和汇总，撰写绩效自评报告，并在规定时间上报。</w:t>
      </w:r>
    </w:p>
    <w:p w14:paraId="340B750C">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7FC7D9D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本次项目自评满分100分，自评得分</w:t>
      </w:r>
      <w:r>
        <w:rPr>
          <w:rStyle w:val="19"/>
          <w:rFonts w:hint="eastAsia" w:ascii="楷体" w:hAnsi="楷体" w:eastAsia="楷体"/>
          <w:b w:val="0"/>
          <w:bCs w:val="0"/>
          <w:spacing w:val="-4"/>
          <w:sz w:val="32"/>
          <w:szCs w:val="32"/>
          <w:lang w:val="en-US" w:eastAsia="zh-CN"/>
        </w:rPr>
        <w:t>96.27</w:t>
      </w:r>
      <w:r>
        <w:rPr>
          <w:rStyle w:val="19"/>
          <w:rFonts w:hint="eastAsia" w:ascii="楷体" w:hAnsi="楷体" w:eastAsia="楷体"/>
          <w:b w:val="0"/>
          <w:bCs w:val="0"/>
          <w:spacing w:val="-4"/>
          <w:sz w:val="32"/>
          <w:szCs w:val="32"/>
        </w:rPr>
        <w:t>分，自评结果为“良”，其中项目决策得分17分，项目过程得分23分，项目产出得分21分，项目效益得分20分，项目满意度得分5分。</w:t>
      </w:r>
    </w:p>
    <w:p w14:paraId="02481956">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综合评价结论：项目决策方面，得分一般；项目过程方面，得分一般；项目产出方面，得分良好；项目效益方面，得分较差；项目满意度方面，得分较好。</w:t>
      </w:r>
    </w:p>
    <w:p w14:paraId="40A892CB">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225DEC0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2738C54B">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1.项目立项</w:t>
      </w:r>
    </w:p>
    <w:p w14:paraId="5E0FABCB">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立项依据充分性，满分4分，得分4分，得分率100%。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相关文件</w:t>
      </w:r>
      <w:r>
        <w:rPr>
          <w:rStyle w:val="19"/>
          <w:rFonts w:hint="eastAsia" w:ascii="楷体" w:hAnsi="楷体" w:eastAsia="楷体"/>
          <w:b w:val="0"/>
          <w:bCs w:val="0"/>
          <w:spacing w:val="-4"/>
          <w:sz w:val="32"/>
          <w:szCs w:val="32"/>
        </w:rPr>
        <w:t>进行项目设立，项目立项符合国家法律法规、国民经济</w:t>
      </w:r>
      <w:r>
        <w:rPr>
          <w:rStyle w:val="19"/>
          <w:rFonts w:hint="eastAsia" w:ascii="楷体" w:hAnsi="楷体" w:eastAsia="楷体"/>
          <w:b w:val="0"/>
          <w:bCs w:val="0"/>
          <w:spacing w:val="-4"/>
          <w:sz w:val="32"/>
          <w:szCs w:val="32"/>
          <w:lang w:val="en-US" w:eastAsia="zh-CN"/>
        </w:rPr>
        <w:t>和社会</w:t>
      </w:r>
      <w:r>
        <w:rPr>
          <w:rStyle w:val="19"/>
          <w:rFonts w:hint="eastAsia" w:ascii="楷体" w:hAnsi="楷体" w:eastAsia="楷体"/>
          <w:b w:val="0"/>
          <w:bCs w:val="0"/>
          <w:spacing w:val="-4"/>
          <w:sz w:val="32"/>
          <w:szCs w:val="32"/>
        </w:rPr>
        <w:t>发展规划和相关政策，符合行业发展规划和政策要求，符合我单位养老助老服务精神，是保障基本民生，促进社会公平，维护社会稳定的兜底性、基础性制度安排也是党全心全意为人民服务根本宗旨的集中体现。属于部门履职所需属于公共财政支持范围，符合市、区两级政府事权支出责任划分原则。项目不存在与相关部门同类项目或部门相关项目存在政策交叉重复。</w:t>
      </w:r>
    </w:p>
    <w:p w14:paraId="395533F4">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2.绩效目标</w:t>
      </w:r>
    </w:p>
    <w:p w14:paraId="1964ED52">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（1）绩效目标明确性，满分4分，得分4分，得分率100%。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把握需求，提供服务，注重实效，使老人过上有保障有尊严的生活；落实政策，开拓创新，办出特色的养老机构。</w:t>
      </w:r>
    </w:p>
    <w:p w14:paraId="47CFEEE1">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（2）绩效目标合理性，满分4分，得分4分，得分率100%。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相关文件</w:t>
      </w:r>
      <w:r>
        <w:rPr>
          <w:rStyle w:val="19"/>
          <w:rFonts w:hint="eastAsia" w:ascii="楷体" w:hAnsi="楷体" w:eastAsia="楷体"/>
          <w:b w:val="0"/>
          <w:bCs w:val="0"/>
          <w:spacing w:val="-4"/>
          <w:sz w:val="32"/>
          <w:szCs w:val="32"/>
        </w:rPr>
        <w:t>进行项目绩效目标与实际工作内容是否具有相关性；项目预期产出效益和效果是否符合正常的业绩水平；与预算确定的项目投资额</w:t>
      </w:r>
      <w:r>
        <w:rPr>
          <w:rStyle w:val="19"/>
          <w:rFonts w:hint="eastAsia" w:ascii="楷体" w:hAnsi="楷体" w:eastAsia="楷体"/>
          <w:b w:val="0"/>
          <w:bCs w:val="0"/>
          <w:spacing w:val="-4"/>
          <w:sz w:val="32"/>
          <w:szCs w:val="32"/>
          <w:lang w:val="en-US" w:eastAsia="zh-CN"/>
        </w:rPr>
        <w:t>和</w:t>
      </w:r>
      <w:r>
        <w:rPr>
          <w:rStyle w:val="19"/>
          <w:rFonts w:hint="eastAsia" w:ascii="楷体" w:hAnsi="楷体" w:eastAsia="楷体"/>
          <w:b w:val="0"/>
          <w:bCs w:val="0"/>
          <w:spacing w:val="-4"/>
          <w:sz w:val="32"/>
          <w:szCs w:val="32"/>
        </w:rPr>
        <w:t>资金量相匹配。</w:t>
      </w:r>
    </w:p>
    <w:p w14:paraId="16466D02">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3.预算编制</w:t>
      </w:r>
    </w:p>
    <w:p w14:paraId="7E13AD15">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（1）测算标准合理性，满分3分，得分3分，得分率100%。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相关文件</w:t>
      </w:r>
      <w:r>
        <w:rPr>
          <w:rStyle w:val="19"/>
          <w:rFonts w:hint="eastAsia" w:ascii="楷体" w:hAnsi="楷体" w:eastAsia="楷体"/>
          <w:b w:val="0"/>
          <w:bCs w:val="0"/>
          <w:spacing w:val="-4"/>
          <w:sz w:val="32"/>
          <w:szCs w:val="32"/>
        </w:rPr>
        <w:t>，伊州区财政局根据</w:t>
      </w:r>
      <w:r>
        <w:rPr>
          <w:rStyle w:val="19"/>
          <w:rFonts w:hint="eastAsia" w:ascii="楷体" w:hAnsi="楷体" w:eastAsia="楷体"/>
          <w:b w:val="0"/>
          <w:bCs w:val="0"/>
          <w:spacing w:val="-4"/>
          <w:sz w:val="32"/>
          <w:szCs w:val="32"/>
          <w:lang w:val="en-US" w:eastAsia="zh-CN"/>
        </w:rPr>
        <w:t>相关文件</w:t>
      </w:r>
      <w:r>
        <w:rPr>
          <w:rStyle w:val="19"/>
          <w:rFonts w:hint="eastAsia" w:ascii="楷体" w:hAnsi="楷体" w:eastAsia="楷体"/>
          <w:b w:val="0"/>
          <w:bCs w:val="0"/>
          <w:spacing w:val="-4"/>
          <w:sz w:val="32"/>
          <w:szCs w:val="32"/>
        </w:rPr>
        <w:t>下达该笔资金90万元。</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2</w:t>
      </w:r>
      <w:r>
        <w:rPr>
          <w:rStyle w:val="19"/>
          <w:rFonts w:hint="eastAsia" w:ascii="楷体" w:hAnsi="楷体" w:eastAsia="楷体"/>
          <w:b w:val="0"/>
          <w:bCs w:val="0"/>
          <w:spacing w:val="-4"/>
          <w:sz w:val="32"/>
          <w:szCs w:val="32"/>
        </w:rPr>
        <w:t>）测算过程细化度，满分2分，得分2分，得分率100%。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本项目不涉及人力、资本性支出等项目内容，只涉及商品服务支出。</w:t>
      </w:r>
      <w:r>
        <w:rPr>
          <w:rStyle w:val="19"/>
          <w:rFonts w:hint="eastAsia" w:ascii="楷体" w:hAnsi="楷体" w:eastAsia="楷体"/>
          <w:b w:val="0"/>
          <w:bCs w:val="0"/>
          <w:spacing w:val="-4"/>
          <w:sz w:val="32"/>
          <w:szCs w:val="32"/>
          <w:lang w:eastAsia="zh-CN"/>
        </w:rPr>
        <w:tab/>
      </w:r>
    </w:p>
    <w:p w14:paraId="7E7F3AC5">
      <w:pPr>
        <w:spacing w:line="540" w:lineRule="exact"/>
        <w:ind w:firstLine="567" w:firstLineChars="181"/>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14:paraId="53971A63">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1.资金管理</w:t>
      </w:r>
    </w:p>
    <w:p w14:paraId="74B7020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（1）资金到位率，满分6分，得分6分，得分率100%。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相关文件</w:t>
      </w:r>
      <w:r>
        <w:rPr>
          <w:rStyle w:val="19"/>
          <w:rFonts w:hint="eastAsia" w:ascii="楷体" w:hAnsi="楷体" w:eastAsia="楷体"/>
          <w:b w:val="0"/>
          <w:bCs w:val="0"/>
          <w:spacing w:val="-4"/>
          <w:sz w:val="32"/>
          <w:szCs w:val="32"/>
        </w:rPr>
        <w:t>预计下达资金90万元，实际到位资金90万元。实际到位资金与预算资金的比率100%。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（2）预算执行率，满分6分，得分6分，得分率100%。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相关文件</w:t>
      </w:r>
      <w:r>
        <w:rPr>
          <w:rStyle w:val="19"/>
          <w:rFonts w:hint="eastAsia" w:ascii="楷体" w:hAnsi="楷体" w:eastAsia="楷体"/>
          <w:b w:val="0"/>
          <w:bCs w:val="0"/>
          <w:spacing w:val="-4"/>
          <w:sz w:val="32"/>
          <w:szCs w:val="32"/>
        </w:rPr>
        <w:t>，项目执行资金90万元，执行率100%。</w:t>
      </w:r>
    </w:p>
    <w:p w14:paraId="35B98EDB">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2.组织实施</w:t>
      </w:r>
    </w:p>
    <w:p w14:paraId="4314DFC2">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（1）管理制度健全性，满分5分，得分5分，得分率100%。建立本单位采购、轮岗、固定资产、绩效管理、合同等制度，管理制度相对健全。</w:t>
      </w:r>
    </w:p>
    <w:p w14:paraId="796B88F4">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（2）制度执行有效性，满分6分，得分6分，得分率100%。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本单位聘请了专业的法律顾问，在合同签订、项目验收等方面能进行专业指导。</w:t>
      </w:r>
    </w:p>
    <w:p w14:paraId="57690710">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14:paraId="3DF470B9">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1.产出数量</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农村特困集中供养人数，满分6分，得分5分，得分率83%。根据自治区民政厅</w:t>
      </w:r>
      <w:r>
        <w:rPr>
          <w:rStyle w:val="19"/>
          <w:rFonts w:hint="eastAsia" w:ascii="楷体" w:hAnsi="楷体" w:eastAsia="楷体"/>
          <w:b w:val="0"/>
          <w:bCs w:val="0"/>
          <w:spacing w:val="-4"/>
          <w:sz w:val="32"/>
          <w:szCs w:val="32"/>
          <w:lang w:val="en-US" w:eastAsia="zh-CN"/>
        </w:rPr>
        <w:t>相关文件，</w:t>
      </w:r>
      <w:r>
        <w:rPr>
          <w:rStyle w:val="19"/>
          <w:rFonts w:hint="eastAsia" w:ascii="楷体" w:hAnsi="楷体" w:eastAsia="楷体"/>
          <w:b w:val="0"/>
          <w:bCs w:val="0"/>
          <w:spacing w:val="-4"/>
          <w:sz w:val="32"/>
          <w:szCs w:val="32"/>
        </w:rPr>
        <w:t>我单位2024年按规定集中供养符合标准的困难群众84人，人员花名册人数84人。</w:t>
      </w:r>
    </w:p>
    <w:p w14:paraId="54C68A4B">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2.产出质量</w:t>
      </w:r>
    </w:p>
    <w:p w14:paraId="798C36EB">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生活不能自理特困人员集中供养率，满分5分，得分5分，得分率100%。生活不能自理的特困人员集中供养率为99%，根据自治区民政厅</w:t>
      </w:r>
      <w:r>
        <w:rPr>
          <w:rStyle w:val="19"/>
          <w:rFonts w:hint="eastAsia" w:ascii="楷体" w:hAnsi="楷体" w:eastAsia="楷体"/>
          <w:b w:val="0"/>
          <w:bCs w:val="0"/>
          <w:spacing w:val="-4"/>
          <w:sz w:val="32"/>
          <w:szCs w:val="32"/>
          <w:lang w:val="en-US" w:eastAsia="zh-CN"/>
        </w:rPr>
        <w:t>相关文件，</w:t>
      </w:r>
      <w:r>
        <w:rPr>
          <w:rStyle w:val="19"/>
          <w:rFonts w:hint="eastAsia" w:ascii="楷体" w:hAnsi="楷体" w:eastAsia="楷体"/>
          <w:b w:val="0"/>
          <w:bCs w:val="0"/>
          <w:spacing w:val="-4"/>
          <w:sz w:val="32"/>
          <w:szCs w:val="32"/>
        </w:rPr>
        <w:t>我单位2024年按规定集中供养符合标准的困难群众84人，根据集中供养率表测算供养率为100%</w:t>
      </w:r>
      <w:r>
        <w:rPr>
          <w:rStyle w:val="19"/>
          <w:rFonts w:hint="eastAsia" w:ascii="楷体" w:hAnsi="楷体" w:eastAsia="楷体"/>
          <w:b w:val="0"/>
          <w:bCs w:val="0"/>
          <w:spacing w:val="-4"/>
          <w:sz w:val="32"/>
          <w:szCs w:val="32"/>
          <w:lang w:eastAsia="zh-CN"/>
        </w:rPr>
        <w:t>。</w:t>
      </w:r>
    </w:p>
    <w:p w14:paraId="6D86945A">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3.产出时效</w:t>
      </w:r>
    </w:p>
    <w:p w14:paraId="1AC4A1C4">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资金拨付及时率，满分5分，得分5分，得分率100%。根据我单位通过控制制度、财务制度制定的资金支付审批单，以及支付凭证得知资金拨付及时率为100%。</w:t>
      </w:r>
    </w:p>
    <w:p w14:paraId="24DB88ED">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4.产出成本</w:t>
      </w:r>
    </w:p>
    <w:p w14:paraId="6C5C9DCD">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困难群众救助补助金金额，满分6分，得分6分，得分率100%。 提前下达2024年自治区困难群众救助补助金项目资金为90万元，依据资金支付凭证，已支付90万元，达到绩效指标。</w:t>
      </w:r>
    </w:p>
    <w:p w14:paraId="50B3F3D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w:t>
      </w:r>
      <w:r>
        <w:rPr>
          <w:rStyle w:val="19"/>
          <w:rFonts w:hint="eastAsia" w:ascii="楷体" w:hAnsi="楷体" w:eastAsia="楷体"/>
          <w:spacing w:val="-4"/>
          <w:sz w:val="32"/>
          <w:szCs w:val="32"/>
          <w:lang w:val="en-US" w:eastAsia="zh-CN"/>
        </w:rPr>
        <w:t>效益</w:t>
      </w:r>
      <w:r>
        <w:rPr>
          <w:rStyle w:val="19"/>
          <w:rFonts w:hint="eastAsia" w:ascii="楷体" w:hAnsi="楷体" w:eastAsia="楷体"/>
          <w:spacing w:val="-4"/>
          <w:sz w:val="32"/>
          <w:szCs w:val="32"/>
        </w:rPr>
        <w:t>情况</w:t>
      </w:r>
    </w:p>
    <w:p w14:paraId="5C5A1144">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1社会效益</w:t>
      </w:r>
    </w:p>
    <w:p w14:paraId="4A3A6024">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农村特困人员集中供养，满分30分，得分25分，得分率83%。</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相关文件</w:t>
      </w:r>
      <w:r>
        <w:rPr>
          <w:rStyle w:val="19"/>
          <w:rFonts w:hint="eastAsia" w:ascii="楷体" w:hAnsi="楷体" w:eastAsia="楷体"/>
          <w:b w:val="0"/>
          <w:bCs w:val="0"/>
          <w:spacing w:val="-4"/>
          <w:sz w:val="32"/>
          <w:szCs w:val="32"/>
        </w:rPr>
        <w:t>进行项目设立，项目立项符合国家法律法规、国民经济</w:t>
      </w:r>
      <w:r>
        <w:rPr>
          <w:rStyle w:val="19"/>
          <w:rFonts w:hint="eastAsia" w:ascii="楷体" w:hAnsi="楷体" w:eastAsia="楷体"/>
          <w:b w:val="0"/>
          <w:bCs w:val="0"/>
          <w:spacing w:val="-4"/>
          <w:sz w:val="32"/>
          <w:szCs w:val="32"/>
          <w:lang w:val="en-US" w:eastAsia="zh-CN"/>
        </w:rPr>
        <w:t>和社会</w:t>
      </w:r>
      <w:r>
        <w:rPr>
          <w:rStyle w:val="19"/>
          <w:rFonts w:hint="eastAsia" w:ascii="楷体" w:hAnsi="楷体" w:eastAsia="楷体"/>
          <w:b w:val="0"/>
          <w:bCs w:val="0"/>
          <w:spacing w:val="-4"/>
          <w:sz w:val="32"/>
          <w:szCs w:val="32"/>
        </w:rPr>
        <w:t>发展规划和相关政策，符合行业发展规划和政策要求，符合我单位养老助老服务精神，是保障基本民生，促进社会公平，维护社会稳定的兜底性、基础性制度安排也是党全心全意为人民服务根本宗旨的集中体现。</w:t>
      </w:r>
    </w:p>
    <w:p w14:paraId="4C8AE850">
      <w:pPr>
        <w:spacing w:line="540" w:lineRule="exact"/>
        <w:ind w:firstLine="567" w:firstLineChars="181"/>
        <w:rPr>
          <w:rStyle w:val="19"/>
          <w:rFonts w:hint="eastAsia" w:ascii="楷体" w:hAnsi="楷体" w:eastAsia="楷体"/>
          <w:b w:val="0"/>
          <w:bCs w:val="0"/>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五</w:t>
      </w:r>
      <w:r>
        <w:rPr>
          <w:rFonts w:hint="eastAsia" w:ascii="楷体" w:hAnsi="楷体" w:eastAsia="楷体"/>
          <w:b/>
          <w:spacing w:val="-4"/>
          <w:sz w:val="32"/>
          <w:szCs w:val="32"/>
        </w:rPr>
        <w:t>）</w:t>
      </w:r>
      <w:r>
        <w:rPr>
          <w:rFonts w:hint="eastAsia" w:ascii="楷体" w:hAnsi="楷体" w:eastAsia="楷体"/>
          <w:b/>
          <w:spacing w:val="-4"/>
          <w:sz w:val="32"/>
          <w:szCs w:val="32"/>
          <w:lang w:eastAsia="zh-CN"/>
        </w:rPr>
        <w:t>满意度</w:t>
      </w:r>
      <w:r>
        <w:rPr>
          <w:rStyle w:val="19"/>
          <w:rFonts w:hint="eastAsia" w:ascii="楷体" w:hAnsi="楷体" w:eastAsia="楷体"/>
          <w:spacing w:val="-4"/>
          <w:sz w:val="32"/>
          <w:szCs w:val="32"/>
        </w:rPr>
        <w:t>情况</w:t>
      </w:r>
    </w:p>
    <w:p w14:paraId="3B71CB4D">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服务对象满意度</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服务对象满意度，满分8分，得分8分，得分率100%。本年度伊州区社会福利服务中心采用随机抽查的方式使用问卷星对社会公众或服务对象对项目实施效果的满意进行抽查，共发出10份调查表，结果都获得了一致的好评。</w:t>
      </w:r>
    </w:p>
    <w:p w14:paraId="16D394FA">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五</w:t>
      </w:r>
      <w:r>
        <w:rPr>
          <w:rStyle w:val="19"/>
          <w:rFonts w:hint="eastAsia" w:ascii="黑体" w:hAnsi="黑体" w:eastAsia="黑体"/>
          <w:b w:val="0"/>
          <w:spacing w:val="-4"/>
          <w:sz w:val="32"/>
          <w:szCs w:val="32"/>
        </w:rPr>
        <w:t>、主要经验及做法、存在的问题及原因分析</w:t>
      </w:r>
    </w:p>
    <w:p w14:paraId="657514C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（一）主要经验及做法</w:t>
      </w:r>
    </w:p>
    <w:p w14:paraId="41F64EA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1.优化服务，全力营造和谐环境。</w:t>
      </w:r>
    </w:p>
    <w:p w14:paraId="5AFCB6F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深入学习贯彻习近平总书记重要讲话精神，进一步做好困难群众兜底保障等工作的意见，作为养老服务单位，管理水平直接关系到工作质量，工作质量直接关系到供养老人的安全养老、健康养老、幸福养老，贯彻安全就是效益、质量就是生命的观念异常重要，全面落实安全管理与质量目标管理责任制是养老工作的神圣使命。</w:t>
      </w:r>
    </w:p>
    <w:p w14:paraId="2F53E202">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2.聚焦重点任务，推动项目工作落地落实</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把握需求，提供服务，注重实效，使老人过上有保障有尊严的生活；落实政策，开拓创新，办出特色的养老机构。一是按照2023版养老院评级细则，从环境、设施设备、运营管理、服务四个方面健全完善相关制度，提升工作人员服务理念和服务意识，提高老人的幸福指数。始终以最严最细的工作态度，抓好安全生产工作，坚决克服麻痹松懈的思想、把安全生产工作每一个细节抓实，防范化解安全隐患，坚决杜绝安全事故发生。二是为促使养老院提升服务，规范有序运作，实行民主管理，文明办院，选举老人代表组建院务监督管理委员会，针对院内老人热点、难点问题，经常展开讨论，商量对策，并定期对各项规章制度落实情况开展监督，促使提高养老院的服务和管理能力。为有效推进项目工作开展，提高财政资金使用效益，项目领导小组进一步强化项目意识，对照计划全面梳理重点任务，仔细谋划、紧抓落实，理顺分工和工作流程，明确责任和时间节点，一项一项抓好具体落实，确保了项目按时保质完成，保障了项目效益发挥。</w:t>
      </w:r>
    </w:p>
    <w:p w14:paraId="5D63AA9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3.全力营造尊老爱老氛围，为形成全社会关心支持养老事业不断努力。</w:t>
      </w:r>
    </w:p>
    <w:p w14:paraId="4AA33163">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创建一个爱老敬老养老助老的氛围需要全社会的积极参与。为形成全社会关心支持养老工作的良好局面，促进养老院健康发展，我们积极争取，努力实现养老院与社会的互动。在慈善组织的协助下，社会各界爱心人士积极送来关爱之心和慰问品，这对大力宣传尊老敬老美德，营造共助氛围，收到了显著效果；同时医院医护人员经常来院</w:t>
      </w:r>
      <w:r>
        <w:rPr>
          <w:rStyle w:val="19"/>
          <w:rFonts w:hint="eastAsia" w:ascii="楷体" w:hAnsi="楷体" w:eastAsia="楷体"/>
          <w:b w:val="0"/>
          <w:bCs w:val="0"/>
          <w:spacing w:val="-4"/>
          <w:sz w:val="32"/>
          <w:szCs w:val="32"/>
          <w:lang w:val="en-US" w:eastAsia="zh-CN"/>
        </w:rPr>
        <w:t>里</w:t>
      </w:r>
      <w:r>
        <w:rPr>
          <w:rStyle w:val="19"/>
          <w:rFonts w:hint="eastAsia" w:ascii="楷体" w:hAnsi="楷体" w:eastAsia="楷体"/>
          <w:b w:val="0"/>
          <w:bCs w:val="0"/>
          <w:spacing w:val="-4"/>
          <w:sz w:val="32"/>
          <w:szCs w:val="32"/>
        </w:rPr>
        <w:t>为老人开展体检、宣传健康知识，咨询服务等，也让老人们真正感到老有所养，病有所医，更加增强了老人们的幸福感和获得感。</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（二）存在问题及原因分析</w:t>
      </w:r>
    </w:p>
    <w:p w14:paraId="0977D5F2">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1.绩效预算认识不够充分，绩效理念有待进一步强化</w:t>
      </w:r>
      <w:r>
        <w:rPr>
          <w:rStyle w:val="19"/>
          <w:rFonts w:hint="eastAsia" w:ascii="楷体" w:hAnsi="楷体" w:eastAsia="楷体"/>
          <w:b w:val="0"/>
          <w:bCs w:val="0"/>
          <w:spacing w:val="-4"/>
          <w:sz w:val="32"/>
          <w:szCs w:val="32"/>
          <w:lang w:eastAsia="zh-CN"/>
        </w:rPr>
        <w:t>。</w:t>
      </w:r>
    </w:p>
    <w:p w14:paraId="2B9778F6">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部门绩效管理理念尚未牢固树立，绩效管理专业人员匮乏。单位对全面实施绩效管理认识不够，绩效水平不高，绩效管理工作力量薄弱，多数以财务人员牵头开展绩效管理，工作推动机制不</w:t>
      </w:r>
      <w:r>
        <w:rPr>
          <w:rStyle w:val="19"/>
          <w:rFonts w:hint="eastAsia" w:ascii="楷体" w:hAnsi="楷体" w:eastAsia="楷体"/>
          <w:b w:val="0"/>
          <w:bCs w:val="0"/>
          <w:spacing w:val="-4"/>
          <w:sz w:val="32"/>
          <w:szCs w:val="32"/>
          <w:lang w:val="en-US" w:eastAsia="zh-CN"/>
        </w:rPr>
        <w:t>健</w:t>
      </w:r>
      <w:r>
        <w:rPr>
          <w:rStyle w:val="19"/>
          <w:rFonts w:hint="eastAsia" w:ascii="楷体" w:hAnsi="楷体" w:eastAsia="楷体"/>
          <w:b w:val="0"/>
          <w:bCs w:val="0"/>
          <w:spacing w:val="-4"/>
          <w:sz w:val="32"/>
          <w:szCs w:val="32"/>
        </w:rPr>
        <w:t>全，业务人员业务能力和素质还有待进一步提升。使得项目资金执行完毕后，项目效益还有很大一部分提升空间。农村特困人员集中供养生活水平因中心资金有限，硬件设施不够现代化，生活水平只能满足基本温饱，精神食量较少无法达到现代化养老的条件。</w:t>
      </w:r>
    </w:p>
    <w:p w14:paraId="741E14F8">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2.项目支出绩效评价客观性有待加强</w:t>
      </w:r>
      <w:r>
        <w:rPr>
          <w:rStyle w:val="19"/>
          <w:rFonts w:hint="eastAsia" w:ascii="楷体" w:hAnsi="楷体" w:eastAsia="楷体"/>
          <w:b w:val="0"/>
          <w:bCs w:val="0"/>
          <w:spacing w:val="-4"/>
          <w:sz w:val="32"/>
          <w:szCs w:val="32"/>
          <w:lang w:eastAsia="zh-CN"/>
        </w:rPr>
        <w:t>。</w:t>
      </w:r>
    </w:p>
    <w:p w14:paraId="5647ABFA">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项目支出绩效评价工作还存在自我审定的单位限性，项目支出绩效工作有较大弹性，评价报告多单位限于描述项目实施情况，对问题避重就轻，对项目的打分松紧不一，会影响评价质量，在客观性和公正性上说服力不强。</w:t>
      </w:r>
    </w:p>
    <w:p w14:paraId="436636DA">
      <w:p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u w:val="dotted"/>
          <w:lang w:val="en-US" w:eastAsia="zh-CN"/>
        </w:rPr>
        <w:t>六</w:t>
      </w:r>
      <w:r>
        <w:rPr>
          <w:rStyle w:val="19"/>
          <w:rFonts w:hint="eastAsia" w:ascii="黑体" w:hAnsi="黑体" w:eastAsia="黑体"/>
          <w:b w:val="0"/>
          <w:spacing w:val="-4"/>
          <w:sz w:val="32"/>
          <w:szCs w:val="32"/>
        </w:rPr>
        <w:t>、有关建议</w:t>
      </w:r>
    </w:p>
    <w:p w14:paraId="4EC32E78">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1.加强培训，进一步提升业务人员和财务人员的绩效理念，提升绩效预算认识</w:t>
      </w:r>
      <w:r>
        <w:rPr>
          <w:rStyle w:val="19"/>
          <w:rFonts w:hint="eastAsia" w:ascii="楷体" w:hAnsi="楷体" w:eastAsia="楷体"/>
          <w:b w:val="0"/>
          <w:bCs w:val="0"/>
          <w:spacing w:val="-4"/>
          <w:sz w:val="32"/>
          <w:szCs w:val="32"/>
          <w:lang w:eastAsia="zh-CN"/>
        </w:rPr>
        <w:t>。</w:t>
      </w:r>
    </w:p>
    <w:p w14:paraId="3E7AB75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将项目资金做到最大化的利用。</w:t>
      </w:r>
    </w:p>
    <w:p w14:paraId="6A31A099">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 客观公正评价，高度重视，加强领导</w:t>
      </w:r>
      <w:r>
        <w:rPr>
          <w:rStyle w:val="19"/>
          <w:rFonts w:hint="eastAsia" w:ascii="楷体" w:hAnsi="楷体" w:eastAsia="楷体"/>
          <w:b w:val="0"/>
          <w:bCs w:val="0"/>
          <w:spacing w:val="-4"/>
          <w:sz w:val="32"/>
          <w:szCs w:val="32"/>
          <w:lang w:eastAsia="zh-CN"/>
        </w:rPr>
        <w:t>。</w:t>
      </w:r>
    </w:p>
    <w:p w14:paraId="01048217">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4CDB83FE">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14:paraId="52E91693">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无</w:t>
      </w:r>
    </w:p>
    <w:p w14:paraId="0433A4ED">
      <w:pPr>
        <w:spacing w:line="540" w:lineRule="exact"/>
        <w:ind w:firstLine="567"/>
        <w:rPr>
          <w:rStyle w:val="19"/>
          <w:rFonts w:ascii="仿宋" w:hAnsi="仿宋" w:eastAsia="仿宋"/>
          <w:b w:val="0"/>
          <w:spacing w:val="-4"/>
          <w:sz w:val="32"/>
          <w:szCs w:val="32"/>
        </w:rPr>
      </w:pPr>
    </w:p>
    <w:p w14:paraId="3C69B399">
      <w:pPr>
        <w:spacing w:line="540" w:lineRule="exact"/>
        <w:ind w:firstLine="567"/>
        <w:rPr>
          <w:rStyle w:val="19"/>
          <w:rFonts w:ascii="仿宋" w:hAnsi="仿宋" w:eastAsia="仿宋"/>
          <w:b w:val="0"/>
          <w:spacing w:val="-4"/>
          <w:sz w:val="32"/>
          <w:szCs w:val="32"/>
        </w:rPr>
      </w:pPr>
    </w:p>
    <w:p w14:paraId="7FAC3926">
      <w:pPr>
        <w:spacing w:line="540" w:lineRule="exact"/>
        <w:ind w:firstLine="567"/>
        <w:rPr>
          <w:rStyle w:val="19"/>
          <w:rFonts w:ascii="仿宋" w:hAnsi="仿宋" w:eastAsia="仿宋"/>
          <w:b w:val="0"/>
          <w:spacing w:val="-4"/>
          <w:sz w:val="32"/>
          <w:szCs w:val="32"/>
        </w:rPr>
      </w:pPr>
    </w:p>
    <w:p w14:paraId="379F2E02">
      <w:pPr>
        <w:spacing w:line="540" w:lineRule="exact"/>
        <w:ind w:firstLine="567"/>
        <w:rPr>
          <w:rStyle w:val="19"/>
          <w:rFonts w:ascii="仿宋" w:hAnsi="仿宋" w:eastAsia="仿宋"/>
          <w:b w:val="0"/>
          <w:spacing w:val="-4"/>
          <w:sz w:val="32"/>
          <w:szCs w:val="32"/>
        </w:rPr>
      </w:pPr>
    </w:p>
    <w:p w14:paraId="30962942">
      <w:pPr>
        <w:spacing w:line="540" w:lineRule="exact"/>
        <w:ind w:firstLine="567"/>
        <w:rPr>
          <w:rStyle w:val="19"/>
          <w:rFonts w:ascii="仿宋" w:hAnsi="仿宋" w:eastAsia="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765B18EC">
        <w:pPr>
          <w:pStyle w:val="12"/>
          <w:jc w:val="center"/>
        </w:pPr>
        <w:r>
          <w:fldChar w:fldCharType="begin"/>
        </w:r>
        <w:r>
          <w:instrText xml:space="preserve">PAGE   \* MERGEFORMAT</w:instrText>
        </w:r>
        <w:r>
          <w:fldChar w:fldCharType="separate"/>
        </w:r>
        <w:r>
          <w:rPr>
            <w:lang w:val="zh-CN"/>
          </w:rPr>
          <w:t>1</w:t>
        </w:r>
        <w:r>
          <w:fldChar w:fldCharType="end"/>
        </w:r>
      </w:p>
    </w:sdtContent>
  </w:sdt>
  <w:p w14:paraId="594C392E">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B64D47">
    <w:pPr>
      <w:pStyle w:val="1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1"/>
      <w:numFmt w:val="decimal"/>
      <w:suff w:val="nothing"/>
      <w:lvlText w:val="（%1）"/>
      <w:lvlJc w:val="left"/>
      <w:pPr>
        <w:ind w:left="-147"/>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mYmVhMGQ2YWQwOTc0ZDFkYmVkZTE0NzFkNThlYzIifQ=="/>
  </w:docVars>
  <w:rsids>
    <w:rsidRoot w:val="00000000"/>
    <w:rsid w:val="5A104080"/>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

<file path=customXml/item2.xml><?xml version="1.0" encoding="utf-8"?>
<Properties xmlns="http://schemas.openxmlformats.org/officeDocument/2006/extended-properties" xmlns:vt="http://schemas.openxmlformats.org/officeDocument/2006/docPropsVTypes">
  <Template>Normal.dotm</Template>
  <Pages>13</Pages>
  <Words>6108</Words>
  <Characters>6352</Characters>
  <Lines>5</Lines>
  <Paragraphs>1</Paragraphs>
  <TotalTime>10</TotalTime>
  <ScaleCrop>false</ScaleCrop>
  <LinksUpToDate>false</LinksUpToDate>
  <CharactersWithSpaces>6369</CharactersWithSpaces>
  <Application>WPS Office_11.1.0.12165_F1E327BC-269C-435d-A152-05C5408002CA</Application>
  <DocSecurity>0</DocSecuri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k.</cp:lastModifiedBy>
  <cp:lastPrinted>2018-12-31T10:56:00Z</cp:lastPrinted>
  <dcterms:modified xsi:type="dcterms:W3CDTF">2025-11-06T08:20:52Z</dcterms:modified>
  <cp:revision>19</cp:revision>
</cp:coreProperties>
</file>

<file path=customXml/itemProps1.xml><?xml version="1.0" encoding="utf-8"?>
<ds:datastoreItem xmlns:ds="http://schemas.openxmlformats.org/officeDocument/2006/customXml" ds:itemID="{d2477f0c-b66d-489f-a786-a0ff75ae6090}">
  <ds:schemaRefs/>
</ds:datastoreItem>
</file>

<file path=customXml/itemProps2.xml><?xml version="1.0" encoding="utf-8"?>
<ds:datastoreItem xmlns:ds="http://schemas.openxmlformats.org/officeDocument/2006/customXml" ds:itemID="{4eba6a57-e1fa-4b53-b215-eba70afc12e0}">
  <ds:schemaRefs/>
</ds:datastoreItem>
</file>

<file path=customXml/itemProps3.xml><?xml version="1.0" encoding="utf-8"?>
<ds:datastoreItem xmlns:ds="http://schemas.openxmlformats.org/officeDocument/2006/customXml" ds:itemID="{f693570c-aa25-4538-a73c-057a9921429b}">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4674</Words>
  <Characters>4909</Characters>
  <Lines>5</Lines>
  <Paragraphs>1</Paragraphs>
  <TotalTime>5</TotalTime>
  <ScaleCrop>false</ScaleCrop>
  <LinksUpToDate>false</LinksUpToDate>
  <CharactersWithSpaces>4925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石头</cp:lastModifiedBy>
  <cp:lastPrinted>2018-12-31T10:56:00Z</cp:lastPrinted>
  <dcterms:modified xsi:type="dcterms:W3CDTF">2025-11-06T12:15:07Z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C734C92AAAF24344A0E4232D8EB3359B</vt:lpwstr>
  </property>
  <property fmtid="{D5CDD505-2E9C-101B-9397-08002B2CF9AE}" pid="4" name="KSOTemplateDocerSaveRecord">
    <vt:lpwstr>eyJoZGlkIjoiN2YzNjBkOTgyNWQ1YTMxYzM3MzMwNWFiODNmOWIzYWMiLCJ1c2VySWQiOiI3NTc1MDIxMjYifQ==</vt:lpwstr>
  </property>
</Properties>
</file>