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环境生产费用</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哈密市伊州区环境卫生中心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哈密市伊州区环境卫生中心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付士涛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2025年05月20日</w:t>
      </w:r>
    </w:p>
    <w:p>
      <w:pPr>
        <w:spacing w:line="700" w:lineRule="exact"/>
        <w:ind w:firstLine="708" w:firstLineChars="236"/>
        <w:jc w:val="left"/>
        <w:rPr>
          <w:rFonts w:hAnsi="宋体" w:eastAsia="仿宋_GB2312" w:cs="宋体"/>
          <w:kern w:val="0"/>
          <w:sz w:val="30"/>
          <w:szCs w:val="30"/>
        </w:rPr>
      </w:pPr>
    </w:p>
    <w:p>
      <w:pPr>
        <w:numPr>
          <w:ilvl w:val="0"/>
          <w:numId w:val="0"/>
        </w:numPr>
        <w:spacing w:line="540" w:lineRule="exact"/>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lang w:val="en-US" w:eastAsia="zh-CN"/>
        </w:rPr>
        <w:t>一、</w:t>
      </w:r>
      <w:r>
        <w:rPr>
          <w:rStyle w:val="18"/>
          <w:rFonts w:hint="eastAsia" w:ascii="黑体" w:hAnsi="黑体" w:eastAsia="黑体" w:cs="黑体"/>
          <w:b w:val="0"/>
          <w:spacing w:val="-4"/>
          <w:sz w:val="32"/>
          <w:szCs w:val="32"/>
        </w:rPr>
        <w:t>基本情况</w:t>
      </w:r>
    </w:p>
    <w:p>
      <w:pPr>
        <w:numPr>
          <w:ilvl w:val="0"/>
          <w:numId w:val="0"/>
        </w:num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（一）项目概况</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（一）项目概况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1.项目背景</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环境生产费项目主要为了保障城市环卫工作正常开展，完成日常环卫工作任务 ， 加大城市公共环境卫生管理、城市道路清扫保洁、城市生活垃圾、医疗垃圾清运及无害化处理 、城市公厕管理监督、城市公共环卫设施设置、维护，建筑垃圾管理及处置，提高市民居住环境。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2.主要内容及实施情况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环境生产费项目预算1328.74万元，实际支出1328.74万元，主要用于购买生产用水167548立方米、环境生产用电203010度、环卫生产取暖吨数846吨、环卫生产购买材料数等于38批，城市环境卫生效果改善显著，预期达到效果显著，市区环境干净整洁，公厕管理落实到位，保障满足居民生活需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环境生产费项目计划拨付1328.74万元，项目于2024年1月28日批复预算资金1328.74万元，截至2024年12月31日，项目用于城市公共环境卫生管理、城市道路清扫保洁、城市生活垃圾、医疗垃圾清运及无害化处理、城市公厕管理监督、城市公共环卫设施设置、维护，建筑垃圾管理及处置，提高市民居住环境。项目资金支付1328.74万元，资金到位率100%，预算执行率为100%。</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（二）项目绩效目标</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（二）项目绩效目标</w:t>
      </w:r>
      <w:r>
        <w:rPr>
          <w:rStyle w:val="18"/>
          <w:rFonts w:hint="eastAsia" w:ascii="仿宋_GB2312" w:hAnsi="仿宋_GB2312" w:eastAsia="仿宋_GB2312" w:cs="仿宋_GB2312"/>
          <w:b w:val="0"/>
          <w:bCs w:val="0"/>
          <w:spacing w:val="-4"/>
          <w:sz w:val="32"/>
          <w:szCs w:val="32"/>
        </w:rPr>
        <w:cr/>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本项目总体目标为：加大了城市公共环境卫生管理、城市道路清扫保洁、城市生活垃圾、医疗垃圾清运及无害化处理 、城市公厕管理监督、城市公共环卫设施设置、维护，建筑垃圾管理及处置，提高市民居住环境。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数量指标：生产用水面积不低于464954立方米；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环境生产用电数不低于1497587度；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环卫生产取暖吨数不低于716吨；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环卫生产购买材料数不低于38批；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环卫工作服购买数不低于2000套；</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环卫工作劳动工具购买数不低于166266把。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质量指标：环卫生产工作覆盖率达到100%；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环卫生产材料验收合格率达到100%。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时效指标：环卫生产办公经费支付及时率达到100%。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维护维修完成及时率达到100%。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购置环卫生产工具及时率达到100%。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冬季扫雪及时率达到100%。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经济成本指标：环卫生产用水支出标准不高于3.25元/立方米；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环卫生产用电费支出标准不高于0.58元/度。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环卫生产邮电费用不高于7314元/月。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环卫生产取暖支出标准不高于650元/吨。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环卫生产维修费用不高23.47万元/项。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环卫工作服采购费用不高于196万元。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环卫工作劳动工具采购费用不高于201万元。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冬季扫雪经费不高于121万元/年。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社会效益指标：提升公共环境卫生服务水平。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满意度指标：提升公共环境卫生服务水平满意度不低于95%。</w:t>
      </w:r>
    </w:p>
    <w:p>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二、绩效评价工作开展情况</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（一）绩效评价目的、对象和范围</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（一）绩效评价目的、对象和范围</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我单位根据《自治区财政支出绩效评价管理暂行办法》（新财预〔2018〕189号）文件精神，对环境生产费用项目绩效目标实现情况进行自评。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（二）绩效评价原则、评价指标体系、评价方法、评价标准</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（二）绩效评价原则、评价指标体系、评价方法、评价标准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（4）公开透明。绩效评价结果应依法依规公开，并自觉接受社会监督。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项目立项：立项依据充分性，权重4分。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绩效目标：绩效目标明确性，权重4分；绩效目标合理性，权重4分。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预算编制：测算标准合理性，权重3分；测算过程细化度，权重2分。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资金管理：资金到位率，权重6分；预算执行率，权重6分。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组织实施：管理制度健全性，权重5分，制度执行有效性，权重6分。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（3）项目产出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数量指标：生产用水面积、环境生产用电数、环卫生产取暖吨数、环卫生产购买材料数、环卫工作服购买数、环卫工作劳动工具购买数，权重6分；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质量指标：环卫生产工作覆盖率、环卫生产材料验收合格率，权重5分；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时效指标：环卫生产办公经费支付及时率、</w:t>
      </w:r>
      <w:r>
        <w:rPr>
          <w:rStyle w:val="18"/>
          <w:rFonts w:hint="eastAsia" w:ascii="仿宋_GB2312" w:hAnsi="仿宋_GB2312" w:eastAsia="仿宋_GB2312" w:cs="仿宋_GB2312"/>
          <w:b w:val="0"/>
          <w:bCs w:val="0"/>
          <w:spacing w:val="-4"/>
          <w:sz w:val="32"/>
          <w:szCs w:val="32"/>
          <w:lang w:eastAsia="zh-CN"/>
        </w:rPr>
        <w:t>维</w:t>
      </w:r>
      <w:r>
        <w:rPr>
          <w:rStyle w:val="18"/>
          <w:rFonts w:hint="eastAsia" w:ascii="仿宋_GB2312" w:hAnsi="仿宋_GB2312" w:eastAsia="仿宋_GB2312" w:cs="仿宋_GB2312"/>
          <w:b w:val="0"/>
          <w:bCs w:val="0"/>
          <w:spacing w:val="-4"/>
          <w:sz w:val="32"/>
          <w:szCs w:val="32"/>
        </w:rPr>
        <w:t>护维修完成及时率、购置环卫生产工具及时率、冬季扫雪及时率，权重5分。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成本指标：环卫生产用水支出标准、环卫生产用电费支出标准、环卫生产邮电费用、环卫生产取暖支出标准、环卫生产维修费用、环卫工作服采购费用、环卫工作劳动工具采购费用、冬季扫雪经费，权重6分。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社会效益指标：提升公共环境卫生服务水平，权重30分。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服务对象满意度指标：市民群众满意度，权重8分。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环境生产费项目绩效评价主要通过项目单位自评、主管部门监督、财政部门参评的方式开展绩效评价工作。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（1）成本效益分析法。是指将投入与产出、效益进行关联性分析的方法。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（6）核实法。是收集包括书面资料及以外的信息以证实书面资料及其所反映经济活动的真实，合法，合理，有效和正确的方法。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（三）绩效评价工作过程</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（三）绩效评价工作过程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1.前期准备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（1）项目全过程资料档案复核</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（2）检查内容和过程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发放调查问卷开展市民群众满意度调查工作。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（3）撰写报告情况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spacing w:line="540" w:lineRule="exact"/>
        <w:ind w:left="624" w:hanging="624" w:hanging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三、综合评价情况及评价结论</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本次项目自评满分100分，自评得分</w:t>
      </w:r>
      <w:r>
        <w:rPr>
          <w:rStyle w:val="18"/>
          <w:rFonts w:hint="eastAsia" w:ascii="仿宋_GB2312" w:hAnsi="仿宋_GB2312" w:eastAsia="仿宋_GB2312" w:cs="仿宋_GB2312"/>
          <w:b w:val="0"/>
          <w:bCs w:val="0"/>
          <w:spacing w:val="-4"/>
          <w:sz w:val="32"/>
          <w:szCs w:val="32"/>
          <w:lang w:val="en-US" w:eastAsia="zh-CN"/>
        </w:rPr>
        <w:t>87.5</w:t>
      </w:r>
      <w:r>
        <w:rPr>
          <w:rStyle w:val="18"/>
          <w:rFonts w:hint="eastAsia" w:ascii="仿宋_GB2312" w:hAnsi="仿宋_GB2312" w:eastAsia="仿宋_GB2312" w:cs="仿宋_GB2312"/>
          <w:b w:val="0"/>
          <w:bCs w:val="0"/>
          <w:spacing w:val="-4"/>
          <w:sz w:val="32"/>
          <w:szCs w:val="32"/>
        </w:rPr>
        <w:t>分，自评结果为“优”，其中项目决策得分17分，项目过程得分23分，项目产出得分20.49分，项目效益得分30分，项目满意度得分8分。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评价结论：项目决策方面，项目立项符合国家法律法规、自治区和地区行业发展规划和政策要求，属于本部门履职所需；项目过程方面，项目资金使用符合政府会计制度的相关规定，各项拨付经领导审批，有完整的审批手续，项目支出不存在截留、挤占、挪用、虚列支出等情况，本年度审计、巡视、财政巡察未发现违规问题；项目产出方面，购买生产用水167548立方米、环境生产用电203010度、环卫生产取暖吨数846吨、环卫生产购买材料数等于38批，保障了城市环卫工作正常开展；项目效益方面，城市环境卫生效果改善显著，预期达到效果显著，市区环境干净整洁，公厕管理落实到位，保障满足居民生活需求，实际完情况达到预期指标；项目满意度方面，城市环卫工作致力于改善和优化城市环境，为居民提供舒适干净的市区环境，实际完成情况达成预期指标。</w:t>
      </w:r>
    </w:p>
    <w:p>
      <w:pPr>
        <w:spacing w:line="540" w:lineRule="exact"/>
        <w:rPr>
          <w:rStyle w:val="18"/>
          <w:rFonts w:hint="eastAsia" w:ascii="仿宋_GB2312" w:hAnsi="仿宋_GB2312" w:eastAsia="仿宋_GB2312" w:cs="仿宋_GB2312"/>
          <w:sz w:val="32"/>
          <w:szCs w:val="32"/>
        </w:rPr>
      </w:pPr>
      <w:r>
        <w:rPr>
          <w:rStyle w:val="18"/>
          <w:rFonts w:hint="eastAsia" w:ascii="仿宋_GB2312" w:hAnsi="仿宋_GB2312" w:eastAsia="仿宋_GB2312" w:cs="仿宋_GB2312"/>
          <w:b w:val="0"/>
          <w:spacing w:val="-4"/>
          <w:sz w:val="32"/>
          <w:szCs w:val="32"/>
        </w:rPr>
        <w:t>四、绩效评价指标分析</w:t>
      </w:r>
      <w:r>
        <w:rPr>
          <w:rStyle w:val="18"/>
          <w:rFonts w:hint="eastAsia" w:ascii="仿宋_GB2312" w:hAnsi="仿宋_GB2312" w:eastAsia="仿宋_GB2312" w:cs="仿宋_GB2312"/>
          <w:sz w:val="32"/>
          <w:szCs w:val="32"/>
        </w:rPr>
        <w:t xml:space="preserve"> </w:t>
      </w:r>
    </w:p>
    <w:p>
      <w:pPr>
        <w:spacing w:line="540" w:lineRule="exact"/>
        <w:rPr>
          <w:rStyle w:val="18"/>
          <w:rFonts w:hint="eastAsia" w:ascii="仿宋_GB2312" w:hAnsi="仿宋_GB2312" w:eastAsia="仿宋_GB2312" w:cs="仿宋_GB2312"/>
          <w:b w:val="0"/>
          <w:bCs w:val="0"/>
          <w:spacing w:val="-4"/>
          <w:sz w:val="32"/>
          <w:szCs w:val="32"/>
          <w:lang w:eastAsia="zh-CN"/>
        </w:rPr>
      </w:pPr>
      <w:r>
        <w:rPr>
          <w:rFonts w:hint="eastAsia" w:ascii="仿宋_GB2312" w:hAnsi="仿宋_GB2312" w:eastAsia="仿宋_GB2312" w:cs="仿宋_GB2312"/>
          <w:b/>
          <w:spacing w:val="-4"/>
          <w:sz w:val="32"/>
          <w:szCs w:val="32"/>
        </w:rPr>
        <w:t>（一）</w:t>
      </w:r>
      <w:r>
        <w:rPr>
          <w:rStyle w:val="18"/>
          <w:rFonts w:hint="eastAsia" w:ascii="仿宋_GB2312" w:hAnsi="仿宋_GB2312" w:eastAsia="仿宋_GB2312" w:cs="仿宋_GB2312"/>
          <w:spacing w:val="-4"/>
          <w:sz w:val="32"/>
          <w:szCs w:val="32"/>
        </w:rPr>
        <w:t>项目决策情况</w:t>
      </w:r>
      <w:r>
        <w:rPr>
          <w:rStyle w:val="18"/>
          <w:rFonts w:hint="eastAsia" w:ascii="仿宋_GB2312" w:hAnsi="仿宋_GB2312" w:eastAsia="仿宋_GB2312" w:cs="仿宋_GB2312"/>
          <w:b w:val="0"/>
          <w:bCs w:val="0"/>
          <w:spacing w:val="-4"/>
          <w:sz w:val="32"/>
          <w:szCs w:val="32"/>
        </w:rPr>
        <w:cr/>
      </w:r>
      <w:r>
        <w:rPr>
          <w:rStyle w:val="18"/>
          <w:rFonts w:hint="eastAsia" w:ascii="仿宋_GB2312" w:hAnsi="仿宋_GB2312" w:eastAsia="仿宋_GB2312" w:cs="仿宋_GB2312"/>
          <w:b w:val="0"/>
          <w:bCs w:val="0"/>
          <w:spacing w:val="-4"/>
          <w:sz w:val="32"/>
          <w:szCs w:val="32"/>
        </w:rPr>
        <w:t>1.项目立项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立项依据充分性，满分4分，得分4分，得分率100%。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是由伊州区环境卫生中心单位提出申报，于2024年1月批复设立，2024年我单位根据单位实际生产工作需求组织实施该项目。项目立项符合国家法律法规、自治区和地区行业发展规划和政策要求，属于本部门履职所需。。</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（1）绩效目标明确性，满分4分，得分4分，得分率100%。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环境生产费用项目根据历年项目支出数据，结合当年数据变化情况设定绩效指标，已将项目绩效目标细化分解为具体的绩效指标，并通过清晰、可衡量的指标值予以体现，与项目目标任务数或计划数相对应。</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（2）绩效目标合理性，满分4分，得分4分，得分率100%。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制定了项目支出绩效目标，明确了项目总体思路及总目标、并对项目任务进行了详细分解，对目标进行了细化。环境生产费用项目根据历年项目支出数据，结合当年数据变化情况设定绩效指标，本项目资金分配依据充分，资金分配额度合理，与项目地方实际相适应。。</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3.预算编制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（1）测算标准合理性，满分3分，得分3分，得分率100%。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本项目内容符合相关政策文件规定和相关行业、领域管理标准，预算测算使用部门自行制定的支出标准，符合上级管理部门的标准或社会实际支出水平。。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（2）测算过程细化度，满分2分，得分2分，得分率100%。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环境生产费用项目根据历年项目支出数据，结合当年数据变化情况设定绩效指标，本项目资金分配依据充分，资金分配额度合理，与项目地方实际相适应。</w:t>
      </w:r>
      <w:r>
        <w:rPr>
          <w:rStyle w:val="18"/>
          <w:rFonts w:hint="eastAsia" w:ascii="仿宋_GB2312" w:hAnsi="仿宋_GB2312" w:eastAsia="仿宋_GB2312" w:cs="仿宋_GB2312"/>
          <w:b w:val="0"/>
          <w:bCs w:val="0"/>
          <w:spacing w:val="-4"/>
          <w:sz w:val="32"/>
          <w:szCs w:val="32"/>
          <w:lang w:eastAsia="zh-CN"/>
        </w:rPr>
        <w:tab/>
      </w:r>
    </w:p>
    <w:p>
      <w:pPr>
        <w:spacing w:line="540" w:lineRule="exact"/>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项目过程情况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1.资金管理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（1）资金到位率，满分6分，得分6分，得分率100%。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该项目所需财政资金能够足额拨付到位，牵头单位能够及时足额按照合同约定将专项资金拨付给单位，本项目资金分配依据充分，资金分配额度合理，与项目地方实际相适应。</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（2）预算执行率，满分6分，得分6分，得分率100%。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预算资金1328.74万元，实际执行1328.74万元，预算执行率为100%。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（1）管理制度健全性，满分5分，得分5分，得分率100%。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项目资金使用符合政府会计制度的相关规定，各项拨付经领导审批，有完整的审批手续，项目支出不存在截留、挤占、挪用、虚列支出等情况，本年度审计、巡视、财政巡察未发现违规问题。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（2）制度执行有效性，满分6分，得分6分，得分率100%。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立项符合我单位工作计划和发展规划的相关要求，符合我单位“加强单位财政的监督和管理，按计划组织，管理单位财政收入和支出，执行国家关于财经纪律和政策，保证国家财政的收入，做好统计工作”的部门履职工作需要，单位支出符合财政公共支持范围，项目工作不存在政策交叉重复情况。</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项目产出情况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（三）项目产出情况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生产用水面积，满分1分，得分0.36分，得分率36%。生产用水面积不低于464954立方米，根据实际生产支出需求购买生产用水167548立方米，未达到预期目标。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环境生产用电数、满分1分，得分0.13分，得分率13.5%。环境生产用电数不低于1497587度，根据实际生产支出需求购买环境生产用电203010度，未达到预期目标。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环卫生产取暖吨数，满分1分，得分1分，得分率100%。环卫生产取暖吨数不低于716吨，根据实际生产支出需求购买环卫生产取暖吨数846吨，达到预期目标。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环卫生产购买材料数、满分1分，得分1分，得分率100%。环卫生产购买材料数不低于38批，根据实际生产支出需求购买环卫生产购买材料数等于38批，达到预期目标。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环卫工作服购买数、满分1分，得分1分，得分率100%。环卫工作服购买数不低于2000套，根据实际生产支出需求购买环卫工作服数量为3272套，达到预期目标。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环卫工作劳动工具购买数，满分1分，得分0.36分，得分率36%。环卫工作劳动工具购买数不低于166266把，根据实际生产支出需求购买环卫工作劳动工具59512把，未达到预期目标。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环卫生产工作覆盖率，满分3分，得分3分，得分率100%。根据实际环卫工作开展情况以及工作总结等可知环卫生产工作覆盖率达到100%，达到预期目标。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环卫生产材料验收合格率，满分2分，得分2分，得分率100%。根据实际环卫工作开展情况以及材料验收报告等可知环卫生产材料验收合格率达到100%，达到预期目标。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环卫生产办公经费支付及时率，满分2分，得分2分，得分率100%。根据支付凭证及国库支付凭证回单等资料可知资金及时支付到位，环卫生产办公经费支付及时率为100%，达到预期目标。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维护维修完成及时率，满分1分，得分1分，得分率100%。根据支付凭证及国库支付凭证回单等资料可知资金及时支付到位，环维护维修完成及时率为100%，达到预期目标。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购置环卫生产工具及时率，满分1分，得分1分，得分率100%。根据支付凭证及国库支付凭证回单等资料可知资金及时支付到位，购置环卫生产工具及时率为100%，达到预期目标。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冬季扫雪及时率，满分1分，得分1分，得分率100%。根据根据实际环卫工作开展情况以及工作总结等可知冬季扫雪工作及时开展到位，冬季扫雪及时率为100%，达到预期目标。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环卫生产用水支出标准，满分0.7分，得分0.7分，得分率100%。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环卫生产用水支出标准不高于3.25元/立方米，根据支付凭证及国库支付凭证回单等资料可知环卫生产用水支出标准为2.27元/立方米，达到预期目标。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环卫生产用电费支出标准，满分0.7分，得分0.7分，得分率100%。环卫生产用电费支出标准不高于0.58元/度，根据支付凭证及国库支付凭证回单等资料可知环卫生产用电费支出标准为0.49元/度，达到预期目标。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环卫生产邮电费用，满分0.7分，得分0.7分，得分率100%。环卫生产邮电费用不高于7314元/月，根据支付凭证及国库支付凭证回单等资料可知环卫生产邮电费用支出标准为5963元/月，达到预期目标。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环卫生产取暖支出标准，满分0.7分，得分0.7分，得分率100%。环卫生产取暖支出标准不高于650元/吨，根据支付凭证及国库支付凭证回单等资料可知环卫生产取暖支出标准为650元/吨，达到预期目标。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环卫生产维修费用，满分0.7分，得分0.7分，得分率100%。环卫生产维修费用不高23.47万元/项，根据支付凭证及国库支付凭证回单等资料可知环卫生产维修费用为8.9万元/项，达到预期目标。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环卫工作服采购费用，满分0.7分，得分0.7分，得分率100%。环卫工作服采购费用不高于196万元，根据支付凭证及国库支付凭证回单等资料可知环卫工作服采购费用为89.6万元，达到预期目标。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环卫工作劳动工具采购费用，满分0.7分，得分0.7分，得分率100%。环卫工作劳动工具采购费用不高于201万元，根据支付凭证及国库支付凭证回单等资料可知环卫工作劳动工具采购费用为180.64万元，达到预期目标。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冬季扫雪经费，满分1.1分，得分1.1分，得分率100%。环卫工作劳动工具采购费用不高于201万元，根据支付凭证及国库支付凭证回单等资料可知冬季扫雪经费为20.5万元，达到预期目标。</w:t>
      </w:r>
    </w:p>
    <w:p>
      <w:pPr>
        <w:spacing w:line="540" w:lineRule="exact"/>
        <w:ind w:firstLine="567" w:firstLineChars="181"/>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w:t>
      </w:r>
      <w:r>
        <w:rPr>
          <w:rStyle w:val="18"/>
          <w:rFonts w:hint="eastAsia" w:ascii="仿宋_GB2312" w:hAnsi="仿宋_GB2312" w:eastAsia="仿宋_GB2312" w:cs="仿宋_GB2312"/>
          <w:spacing w:val="-4"/>
          <w:sz w:val="32"/>
          <w:szCs w:val="32"/>
          <w:lang w:val="en-US" w:eastAsia="zh-CN"/>
        </w:rPr>
        <w:t>成本</w:t>
      </w:r>
      <w:r>
        <w:rPr>
          <w:rStyle w:val="18"/>
          <w:rFonts w:hint="eastAsia" w:ascii="仿宋_GB2312" w:hAnsi="仿宋_GB2312" w:eastAsia="仿宋_GB2312" w:cs="仿宋_GB2312"/>
          <w:spacing w:val="-4"/>
          <w:sz w:val="32"/>
          <w:szCs w:val="32"/>
        </w:rPr>
        <w:t>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1.社会效益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提升公共环境卫生服务水平，满分30分，得分30分，得分率100%。根据实际环卫工作开展情况以及工作总结等可知，城市环境卫生效果改善显著，预期达到效果显著，市区环境干净整洁，公厕管理落实到位，保障满足居民生活需求，实际完情况达到预期指标。</w:t>
      </w:r>
    </w:p>
    <w:p>
      <w:pPr>
        <w:spacing w:line="540" w:lineRule="exact"/>
        <w:rPr>
          <w:rStyle w:val="18"/>
          <w:rFonts w:hint="eastAsia" w:ascii="仿宋_GB2312" w:hAnsi="仿宋_GB2312" w:eastAsia="仿宋_GB2312" w:cs="仿宋_GB2312"/>
          <w:b w:val="0"/>
          <w:bCs w:val="0"/>
          <w:spacing w:val="-4"/>
          <w:sz w:val="32"/>
          <w:szCs w:val="32"/>
          <w:lang w:val="en-US" w:eastAsia="zh-CN"/>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项目效益情况</w:t>
      </w:r>
    </w:p>
    <w:p>
      <w:pPr>
        <w:spacing w:line="540" w:lineRule="exact"/>
        <w:rPr>
          <w:rStyle w:val="18"/>
          <w:rFonts w:hint="eastAsia" w:ascii="仿宋_GB2312" w:hAnsi="仿宋_GB2312" w:eastAsia="仿宋_GB2312" w:cs="仿宋_GB2312"/>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六</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8"/>
          <w:rFonts w:hint="eastAsia" w:ascii="仿宋_GB2312" w:hAnsi="仿宋_GB2312" w:eastAsia="仿宋_GB2312" w:cs="仿宋_GB2312"/>
          <w:spacing w:val="-4"/>
          <w:sz w:val="32"/>
          <w:szCs w:val="32"/>
        </w:rPr>
        <w:t>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市民群众满意度，满分8分，得分8分，得分率100%。根据满意度调查结果显示，预期达到效果显著，市民群众满意度达到100%。</w:t>
      </w:r>
    </w:p>
    <w:p>
      <w:pPr>
        <w:spacing w:line="540" w:lineRule="exact"/>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lang w:val="en-US" w:eastAsia="zh-CN"/>
        </w:rPr>
        <w:t>五</w:t>
      </w:r>
      <w:r>
        <w:rPr>
          <w:rStyle w:val="18"/>
          <w:rFonts w:hint="eastAsia" w:ascii="黑体" w:hAnsi="黑体" w:eastAsia="黑体" w:cs="黑体"/>
          <w:b w:val="0"/>
          <w:spacing w:val="-4"/>
          <w:sz w:val="32"/>
          <w:szCs w:val="32"/>
        </w:rPr>
        <w:t>、主要经验及做法、存在的问题及原因分析</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（一）主要经验及做法</w:t>
      </w:r>
    </w:p>
    <w:p>
      <w:pPr>
        <w:spacing w:line="540" w:lineRule="exact"/>
        <w:ind w:firstLine="624" w:firstLineChars="200"/>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改进管理措施，完善管理办法，调整和优化支出结构，合理配置资源，加强财务管理，规范部门预算收支核算，一是制定和完善基本支出，项目支出等各项支出标准，严格按项目和进度执行预算，增强预算的约束力和严肃性。二是落实预算执行分析，及时了解预算执行差异，合理调整、纠正预算</w:t>
      </w:r>
      <w:r>
        <w:rPr>
          <w:rStyle w:val="18"/>
          <w:rFonts w:hint="eastAsia" w:ascii="仿宋_GB2312" w:hAnsi="仿宋_GB2312" w:eastAsia="仿宋_GB2312" w:cs="仿宋_GB2312"/>
          <w:b w:val="0"/>
          <w:bCs w:val="0"/>
          <w:spacing w:val="-4"/>
          <w:sz w:val="32"/>
          <w:szCs w:val="32"/>
          <w:lang w:eastAsia="zh-CN"/>
        </w:rPr>
        <w:t>执</w:t>
      </w:r>
      <w:r>
        <w:rPr>
          <w:rStyle w:val="18"/>
          <w:rFonts w:hint="eastAsia" w:ascii="仿宋_GB2312" w:hAnsi="仿宋_GB2312" w:eastAsia="仿宋_GB2312" w:cs="仿宋_GB2312"/>
          <w:b w:val="0"/>
          <w:bCs w:val="0"/>
          <w:spacing w:val="-4"/>
          <w:sz w:val="32"/>
          <w:szCs w:val="32"/>
        </w:rPr>
        <w:t>行偏差，切实提高部门预算收支管理水平。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 经费不足：由于预算限制，导致某些方面的保障不够充分。原因是实际需求超出</w:t>
      </w:r>
      <w:bookmarkStart w:id="0" w:name="_GoBack"/>
      <w:bookmarkEnd w:id="0"/>
      <w:r>
        <w:rPr>
          <w:rStyle w:val="18"/>
          <w:rFonts w:hint="eastAsia" w:ascii="仿宋_GB2312" w:hAnsi="仿宋_GB2312" w:eastAsia="仿宋_GB2312" w:cs="仿宋_GB2312"/>
          <w:b w:val="0"/>
          <w:bCs w:val="0"/>
          <w:spacing w:val="-4"/>
          <w:sz w:val="32"/>
          <w:szCs w:val="32"/>
        </w:rPr>
        <w:t>预期。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 沟通不畅：在信息传递和协调方面存在一些问题，导致部分工作衔接不顺畅。</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 缺乏持续跟踪：对项目效果的跟踪和评估不够及时和深入，难以及时发现问题并进行调整。</w:t>
      </w:r>
    </w:p>
    <w:p>
      <w:pPr>
        <w:spacing w:line="540" w:lineRule="exact"/>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u w:val="dotted"/>
          <w:lang w:val="en-US" w:eastAsia="zh-CN"/>
        </w:rPr>
        <w:t>六</w:t>
      </w:r>
      <w:r>
        <w:rPr>
          <w:rStyle w:val="18"/>
          <w:rFonts w:hint="eastAsia" w:ascii="黑体" w:hAnsi="黑体" w:eastAsia="黑体" w:cs="黑体"/>
          <w:b w:val="0"/>
          <w:spacing w:val="-4"/>
          <w:sz w:val="32"/>
          <w:szCs w:val="32"/>
        </w:rPr>
        <w:t>、有关建议</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一、加强预算管理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 提高预算编制的准确性，充分考虑各项费用的实际需求。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 建立预算动态调整机制，根据实际情况及时调整预算。</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二、优化经费使用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 加强对经费使用的监督，确保专款专用。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 合理规划经费支出，提高经费使用效率。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三、提升服务质量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 加强对环卫职工和南疆务工人员的关怀，提高服务水平。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 定期收集反馈意见，及时改进服务质量。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四、加强沟通协调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 建立与相关部门的沟通协调机制，及时解决问题。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 加强内部各部门之间的协作，提高工作效率。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五、强化培训教育</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 对相关工作人员开展业务培训，提高工作能力。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 加强对职工的宣传教育，提高对项目的认识和重视程度。</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七</w:t>
      </w:r>
      <w:r>
        <w:rPr>
          <w:rStyle w:val="18"/>
          <w:rFonts w:hint="eastAsia" w:ascii="仿宋_GB2312" w:hAnsi="仿宋_GB2312" w:eastAsia="仿宋_GB2312" w:cs="仿宋_GB2312"/>
          <w:b w:val="0"/>
          <w:spacing w:val="-4"/>
          <w:sz w:val="32"/>
          <w:szCs w:val="32"/>
        </w:rPr>
        <w:t>、其他需要说明的问题</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无</w:t>
      </w: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3029612C"/>
    <w:rsid w:val="32A221C5"/>
    <w:rsid w:val="33E42C90"/>
    <w:rsid w:val="33F20F2A"/>
    <w:rsid w:val="34C44675"/>
    <w:rsid w:val="36B82B23"/>
    <w:rsid w:val="3B5B5607"/>
    <w:rsid w:val="3CE21B3C"/>
    <w:rsid w:val="3F1C76B7"/>
    <w:rsid w:val="4D2606A1"/>
    <w:rsid w:val="4F8A611E"/>
    <w:rsid w:val="51830480"/>
    <w:rsid w:val="51EB6428"/>
    <w:rsid w:val="52795C1D"/>
    <w:rsid w:val="53A616BE"/>
    <w:rsid w:val="54662BFB"/>
    <w:rsid w:val="62051CA5"/>
    <w:rsid w:val="6772621F"/>
    <w:rsid w:val="67D65A96"/>
    <w:rsid w:val="6C33576A"/>
    <w:rsid w:val="6C3A69EF"/>
    <w:rsid w:val="6E413C07"/>
    <w:rsid w:val="74824F0C"/>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7051</Words>
  <Characters>7521</Characters>
  <Lines>5</Lines>
  <Paragraphs>1</Paragraphs>
  <TotalTime>15</TotalTime>
  <ScaleCrop>false</ScaleCrop>
  <LinksUpToDate>false</LinksUpToDate>
  <CharactersWithSpaces>7554</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2025-11-06T14:41:34Z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