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B342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D3397EA">
      <w:pPr>
        <w:spacing w:line="540" w:lineRule="exact"/>
        <w:jc w:val="center"/>
        <w:rPr>
          <w:rFonts w:ascii="华文中宋" w:hAnsi="华文中宋" w:eastAsia="华文中宋" w:cs="宋体"/>
          <w:b/>
          <w:kern w:val="0"/>
          <w:sz w:val="52"/>
          <w:szCs w:val="52"/>
        </w:rPr>
      </w:pPr>
    </w:p>
    <w:p w14:paraId="0AE9848A">
      <w:pPr>
        <w:spacing w:line="540" w:lineRule="exact"/>
        <w:jc w:val="center"/>
        <w:rPr>
          <w:rFonts w:ascii="华文中宋" w:hAnsi="华文中宋" w:eastAsia="华文中宋" w:cs="宋体"/>
          <w:b/>
          <w:kern w:val="0"/>
          <w:sz w:val="52"/>
          <w:szCs w:val="52"/>
        </w:rPr>
      </w:pPr>
    </w:p>
    <w:p w14:paraId="6E5773F9">
      <w:pPr>
        <w:spacing w:line="540" w:lineRule="exact"/>
        <w:jc w:val="center"/>
        <w:rPr>
          <w:rFonts w:ascii="华文中宋" w:hAnsi="华文中宋" w:eastAsia="华文中宋" w:cs="宋体"/>
          <w:b/>
          <w:kern w:val="0"/>
          <w:sz w:val="52"/>
          <w:szCs w:val="52"/>
        </w:rPr>
      </w:pPr>
    </w:p>
    <w:p w14:paraId="77AF4289">
      <w:pPr>
        <w:spacing w:line="540" w:lineRule="exact"/>
        <w:jc w:val="center"/>
        <w:rPr>
          <w:rFonts w:hint="eastAsia" w:ascii="华文中宋" w:hAnsi="华文中宋" w:eastAsia="华文中宋" w:cs="宋体"/>
          <w:b/>
          <w:kern w:val="0"/>
          <w:sz w:val="52"/>
          <w:szCs w:val="52"/>
          <w:lang w:eastAsia="zh-CN"/>
        </w:rPr>
      </w:pPr>
    </w:p>
    <w:p w14:paraId="65714829">
      <w:pPr>
        <w:spacing w:line="540" w:lineRule="exact"/>
        <w:jc w:val="center"/>
        <w:rPr>
          <w:rFonts w:ascii="华文中宋" w:hAnsi="华文中宋" w:eastAsia="华文中宋" w:cs="宋体"/>
          <w:b/>
          <w:kern w:val="0"/>
          <w:sz w:val="52"/>
          <w:szCs w:val="52"/>
        </w:rPr>
      </w:pPr>
    </w:p>
    <w:p w14:paraId="77888C09">
      <w:pPr>
        <w:spacing w:line="540" w:lineRule="exact"/>
        <w:jc w:val="center"/>
        <w:rPr>
          <w:rFonts w:ascii="华文中宋" w:hAnsi="华文中宋" w:eastAsia="华文中宋" w:cs="宋体"/>
          <w:b/>
          <w:kern w:val="0"/>
          <w:sz w:val="52"/>
          <w:szCs w:val="52"/>
        </w:rPr>
      </w:pPr>
    </w:p>
    <w:p w14:paraId="115A710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EE6FC75">
      <w:pPr>
        <w:spacing w:line="540" w:lineRule="exact"/>
        <w:jc w:val="center"/>
        <w:rPr>
          <w:rFonts w:ascii="华文中宋" w:hAnsi="华文中宋" w:eastAsia="华文中宋" w:cs="宋体"/>
          <w:b/>
          <w:kern w:val="0"/>
          <w:sz w:val="52"/>
          <w:szCs w:val="52"/>
        </w:rPr>
      </w:pPr>
    </w:p>
    <w:p w14:paraId="0E13453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F3D8BFE">
      <w:pPr>
        <w:spacing w:line="540" w:lineRule="exact"/>
        <w:jc w:val="center"/>
        <w:rPr>
          <w:rFonts w:hAnsi="宋体" w:eastAsia="仿宋_GB2312" w:cs="宋体"/>
          <w:kern w:val="0"/>
          <w:sz w:val="30"/>
          <w:szCs w:val="30"/>
        </w:rPr>
      </w:pPr>
    </w:p>
    <w:p w14:paraId="4A7EDEA2">
      <w:pPr>
        <w:spacing w:line="540" w:lineRule="exact"/>
        <w:jc w:val="center"/>
        <w:rPr>
          <w:rFonts w:hAnsi="宋体" w:eastAsia="仿宋_GB2312" w:cs="宋体"/>
          <w:kern w:val="0"/>
          <w:sz w:val="30"/>
          <w:szCs w:val="30"/>
        </w:rPr>
      </w:pPr>
    </w:p>
    <w:p w14:paraId="2290BB85">
      <w:pPr>
        <w:spacing w:line="540" w:lineRule="exact"/>
        <w:jc w:val="center"/>
        <w:rPr>
          <w:rFonts w:hAnsi="宋体" w:eastAsia="仿宋_GB2312" w:cs="宋体"/>
          <w:kern w:val="0"/>
          <w:sz w:val="30"/>
          <w:szCs w:val="30"/>
        </w:rPr>
      </w:pPr>
    </w:p>
    <w:p w14:paraId="4A71959E">
      <w:pPr>
        <w:spacing w:line="540" w:lineRule="exact"/>
        <w:jc w:val="center"/>
        <w:rPr>
          <w:rFonts w:hAnsi="宋体" w:eastAsia="仿宋_GB2312" w:cs="宋体"/>
          <w:kern w:val="0"/>
          <w:sz w:val="30"/>
          <w:szCs w:val="30"/>
        </w:rPr>
      </w:pPr>
    </w:p>
    <w:p w14:paraId="62DCD873">
      <w:pPr>
        <w:spacing w:line="540" w:lineRule="exact"/>
        <w:jc w:val="center"/>
        <w:rPr>
          <w:rFonts w:hAnsi="宋体" w:eastAsia="仿宋_GB2312" w:cs="宋体"/>
          <w:kern w:val="0"/>
          <w:sz w:val="30"/>
          <w:szCs w:val="30"/>
        </w:rPr>
      </w:pPr>
    </w:p>
    <w:p w14:paraId="7EE44974">
      <w:pPr>
        <w:spacing w:line="540" w:lineRule="exact"/>
        <w:jc w:val="center"/>
        <w:rPr>
          <w:rFonts w:hAnsi="宋体" w:eastAsia="仿宋_GB2312" w:cs="宋体"/>
          <w:kern w:val="0"/>
          <w:sz w:val="30"/>
          <w:szCs w:val="30"/>
        </w:rPr>
      </w:pPr>
    </w:p>
    <w:p w14:paraId="7D588596">
      <w:pPr>
        <w:spacing w:line="540" w:lineRule="exact"/>
        <w:rPr>
          <w:rFonts w:hAnsi="宋体" w:eastAsia="仿宋_GB2312" w:cs="宋体"/>
          <w:kern w:val="0"/>
          <w:sz w:val="30"/>
          <w:szCs w:val="30"/>
        </w:rPr>
      </w:pPr>
    </w:p>
    <w:p w14:paraId="0AC4B36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B8CD13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村级支出-本级</w:t>
      </w:r>
    </w:p>
    <w:p w14:paraId="0BA79F2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哈密市伊州区沁城乡人民政府</w:t>
      </w:r>
    </w:p>
    <w:p w14:paraId="67EAE51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哈密市伊州区沁城乡人民政府</w:t>
      </w:r>
    </w:p>
    <w:p w14:paraId="146BCD1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宋科平</w:t>
      </w:r>
    </w:p>
    <w:p w14:paraId="0CCDC1A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14:paraId="38CDCFC7">
      <w:pPr>
        <w:spacing w:line="700" w:lineRule="exact"/>
        <w:ind w:firstLine="708" w:firstLineChars="236"/>
        <w:jc w:val="left"/>
        <w:rPr>
          <w:rFonts w:hAnsi="宋体" w:eastAsia="仿宋_GB2312" w:cs="宋体"/>
          <w:kern w:val="0"/>
          <w:sz w:val="30"/>
          <w:szCs w:val="30"/>
        </w:rPr>
      </w:pPr>
    </w:p>
    <w:p w14:paraId="4E589F2A">
      <w:pPr>
        <w:spacing w:line="540" w:lineRule="exact"/>
        <w:rPr>
          <w:rStyle w:val="18"/>
          <w:rFonts w:ascii="黑体" w:hAnsi="黑体" w:eastAsia="黑体"/>
          <w:b w:val="0"/>
          <w:spacing w:val="-4"/>
          <w:sz w:val="32"/>
          <w:szCs w:val="32"/>
        </w:rPr>
      </w:pPr>
    </w:p>
    <w:p w14:paraId="62467192">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2282C52">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7ADA5526">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根据文件要求，为了提高村级办公水平和质量，达到促进沁城乡高质量发展的效果，我单位申报实施了村级支出-本级项目。同时，为了确保该项目的顺利实施，我单位制定印发了相关的财务管理制度。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本项目主要内容为村级支出-本级。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本项目于2024年1月开始实施，截止2024年12月已全部完成，通过本项目的实施，有效提升了村级办公水平和质量。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村级支出-本级计划拨付140万元，项目于2024年2月22日批复预算资金140万元，截至2024年12月31日，项目用于提高村级办公水平和质量，项目资金支付140万元，资金到位率100%，预算执行率为100%。</w:t>
      </w:r>
    </w:p>
    <w:p w14:paraId="18129EC0">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C5E976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本项目总体目标为：通过对村委会日常</w:t>
      </w:r>
      <w:r>
        <w:rPr>
          <w:rStyle w:val="18"/>
          <w:rFonts w:hint="eastAsia" w:ascii="楷体" w:hAnsi="楷体" w:eastAsia="楷体"/>
          <w:b w:val="0"/>
          <w:bCs w:val="0"/>
          <w:spacing w:val="-4"/>
          <w:sz w:val="32"/>
          <w:szCs w:val="32"/>
          <w:lang w:eastAsia="zh-CN"/>
        </w:rPr>
        <w:t>办</w:t>
      </w:r>
      <w:r>
        <w:rPr>
          <w:rStyle w:val="18"/>
          <w:rFonts w:hint="eastAsia" w:ascii="楷体" w:hAnsi="楷体" w:eastAsia="楷体"/>
          <w:b w:val="0"/>
          <w:bCs w:val="0"/>
          <w:spacing w:val="-4"/>
          <w:sz w:val="32"/>
          <w:szCs w:val="32"/>
        </w:rPr>
        <w:t>公经费140万元的支出，有效保障村级各类支出经费正常运转，大大提高村级各项工作质量，保障村委会服务群众工作圆满完成。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数量指标：办公经费覆盖村数不低于7个；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质量指标：基层组织工作正常运转率达到100%；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时效指标：保障工作运转及时率达到100%。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经济成本指标：村级办公经费不高于140万元。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经济效益指标：提高工作人员的工作积极性；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社会效益指标：有效保障机构正常高效运转。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满意度指标：村民满意度不低于96%。</w:t>
      </w:r>
    </w:p>
    <w:p w14:paraId="4A5419B8">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5ADD57B">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3F4DE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我单位根据《自治区财政支出绩效评价管理暂行办法》（新财预〔2018〕189号）文件精神，对村级支出-本级项目绩效目标实现情况进行自评。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630BF220">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DD64D42">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项目立项：立项依据充分性，权重2分；立项程序规范性，权重2分。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绩效目标：绩效目标明确性，权重4分；绩效目标合理性，权重4分。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预算编制：测算标准合理性，权重3分；测算过程细化度，权重2分。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资金管理：资金到位率，权重6分；预算执行率，权重6分。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组织实施：资金使用合规性，权重4分，管理制度健全性，权重4分，制度执行有效性，权重3分。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数量指标：办公经费覆盖村数量，权重6分；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质量指标：基层组织工作正常运转率，权重5分；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时效指标：保障工作运转及时率，权重5分。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成本指标：村级办公经费，权重6分。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社会效益指标：提高工作人员的工作积极性，权重15分；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社会效益指标：有效保障机构正常高效运转，权重15分。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服务对象满意度指标：村民满意度，权重8分。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村级支出-本级项目绩效评价主要通过项目单位自评、主管部门监督、财政部门参评的方式开展绩效评价工作。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绩效评价标准通常包括计划标准、行业标准、历史标准等，用于对绩效指标完成情况进行比较。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单位自评采用定量与定性评价相结合的比较法，总分由各项指标得分汇总形成。</w:t>
      </w:r>
    </w:p>
    <w:p w14:paraId="010575B0">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4BE623B1">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（2）采取“年初绩效目标预定与实施效果比较法”进行评价，评价指标体系以绩效目标申报指标为依据。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发放调查问卷开展村级支出-本级满意度调查工作。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414615D5">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99F64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本次项目自评满分100分，自评得分100分，自评结果为“优/良/中/差”，其中项目决策得分17分，项目过程得分23分，项目产出得分22分，项目效益得分30分，项目满意度得分8分。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综合评价结论：项目决策方面，立项依据充分，绩效目标明确合理，预算编制过程标准细化；项目过程方面，资金管理到位率、执行率准确；组织实施管理制度健全有效；项目产出方面，数量指标、质量指标、时效指标、经济成本指标均合理合规；项目效益方面，提高工作人员的工作积极性，有效保障机构正常高效运转；项目满意度方面，村民满意度96%。</w:t>
      </w:r>
    </w:p>
    <w:p w14:paraId="4F582D29">
      <w:pPr>
        <w:spacing w:line="540" w:lineRule="exact"/>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BB295BB">
      <w:pPr>
        <w:spacing w:line="540" w:lineRule="exact"/>
        <w:rPr>
          <w:rStyle w:val="18"/>
          <w:rFonts w:hint="eastAsia" w:ascii="楷体" w:hAnsi="楷体" w:eastAsia="楷体"/>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054A763">
      <w:pPr>
        <w:spacing w:line="540" w:lineRule="exact"/>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（1）立项依据充分性，满分2分，得分2分，得分率100%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项目立项符合法律法规、相关政策、发展规划以及部门职责。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（1）绩效目标明确性，满分4分，得分4分，得分率100%。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依据绩效目标设定的绩效指标清晰、细化、可衡量。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（2）绩效目标合理性，满分4分，得分4分，得分率100%。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项目所设定的绩效目标依据充分，符合客观实际。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（1）测算标准合理性，满分3分，得分3分，得分率100%。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项目预算测算项目支出标准符合相关政策制度或行业、领域规定。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（2）测算过程细化度，满分2分，得分2分，得分率100%。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测算过程细化清晰。</w:t>
      </w:r>
      <w:r>
        <w:rPr>
          <w:rStyle w:val="18"/>
          <w:rFonts w:hint="eastAsia" w:ascii="楷体" w:hAnsi="楷体" w:eastAsia="楷体"/>
          <w:b w:val="0"/>
          <w:bCs w:val="0"/>
          <w:spacing w:val="-4"/>
          <w:sz w:val="32"/>
          <w:szCs w:val="32"/>
          <w:lang w:eastAsia="zh-CN"/>
        </w:rPr>
        <w:tab/>
      </w:r>
    </w:p>
    <w:p w14:paraId="1BFB10C8">
      <w:pPr>
        <w:spacing w:line="540" w:lineRule="exact"/>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016F4B56">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（1）资金到位率，满分6分，得分6分，得分率100%。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（2）预算执行率，满分6分，得分6分，得分率100%。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8"/>
          <w:rFonts w:hint="eastAsia" w:ascii="楷体" w:hAnsi="楷体" w:eastAsia="楷体"/>
          <w:b w:val="0"/>
          <w:bCs w:val="0"/>
          <w:spacing w:val="-4"/>
          <w:sz w:val="32"/>
          <w:szCs w:val="32"/>
          <w:lang w:eastAsia="zh-CN"/>
        </w:rPr>
        <w:t>经</w:t>
      </w:r>
      <w:r>
        <w:rPr>
          <w:rStyle w:val="18"/>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（2）管理制度健全性，满分4分，得分4分，得分率100%。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财务制度方面，我局为保障项目资金合理支出，制定《预算管理内部控制制度》，规定项目支出的合理流程，制度制定合法、合规。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（3）制度执行有效性，满分3分，得分3分，得分率100%。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项目支出遵守财务法律法规和自治区项目管理要求的各项规定，支出凭证、收据等相关资料齐全，项目实施所需的人员齐备，符合制度工作要求。</w:t>
      </w:r>
    </w:p>
    <w:p w14:paraId="0F22CEC9">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65439843">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办公经费覆盖村数，满分6分，得分6分，得分率100%。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根据项目工作计划要求，预计对7个村拨款，根据项目验收报告显示，实际办公经费覆盖村数为7个，符合计划要求。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基层组织工作正常运转率，满分5分，得分5分，得分率100%。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项目按照工作计划，要求基层组织工作正常运转率为100%，通过报告显示，工作正常运转率为100%，符合计划要求。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保障工作运转及时率，满分5分，得分5分，得分率100%。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保障工作运转及时率100%。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村级办公经费，满分6分，得分6分，得分率100%。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根据项目支出凭证及相关收据，项目实际支付140万元，符合成本控制要求。村级办公经费完成目标率为100%。</w:t>
      </w:r>
    </w:p>
    <w:p w14:paraId="6A728455">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14:paraId="6F679470">
      <w:pPr>
        <w:spacing w:line="540" w:lineRule="exact"/>
        <w:rPr>
          <w:rStyle w:val="18"/>
          <w:rFonts w:hint="default"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1.社会效益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提高工作人员的工作积极性，满分15分，得分15分，得分率100%。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有效提高工作人员的工作便利程度及完成效率,大大促进工作人员工作成效 , 有效提高工作人员的工作积极性100%。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有效保障机构正常高效运转，满分15分，得分15分，得分率100%。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办公所需资料等方面及时合理使用与安排,使各村村委会在日常办公中正常且高速运转,有效保障机构正常高速运转达到100%;</w:t>
      </w:r>
    </w:p>
    <w:p w14:paraId="367E24DB">
      <w:pPr>
        <w:spacing w:line="540" w:lineRule="exact"/>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14:paraId="42D21F0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村民满意度，满分8分，得分8分，得分率100%。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本项目向改造小区居民随机发放满意度问卷30份，实际回收满意度问卷30份，满意度情况大部分为满意，整体居民满意度为100%。</w:t>
      </w:r>
    </w:p>
    <w:p w14:paraId="315ACF3A">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14:paraId="14CF9A1E">
      <w:pPr>
        <w:spacing w:line="540" w:lineRule="exact"/>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1加强管理，确保推动项目落地落实。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制定绩效计划，有效推进项目工作开展，提高财政资金使用效益，项目领导小组进一步强化项目意识，对照项目计划全面梳理重点任务，明确责任和时间节点，一项一项抓好具体落实，确保了项目按时保质完成，保障了项目效益有效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2加强监管，确保提高资金使用效益。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加强监控力度，提高资金使用效益。坚持以问题为导向，以财政部门的绩效监控为契机，加强资金执行进度及绩效目标审核力度，对绩效监控中发现的问题及时整改，强化资金使用过程管理，降低资金偏离政策目标的风险，提高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3.加强约束，确保精准对项目跟踪问效。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1.绩效预算认识不够充分，专业水平有待进一步强化。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楷体" w:hAnsi="楷体" w:eastAsia="楷体"/>
          <w:b w:val="0"/>
          <w:bCs w:val="0"/>
          <w:spacing w:val="-4"/>
          <w:sz w:val="32"/>
          <w:szCs w:val="32"/>
          <w:lang w:eastAsia="zh-CN"/>
        </w:rPr>
        <w:t>健</w:t>
      </w:r>
      <w:r>
        <w:rPr>
          <w:rStyle w:val="18"/>
          <w:rFonts w:hint="eastAsia" w:ascii="楷体" w:hAnsi="楷体" w:eastAsia="楷体"/>
          <w:b w:val="0"/>
          <w:bCs w:val="0"/>
          <w:spacing w:val="-4"/>
          <w:sz w:val="32"/>
          <w:szCs w:val="32"/>
        </w:rPr>
        <w:t>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2.项目支出绩效评价存在</w:t>
      </w:r>
      <w:r>
        <w:rPr>
          <w:rStyle w:val="18"/>
          <w:rFonts w:hint="eastAsia" w:ascii="楷体" w:hAnsi="楷体" w:eastAsia="楷体"/>
          <w:b w:val="0"/>
          <w:bCs w:val="0"/>
          <w:spacing w:val="-4"/>
          <w:sz w:val="32"/>
          <w:szCs w:val="32"/>
          <w:lang w:eastAsia="zh-CN"/>
        </w:rPr>
        <w:t>局限</w:t>
      </w:r>
      <w:r>
        <w:rPr>
          <w:rStyle w:val="18"/>
          <w:rFonts w:hint="eastAsia" w:ascii="楷体" w:hAnsi="楷体" w:eastAsia="楷体"/>
          <w:b w:val="0"/>
          <w:bCs w:val="0"/>
          <w:spacing w:val="-4"/>
          <w:sz w:val="32"/>
          <w:szCs w:val="32"/>
          <w:lang w:val="en-US" w:eastAsia="zh-CN"/>
        </w:rPr>
        <w:t>性</w:t>
      </w:r>
      <w:bookmarkStart w:id="0" w:name="_GoBack"/>
      <w:bookmarkEnd w:id="0"/>
      <w:r>
        <w:rPr>
          <w:rStyle w:val="18"/>
          <w:rFonts w:hint="eastAsia" w:ascii="楷体" w:hAnsi="楷体" w:eastAsia="楷体"/>
          <w:b w:val="0"/>
          <w:bCs w:val="0"/>
          <w:spacing w:val="-4"/>
          <w:sz w:val="32"/>
          <w:szCs w:val="32"/>
        </w:rPr>
        <w:t>，客观性有待加强。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项目支出绩效评价工作还存在自我审定的</w:t>
      </w:r>
      <w:r>
        <w:rPr>
          <w:rStyle w:val="18"/>
          <w:rFonts w:hint="eastAsia" w:ascii="楷体" w:hAnsi="楷体" w:eastAsia="楷体"/>
          <w:b w:val="0"/>
          <w:bCs w:val="0"/>
          <w:spacing w:val="-4"/>
          <w:sz w:val="32"/>
          <w:szCs w:val="32"/>
          <w:lang w:eastAsia="zh-CN"/>
        </w:rPr>
        <w:t>局</w:t>
      </w:r>
      <w:r>
        <w:rPr>
          <w:rStyle w:val="18"/>
          <w:rFonts w:hint="eastAsia" w:ascii="楷体" w:hAnsi="楷体" w:eastAsia="楷体"/>
          <w:b w:val="0"/>
          <w:bCs w:val="0"/>
          <w:spacing w:val="-4"/>
          <w:sz w:val="32"/>
          <w:szCs w:val="32"/>
        </w:rPr>
        <w:t>限性，项目支出绩效工作有较大弹性，评价报告多单位</w:t>
      </w:r>
      <w:r>
        <w:rPr>
          <w:rStyle w:val="18"/>
          <w:rFonts w:hint="eastAsia" w:ascii="楷体" w:hAnsi="楷体" w:eastAsia="楷体"/>
          <w:b w:val="0"/>
          <w:bCs w:val="0"/>
          <w:spacing w:val="-4"/>
          <w:sz w:val="32"/>
          <w:szCs w:val="32"/>
          <w:lang w:eastAsia="zh-CN"/>
        </w:rPr>
        <w:t>局</w:t>
      </w:r>
      <w:r>
        <w:rPr>
          <w:rStyle w:val="18"/>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3.绩效管理及档案归档工作有待提高。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对绩效管理工作重视程度不高，意识淡薄。单位人员对绩效管理工作重视程度不够，缺乏对绩效管理工作的准确认识，对绩效计划不够重视；二是单位人员对档案管理工作缺少针对性和目的性，对绩效档案工作重要性的认识不足，缺乏熟练的业务知识，使绩效档案管理与实际业务存在一定偏差，未发挥其综合价值。</w:t>
      </w:r>
    </w:p>
    <w:p w14:paraId="0B6FE50F">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14:paraId="5460C58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1.加强培训，提高水平。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加强工作人员队伍建设。加强对单位财务人员、业务科室人员进行集中培训，提高工作人员专业能力及综合素质，提高实际操作能力及业务技能，保证财务水平不断提高，确保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2.加强领导，落实责任。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高度重视，加强领导，精心组织。成立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3.加强管理，提升管理。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进一步完善《财务管理制度》，健全相关绩效管理制度，着力抓好绩效目标管理工作。加强财务管理，强化绩效管理意识，确保资金合理科学地使用资金，提高使用效率。二是严格落实哈密地区关于绩效管理工作档案资料归档的相关要求，完善项目评价资料。项目启动时同步做好档案的归纳与整理，及时整理、收集、汇总，健全档案资料，强化收集力度，确保归档资料的完整齐全。</w:t>
      </w:r>
    </w:p>
    <w:p w14:paraId="7EA41F09">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2EF297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1911A5CF">
      <w:pPr>
        <w:spacing w:line="540" w:lineRule="exact"/>
        <w:ind w:firstLine="567"/>
        <w:rPr>
          <w:rStyle w:val="18"/>
          <w:rFonts w:ascii="仿宋" w:hAnsi="仿宋" w:eastAsia="仿宋"/>
          <w:b w:val="0"/>
          <w:spacing w:val="-4"/>
          <w:sz w:val="32"/>
          <w:szCs w:val="32"/>
        </w:rPr>
      </w:pPr>
    </w:p>
    <w:p w14:paraId="10F19DED">
      <w:pPr>
        <w:spacing w:line="540" w:lineRule="exact"/>
        <w:ind w:firstLine="567"/>
        <w:rPr>
          <w:rStyle w:val="18"/>
          <w:rFonts w:ascii="仿宋" w:hAnsi="仿宋" w:eastAsia="仿宋"/>
          <w:b w:val="0"/>
          <w:spacing w:val="-4"/>
          <w:sz w:val="32"/>
          <w:szCs w:val="32"/>
        </w:rPr>
      </w:pPr>
    </w:p>
    <w:p w14:paraId="4D8DFA82">
      <w:pPr>
        <w:spacing w:line="540" w:lineRule="exact"/>
        <w:ind w:firstLine="567"/>
        <w:rPr>
          <w:rStyle w:val="18"/>
          <w:rFonts w:ascii="仿宋" w:hAnsi="仿宋" w:eastAsia="仿宋"/>
          <w:b w:val="0"/>
          <w:spacing w:val="-4"/>
          <w:sz w:val="32"/>
          <w:szCs w:val="32"/>
        </w:rPr>
      </w:pPr>
    </w:p>
    <w:p w14:paraId="7407E862">
      <w:pPr>
        <w:spacing w:line="540" w:lineRule="exact"/>
        <w:ind w:firstLine="567"/>
        <w:rPr>
          <w:rStyle w:val="18"/>
          <w:rFonts w:ascii="仿宋" w:hAnsi="仿宋" w:eastAsia="仿宋"/>
          <w:b w:val="0"/>
          <w:spacing w:val="-4"/>
          <w:sz w:val="32"/>
          <w:szCs w:val="32"/>
        </w:rPr>
      </w:pPr>
    </w:p>
    <w:p w14:paraId="634A6109">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A1F9B53">
        <w:pPr>
          <w:pStyle w:val="12"/>
          <w:jc w:val="center"/>
        </w:pPr>
        <w:r>
          <w:fldChar w:fldCharType="begin"/>
        </w:r>
        <w:r>
          <w:instrText xml:space="preserve">PAGE   \* MERGEFORMAT</w:instrText>
        </w:r>
        <w:r>
          <w:fldChar w:fldCharType="separate"/>
        </w:r>
        <w:r>
          <w:rPr>
            <w:lang w:val="zh-CN"/>
          </w:rPr>
          <w:t>1</w:t>
        </w:r>
        <w:r>
          <w:fldChar w:fldCharType="end"/>
        </w:r>
      </w:p>
    </w:sdtContent>
  </w:sdt>
  <w:p w14:paraId="29EE14D4">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8EE5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120614"/>
    <w:rsid w:val="0856517C"/>
    <w:rsid w:val="0BFB189F"/>
    <w:rsid w:val="11BD75F7"/>
    <w:rsid w:val="13BE561A"/>
    <w:rsid w:val="15392994"/>
    <w:rsid w:val="15520B1A"/>
    <w:rsid w:val="18FE139B"/>
    <w:rsid w:val="1C1470A3"/>
    <w:rsid w:val="3029612C"/>
    <w:rsid w:val="3126529D"/>
    <w:rsid w:val="32A221C5"/>
    <w:rsid w:val="33F20F2A"/>
    <w:rsid w:val="34C44675"/>
    <w:rsid w:val="36B82B23"/>
    <w:rsid w:val="3B5B5607"/>
    <w:rsid w:val="3CE21B3C"/>
    <w:rsid w:val="4C2E0505"/>
    <w:rsid w:val="4D2606A1"/>
    <w:rsid w:val="4F8A611E"/>
    <w:rsid w:val="51830480"/>
    <w:rsid w:val="51EB6428"/>
    <w:rsid w:val="53A616BE"/>
    <w:rsid w:val="54662BFB"/>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5318</Words>
  <Characters>5512</Characters>
  <Lines>5</Lines>
  <Paragraphs>1</Paragraphs>
  <TotalTime>5</TotalTime>
  <ScaleCrop>false</ScaleCrop>
  <LinksUpToDate>false</LinksUpToDate>
  <CharactersWithSpaces>5529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2025-11-08T05:41:39Z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