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用于残疾人事业的彩票公益金支出</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哈密市伊州区残疾人联合会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哈密市伊州区残疾人联合会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米娜娃·瓦衣提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2025年05月19日</w:t>
      </w: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一、基本情况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（一）项目概况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残疾人事业是中国特色社会主义事业的重要组成部分,扶残助残是社会文明进步的重要标志。为贯彻落实国务院《国务院关于建立残疾儿童康复救助制度的意见》(国发(2018)20号)、《“十四五”残疾人保障和发展规划》等文件精神，党和政府高度重视残疾儿童康复工作，制定了一系列法规政策措施。根据自治区财政厅《关于提前下达2024年中央财政残疾人事业发展补助资金预算的通知》（新财社〔2023〕196号）文件要求，发放补助资金，用于发展残疾人事业，提高残疾人康复服务水平，提高残疾人享有的公共文化服务水平，改善残疾人居家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为了</w:t>
      </w:r>
      <w:r>
        <w:rPr>
          <w:rStyle w:val="18"/>
          <w:rFonts w:hint="eastAsia" w:ascii="仿宋" w:hAnsi="仿宋" w:eastAsia="仿宋" w:cs="仿宋"/>
          <w:b w:val="0"/>
          <w:bCs w:val="0"/>
          <w:spacing w:val="-4"/>
          <w:sz w:val="32"/>
          <w:szCs w:val="32"/>
          <w:lang w:eastAsia="zh-CN"/>
        </w:rPr>
        <w:t>解</w:t>
      </w:r>
      <w:r>
        <w:rPr>
          <w:rStyle w:val="18"/>
          <w:rFonts w:hint="eastAsia" w:ascii="仿宋" w:hAnsi="仿宋" w:eastAsia="仿宋" w:cs="仿宋"/>
          <w:b w:val="0"/>
          <w:bCs w:val="0"/>
          <w:spacing w:val="-4"/>
          <w:sz w:val="32"/>
          <w:szCs w:val="32"/>
        </w:rPr>
        <w:t>0-6岁家庭困难，视力、听力、语言、肢体、智力等残疾儿童和孤独症儿童提供人工耳蜗及助听器验配、肢体矫治手术、功能训练等服务，显著改善残疾儿童功能状况，增强自理及社会参与能力，基本实现残疾儿童应救尽救；支持困难重度残疾人实施家庭无障碍改造，改善残疾人居家环境；通过实施残疾人文化进家庭“五个一”及文化进社区项目，使残疾人参与文化活动的需求得到满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用于残疾人事业的彩票公益金支出计划拨付53万元，项目于2024年1月28日批复预算资金</w:t>
      </w:r>
      <w:r>
        <w:rPr>
          <w:rStyle w:val="18"/>
          <w:rFonts w:hint="eastAsia" w:ascii="仿宋" w:hAnsi="仿宋" w:eastAsia="仿宋" w:cs="仿宋"/>
          <w:b w:val="0"/>
          <w:bCs w:val="0"/>
          <w:spacing w:val="-4"/>
          <w:sz w:val="32"/>
          <w:szCs w:val="32"/>
          <w:lang w:val="en-US" w:eastAsia="zh-CN"/>
        </w:rPr>
        <w:t>53</w:t>
      </w:r>
      <w:r>
        <w:rPr>
          <w:rStyle w:val="18"/>
          <w:rFonts w:hint="eastAsia" w:ascii="仿宋" w:hAnsi="仿宋" w:eastAsia="仿宋" w:cs="仿宋"/>
          <w:b w:val="0"/>
          <w:bCs w:val="0"/>
          <w:spacing w:val="-4"/>
          <w:sz w:val="32"/>
          <w:szCs w:val="32"/>
        </w:rPr>
        <w:t>万元，截至2024年12月31日，项目用于残疾儿童康复，文化进残疾人家庭，残疾人文化进社区，无障碍改造项目支出，项目资金支付49万元，资金到位率100%，预算执行率为</w:t>
      </w:r>
      <w:r>
        <w:rPr>
          <w:rStyle w:val="18"/>
          <w:rFonts w:hint="eastAsia" w:ascii="仿宋" w:hAnsi="仿宋" w:eastAsia="仿宋" w:cs="仿宋"/>
          <w:b w:val="0"/>
          <w:bCs w:val="0"/>
          <w:spacing w:val="-4"/>
          <w:sz w:val="32"/>
          <w:szCs w:val="32"/>
          <w:lang w:val="en-US" w:eastAsia="zh-CN"/>
        </w:rPr>
        <w:t>92.5</w:t>
      </w:r>
      <w:r>
        <w:rPr>
          <w:rStyle w:val="18"/>
          <w:rFonts w:hint="eastAsia" w:ascii="仿宋" w:hAnsi="仿宋" w:eastAsia="仿宋" w:cs="仿宋"/>
          <w:b w:val="0"/>
          <w:bCs w:val="0"/>
          <w:spacing w:val="-4"/>
          <w:sz w:val="32"/>
          <w:szCs w:val="32"/>
        </w:rPr>
        <w:t>%。</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（二）项目绩效目标</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本项目总体目标为：为</w:t>
      </w:r>
      <w:r>
        <w:rPr>
          <w:rStyle w:val="18"/>
          <w:rFonts w:hint="eastAsia" w:ascii="仿宋" w:hAnsi="仿宋" w:eastAsia="仿宋" w:cs="仿宋"/>
          <w:b w:val="0"/>
          <w:bCs w:val="0"/>
          <w:spacing w:val="-4"/>
          <w:sz w:val="32"/>
          <w:szCs w:val="32"/>
          <w:lang w:eastAsia="zh-CN"/>
        </w:rPr>
        <w:t>了解</w:t>
      </w:r>
      <w:r>
        <w:rPr>
          <w:rStyle w:val="18"/>
          <w:rFonts w:hint="eastAsia" w:ascii="仿宋" w:hAnsi="仿宋" w:eastAsia="仿宋" w:cs="仿宋"/>
          <w:b w:val="0"/>
          <w:bCs w:val="0"/>
          <w:spacing w:val="-4"/>
          <w:sz w:val="32"/>
          <w:szCs w:val="32"/>
        </w:rPr>
        <w:t>0-6岁家庭困难，视力、听力、语言、肢体、智力等残疾儿童和孤独症儿童提供人工耳蜗及助听器验配、肢体矫治手术、功能训练等服务，显著改善残疾儿童功能状况，增强自理及社会参与能力，基本实现残疾儿童应救尽救；支持困难重度残疾人实施家庭无障碍改造，改善残疾人居家环境；通过实施残疾人文化进家庭“五个一”及文化进社区项目，使残疾人参与文化活动的需求得到满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1.产出指标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数量指标：残疾儿童康复人数不低于15人；文化进残疾人家庭户数不低于25户；开展残疾人文化进社区活动次数不低于1次；无障碍改造惠及人数不低于80人；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质量指标：有需求儿童得到基本康复服务覆盖率达到90%；文化活动质量达标率达到95%；无障碍改造验收达标率达到95%；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时效指标：提供康复服务及时率达到95%；文化活动开展及时率达到95%；无障碍改造验收及时率达到95%。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经济成本指标：残疾儿童康复补助标准不高于12000元/人；文化进残疾人家庭补助标准不高于600元/户；残疾人文化进社区补助标准不高于10000元/次；无障碍改造补助标准不高于3500元/户。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经济效益指标：本项目无该项指标；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社会效益指标：提高残疾人享有的公共文化服务水平；改善残疾儿童功能状况；改善残疾人居家环境。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满意度指标：接受无障碍改造残疾人家庭满意度不低于90%；参加文化活动残疾人满意度不低于90%；服务儿童及监护人满意度不低于90%。</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二、绩效评价工作开展情况</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（一）绩效评价目的、对象和范围</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我单位根据《自治区财政支出绩效评价管理暂行办法》（新财预〔2018〕189号）文件精神，对用于残疾人事业的彩票公益金支出项目绩效目标实现情况进行自评。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（二）绩效评价原则、评价指标体系、评价方法、评价标准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项目立项：立项依据充分性，权重2分；立项程序规范性，权重2分。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绩效目标：绩效目标明确性，权重4分；绩效目标合理性，权重4分。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预算编制：测算标准合理性，权重3分；测算过程细化度，权重2分。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资金管理：资金到位率，权重6分；预算执行率，权重6分。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组织实施：资金使用合规性，权重4分；管理制度健全性，权重4分，制度执行有效性，权重3分。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（3）项目产出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数量指标：残疾儿童康复人数，权重2分；文化进残疾人家庭户数，权重1分；开展残疾人文化进社区活动次数，权重1分；无障碍改造惠及人数，权重2分；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质量指标：有需求儿童得到基本康复服务覆盖率，权重2分；文化活动质量达标率，权重1分；无障碍改造验收达标率，权重2分；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时效指标：提供康复服务及时率，权重2分；文化活动开展及时率，权重1分；无障碍改造验收及时率，权重2分。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成本指标：残疾儿童康复补助标准，权重2分；文化进残疾人家庭补助标准，权重1分；残疾人文化进社区补助标准，权重1分；无障碍改造补助标准，权重2分。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社会效益指标：残疾人享有公共文化服务水平，权重10分；改善残疾儿童功能状况，权重10分；改善残疾人居家环境，权重10分。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服务对象满意度指标：接受无障碍改造残疾人家庭满意度，权重3分；参加文化活动残疾人满意度，权重2分；服务儿童及监护人满意度，权重3分。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用于残疾人事业的彩票公益金支出项目绩效评价主要通过项目单位自评、主管部门监督、财政部门参评的方式开展绩效评价工作。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（1）成本效益分析法。是指将投入与产出、效益进行关联性分析的方法。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（3）因素分析法。是指综合分析影响绩效目标实现、实施效果的内外部因素的方法。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（4）最低成本法。是指在绩效目标确定的前提下，成本最小者为优的方法。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（5）公众评判法。是指通过专家评估、公众问卷及抽样调查等方式进行评判的方法。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（6）核实法。是收集包括书面资料及以外的信息以证实书面资料及其所反映经济活动的真实，合法，合理，有效和正确的方法。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（三）绩效评价工作过程</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（2）采取“年初绩效目标预定与实施效果比较法”进行评价，评价指标体系以绩效目标申报指标为依据。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（1）项目全过程资料档案复核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（2）检查内容和过程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发放调查问卷开展服务对象满意度调查工作。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（3）撰写报告情况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三、综合评价情况及评价结论</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本次项目自评满分100分，自评得分</w:t>
      </w:r>
      <w:r>
        <w:rPr>
          <w:rStyle w:val="18"/>
          <w:rFonts w:hint="eastAsia" w:ascii="仿宋" w:hAnsi="仿宋" w:eastAsia="仿宋" w:cs="仿宋"/>
          <w:b w:val="0"/>
          <w:bCs w:val="0"/>
          <w:spacing w:val="-4"/>
          <w:sz w:val="32"/>
          <w:szCs w:val="32"/>
          <w:lang w:val="en-US" w:eastAsia="zh-CN"/>
        </w:rPr>
        <w:t>99.24</w:t>
      </w:r>
      <w:r>
        <w:rPr>
          <w:rStyle w:val="18"/>
          <w:rFonts w:hint="eastAsia" w:ascii="仿宋" w:hAnsi="仿宋" w:eastAsia="仿宋" w:cs="仿宋"/>
          <w:b w:val="0"/>
          <w:bCs w:val="0"/>
          <w:spacing w:val="-4"/>
          <w:sz w:val="32"/>
          <w:szCs w:val="32"/>
        </w:rPr>
        <w:t>分，自评结果为“优”，其中项目决策得分17分，项目过程得分23分，项目产出得分22分，项目效益得分30分，项目满意度得分8分。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综合评价结论：项目决策方面，此项目立项依据充分，绩效目标明确，测算标准合理，测算过程细化清晰。项目过程方面，资金到位足额及时，资金执行率100%，管理制度健全，制度执行有效。项目产出方面，残疾儿童康复人数35人，有需求儿童得到基本康复服务覆盖率达到100%，提供康复服务及时率达到100%；文化进残疾人家庭户数25户，开展残疾人文化进社区活动次数2次，文化活动质量达标率达到100%，文化活动开展及时率达到100%；无障碍改造惠及人数80人，无障碍改造验收达标率达到100%，无障碍改造验收及时率达到100%，补助经费标准符合要求。项目效益方面，提高了残疾人享有公共文化服务水平，改善了残疾儿童功能状况，改善了残疾人居家环境；项目满意度方面，接受无障碍改造残疾人家庭满意度100%；参加文化活动残疾人满意度100%；服务儿童及监护人满意度100%。</w:t>
      </w:r>
    </w:p>
    <w:p>
      <w:pPr>
        <w:spacing w:line="540" w:lineRule="exact"/>
        <w:ind w:firstLine="640"/>
        <w:rPr>
          <w:rStyle w:val="18"/>
          <w:rFonts w:hint="eastAsia" w:ascii="仿宋" w:hAnsi="仿宋" w:eastAsia="仿宋" w:cs="仿宋"/>
        </w:rPr>
      </w:pPr>
      <w:r>
        <w:rPr>
          <w:rStyle w:val="18"/>
          <w:rFonts w:hint="eastAsia" w:ascii="仿宋" w:hAnsi="仿宋" w:eastAsia="仿宋" w:cs="仿宋"/>
          <w:b w:val="0"/>
          <w:spacing w:val="-4"/>
          <w:sz w:val="32"/>
          <w:szCs w:val="32"/>
        </w:rPr>
        <w:t>四、绩效评价指标分析</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（一）</w:t>
      </w:r>
      <w:r>
        <w:rPr>
          <w:rStyle w:val="18"/>
          <w:rFonts w:hint="eastAsia" w:ascii="仿宋" w:hAnsi="仿宋" w:eastAsia="仿宋" w:cs="仿宋"/>
          <w:spacing w:val="-4"/>
          <w:sz w:val="32"/>
          <w:szCs w:val="32"/>
        </w:rPr>
        <w:t>项目决策情况</w:t>
      </w:r>
    </w:p>
    <w:p>
      <w:pPr>
        <w:tabs>
          <w:tab w:val="center" w:pos="4295"/>
        </w:tabs>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t>（1）立项依据充分性，满分2分，得分2分，得分率100%。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是由哈密市伊州区残疾人联合会提出申报，为贯彻落实国务院《国务院关于建立残疾儿童康复救助制度的意见》(国发(2018)20号)、《“十四五”残疾人保障和发展规划》等文件精神，根据自治区财政厅《关于提前下达2024年中央财政残疾人事业发展补助资金预算的通知》（新财社〔2023〕196号）等文件要求组织实施该项目；项目立项符合国家法律法规、国民经济发展规划和相关政策，符合行业发展规划和政策要求，与部门职责范围相符，属于部门履职所需，属于公共财政支持范围，符合市、区两级政府事权支出责任划分原则，与相关部门同类项目或部门内部相关项目不存在政策交叉重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（2）立项程序规范性，满分2分，得分2分，得分率100%。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项目立项符合规定程序，审批文件等材料合规、完整，有完整的评估程序和集体决策。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（1）绩效目标明确性，满分4分，得分4分，得分率100%。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该项目总体目标计划投入</w:t>
      </w:r>
      <w:r>
        <w:rPr>
          <w:rStyle w:val="18"/>
          <w:rFonts w:hint="eastAsia" w:ascii="仿宋" w:hAnsi="仿宋" w:eastAsia="仿宋" w:cs="仿宋"/>
          <w:b w:val="0"/>
          <w:bCs w:val="0"/>
          <w:spacing w:val="-4"/>
          <w:sz w:val="32"/>
          <w:szCs w:val="32"/>
          <w:lang w:val="en-US" w:eastAsia="zh-CN"/>
        </w:rPr>
        <w:t>53</w:t>
      </w:r>
      <w:r>
        <w:rPr>
          <w:rStyle w:val="18"/>
          <w:rFonts w:hint="eastAsia" w:ascii="仿宋" w:hAnsi="仿宋" w:eastAsia="仿宋" w:cs="仿宋"/>
          <w:b w:val="0"/>
          <w:bCs w:val="0"/>
          <w:spacing w:val="-4"/>
          <w:sz w:val="32"/>
          <w:szCs w:val="32"/>
        </w:rPr>
        <w:t>万元，用于残疾儿童康复服务，文化进残疾人家庭，开展残疾人文化进社区活动，无障碍改造项目的补助资金，提高了残疾人享有公共文化服务水平，改善了残疾儿童功能状况，改善了残疾人居家环境。以总体目标为基础，该项目细化具体了绩效指标，包含产出和效果内容，并通过清晰、可衡量的指标值予以体现，与项目目标任务数和计划数相对应，符合部门工作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（2）绩效目标合理性，满分4分，得分4分，得分率100%。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该项目已将项目绩效目标细化分解为具体的绩效指标：数量指标为残疾儿童康复人数，文化进残疾人家庭户数，开展残疾人文化进社区活动次数，无障碍改造惠及人数；质量指标为有需求儿童得到基本康复服务覆盖率，文化活动质量达标率，无障碍改造验收达标率；时效指标为提供康复服务及时率，文化活动开展及时率，无障碍改造验收及时率；成本指标为残疾儿童康复补助标准，文化进残疾人家庭补助标准，残疾人文化进社区补助标准，无障碍改造补助标准；效益指标为残疾人享有公共文化服务水平，改善残疾儿童功能状况，改善残疾人居家环境；满意度指标为接受无障碍改造残疾人家庭满意度，参加文化活动残疾人满意度，服务儿童及监护人满意度。项目绩效目标与实际工作内容具有相关性，项目预期产出效益和效果符合正常的业绩水平，与预算确定的项目投资金量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3.预算编制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（1）测算标准合理性，满分3分，得分3分，得分率100%。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根据自治区财政厅《关于提前下达2024年中央财政残疾人事业发展补助资金预算的通知》（新财社〔2023〕196号）等文件要求进行测算，预算测算内容符合相关政策文件规定和相关行业、领域管理标准，预算测算标准符合社会实际支出水平，符合上级管理部门的标准，具有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（2）测算过程细化度，满分2分，得分2分，得分率100%。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该项目已将项目绩效目标细化分解为具体的绩效指标，预算资金全部按照项目内容，用于补助资金发支出，已根据事权划分准确核定本级财政支出。</w:t>
      </w:r>
      <w:r>
        <w:rPr>
          <w:rStyle w:val="18"/>
          <w:rFonts w:hint="eastAsia" w:ascii="仿宋" w:hAnsi="仿宋" w:eastAsia="仿宋" w:cs="仿宋"/>
          <w:b w:val="0"/>
          <w:bCs w:val="0"/>
          <w:spacing w:val="-4"/>
          <w:sz w:val="32"/>
          <w:szCs w:val="32"/>
          <w:lang w:eastAsia="zh-CN"/>
        </w:rPr>
        <w:tab/>
      </w:r>
    </w:p>
    <w:p>
      <w:pPr>
        <w:spacing w:line="540" w:lineRule="exact"/>
        <w:ind w:firstLine="567" w:firstLineChars="181"/>
        <w:rPr>
          <w:rStyle w:val="18"/>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二</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项目过程情况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1.资金管理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（1）资金到位率，满分6分，得分6分，得分率100%。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该项目于2024年1月28日批复预算资金</w:t>
      </w:r>
      <w:r>
        <w:rPr>
          <w:rStyle w:val="18"/>
          <w:rFonts w:hint="eastAsia" w:ascii="仿宋" w:hAnsi="仿宋" w:eastAsia="仿宋" w:cs="仿宋"/>
          <w:b w:val="0"/>
          <w:bCs w:val="0"/>
          <w:spacing w:val="-4"/>
          <w:sz w:val="32"/>
          <w:szCs w:val="32"/>
          <w:lang w:val="en-US" w:eastAsia="zh-CN"/>
        </w:rPr>
        <w:t>53</w:t>
      </w:r>
      <w:r>
        <w:rPr>
          <w:rStyle w:val="18"/>
          <w:rFonts w:hint="eastAsia" w:ascii="仿宋" w:hAnsi="仿宋" w:eastAsia="仿宋" w:cs="仿宋"/>
          <w:b w:val="0"/>
          <w:bCs w:val="0"/>
          <w:spacing w:val="-4"/>
          <w:sz w:val="32"/>
          <w:szCs w:val="32"/>
        </w:rPr>
        <w:t>万元，预算资金已及时拨付至我单位，资金到位率100%。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（2）预算执行率，满分6分，得分6分，得分率100%。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本项目预算编制较为详细，预算资金</w:t>
      </w:r>
      <w:r>
        <w:rPr>
          <w:rStyle w:val="18"/>
          <w:rFonts w:hint="eastAsia" w:ascii="仿宋" w:hAnsi="仿宋" w:eastAsia="仿宋" w:cs="仿宋"/>
          <w:b w:val="0"/>
          <w:bCs w:val="0"/>
          <w:spacing w:val="-4"/>
          <w:sz w:val="32"/>
          <w:szCs w:val="32"/>
          <w:lang w:val="en-US" w:eastAsia="zh-CN"/>
        </w:rPr>
        <w:t>53</w:t>
      </w:r>
      <w:r>
        <w:rPr>
          <w:rStyle w:val="18"/>
          <w:rFonts w:hint="eastAsia" w:ascii="仿宋" w:hAnsi="仿宋" w:eastAsia="仿宋" w:cs="仿宋"/>
          <w:b w:val="0"/>
          <w:bCs w:val="0"/>
          <w:spacing w:val="-4"/>
          <w:sz w:val="32"/>
          <w:szCs w:val="32"/>
        </w:rPr>
        <w:t>万元，实际执行49万元，预算执行率为</w:t>
      </w:r>
      <w:r>
        <w:rPr>
          <w:rStyle w:val="18"/>
          <w:rFonts w:hint="eastAsia" w:ascii="仿宋" w:hAnsi="仿宋" w:eastAsia="仿宋" w:cs="仿宋"/>
          <w:b w:val="0"/>
          <w:bCs w:val="0"/>
          <w:spacing w:val="-4"/>
          <w:sz w:val="32"/>
          <w:szCs w:val="32"/>
          <w:lang w:val="en-US" w:eastAsia="zh-CN"/>
        </w:rPr>
        <w:t>92.5</w:t>
      </w:r>
      <w:r>
        <w:rPr>
          <w:rStyle w:val="18"/>
          <w:rFonts w:hint="eastAsia" w:ascii="仿宋" w:hAnsi="仿宋" w:eastAsia="仿宋" w:cs="仿宋"/>
          <w:b w:val="0"/>
          <w:bCs w:val="0"/>
          <w:spacing w:val="-4"/>
          <w:sz w:val="32"/>
          <w:szCs w:val="32"/>
        </w:rPr>
        <w:t>%，项目资金支出总体能够按照预算执行。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（1）资金使用合规性，满分4分，得分4分，得分率100%。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项目资金使用符合政府会计制度的相关规定，各项拨付</w:t>
      </w:r>
      <w:r>
        <w:rPr>
          <w:rStyle w:val="18"/>
          <w:rFonts w:hint="eastAsia" w:ascii="仿宋" w:hAnsi="仿宋" w:eastAsia="仿宋" w:cs="仿宋"/>
          <w:b w:val="0"/>
          <w:bCs w:val="0"/>
          <w:spacing w:val="-4"/>
          <w:sz w:val="32"/>
          <w:szCs w:val="32"/>
          <w:lang w:eastAsia="zh-CN"/>
        </w:rPr>
        <w:t>经</w:t>
      </w:r>
      <w:r>
        <w:rPr>
          <w:rStyle w:val="18"/>
          <w:rFonts w:hint="eastAsia" w:ascii="仿宋" w:hAnsi="仿宋" w:eastAsia="仿宋" w:cs="仿宋"/>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（2）管理制度健全性，满分4分，得分4分，得分率100%。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我单位已制定相关内控制度及财务制度，如《合同管理制度》、《行政事业单位收入的管理》、《行政事业单位支出的管理》以及《哈密市伊州区残疾人联合会绩效管理办法》等，制度合法、合规、完整，并且能够严格遵守相关法律法规和相关管理规定，为进一步保障项目实施、项目调整及支出调整手续完备，并及时归档，项目实施的各项工作落实到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（3）制度执行有效性，满分3分，得分3分，得分率100%。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支出严格按照《合同管理制度》、《行政事业单位收入的管理》、《行政事业单位支出的管理》以及《哈密市伊州区残疾人联合会绩效管理办法》等相关制度要求执行，项目实施由部门提出经费预算支出可行性方案，经过与分管领导沟通后，报党委会议研究执行，财务对资金的使用合法合规性进行监督，年底对资金使用效果进行自评。</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项目产出情况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（1）残疾儿童康复人数，满分2分，得分2分，得分率100%。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厅《关于提前下达2024年中央财政残疾人事业发展补助资金预算的通知》（新财社〔2023〕196号）文件要求，2024年残疾儿童康复人数大于等于15人，根据文件内容实际完成残疾儿童康复人数35人，达到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（2）文化进残疾人家庭户数，满分1分，得分1分，得分率100。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厅《关于提前下达2024年中央财政残疾人事业发展补助资金预算的通知》（新财社〔2023〕196号）文件要求，2024年文化进残疾人家庭户数大于等于25户，根据文件内容实际完成文化进残疾人家庭户数25户，达到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（3）开展残疾人文化进社区活动次数，满分1分，得分1分，得分率100%。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厅《关于提前下达2024年中央财政残疾人事业发展补助资金预算的通知》（新财社〔2023〕196号）文件要求，2024年开展残疾人文化进社区活动次数大于等于1次，根据文件内容实际完成开展残疾人文化进社区活动次数2次，达到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（4）无障碍改造惠及人数，满分2分，得分2分，得分率100%。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根据自治区财政厅《关于提前下达2024年中央财政残疾人事业发展补助资金预算的通知》（新财社〔2023〕196号）文件要求，2024年无障碍改造惠及人数大于等于80人，根据文件内容实际完成</w:t>
      </w:r>
      <w:r>
        <w:rPr>
          <w:rStyle w:val="18"/>
          <w:rFonts w:hint="eastAsia" w:ascii="仿宋" w:hAnsi="仿宋" w:eastAsia="仿宋" w:cs="仿宋"/>
          <w:b w:val="0"/>
          <w:bCs w:val="0"/>
          <w:spacing w:val="-4"/>
          <w:sz w:val="32"/>
          <w:szCs w:val="32"/>
          <w:lang w:eastAsia="zh-CN"/>
        </w:rPr>
        <w:t>无</w:t>
      </w:r>
      <w:r>
        <w:rPr>
          <w:rStyle w:val="18"/>
          <w:rFonts w:hint="eastAsia" w:ascii="仿宋" w:hAnsi="仿宋" w:eastAsia="仿宋" w:cs="仿宋"/>
          <w:b w:val="0"/>
          <w:bCs w:val="0"/>
          <w:spacing w:val="-4"/>
          <w:sz w:val="32"/>
          <w:szCs w:val="32"/>
        </w:rPr>
        <w:t>障碍改造惠及人数80人，达到绩效指标。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（1）有需求儿童得到基本康复服务覆盖率，满分2分，得分2分，得分率100%。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2024年有需求儿童得到基本康复服务覆盖率应大于等于90%，根据2024年工作总结及情况说明，有需求儿童得到基本康复服务覆盖率实际完成100%，达到绩效指标。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（2）文化活动质量达标率，满分1分，得分1分，得分率100%。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2024年文化活动质量达标率应大于等于95%，根据2024年工作总结及情况说明，文化活动质量达标率实际完成100%，达到绩效指标。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（3）无障碍改造验收达标率，满分2分，得分2分，得分率100%。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2024年无障碍改造验收达标率应大于等于95%，根据2024年工作总结及情况说明，无障碍改造验收达标率实际完成100%，达到绩效指标。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（1）提供康复服务及时率，满分2分，得分2分，得分率100%。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项目计划2024年内完成各补助项目，根据一体化指标查询情况显示，实际2024年内已全部完成，提供康复服务及时率达到100%。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（2）文化活动开展及时率，满分1分，得分1分，得分率100%。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项目计划2024年内完成各补助项目，根据一体化指标查询情况显示，实际2024年内已全部完成，文化活动开展及时率达到100%。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（3）无障碍改造验收及时率，满分2分，得分2分，得分率100%。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项目计划2024年内完成各补助项目，根据一体化指标查询情况显示，实际2024年内已全部完成，无障碍改造验收及时率达到100%。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（1）残疾儿童康复补助标准，满分2分，得分2分，得分率100%。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厅《关于提前下达2024年中央财政残疾人事业发展补助资金预算的通知》（新财社〔2023〕196号）文件要求，2024年残疾儿童康复补助标准小于等于12000元/人，实际完成12000元/人，执行率为100%，符合项目成本控制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（2）文化进残疾人家庭补助标准，满分1分，得分1分，得分率100%。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厅《关于提前下达2024年中央财政残疾人事业发展补助资金预算的通知》（新财社〔2023〕196号）文件要求，2024年文化进残疾人家庭补助标准小于等于600元/户，实际完成600元/户，执行率为100%，符合项目成本控制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（3）残疾人文化进社区补助标准，满分1分，得分1分，得分率100%。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厅《关于提前下达2024年中央财政残疾人事业发展补助资金预算的通知》（新财社〔2023〕196号）文件要求，2024年残疾人文化进社区补助标准小于等于10000元/次，实际完成5000元/次，执行率为200%，符合项目成本控制要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（4）无障碍改造补助标准，满分2分，得分2分，得分率100%。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自治区财政厅《关于提前下达2024年中央财政残疾人事业发展补助资金预算的通知》（新财社〔2023〕196号）文件要求，2024年无障碍改造补助标准小于等于3500元/户，实际完成3500元/户，执行率为100%，符合项目成本控制要求。</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w:t>
      </w:r>
      <w:r>
        <w:rPr>
          <w:rStyle w:val="18"/>
          <w:rFonts w:hint="eastAsia" w:ascii="仿宋" w:hAnsi="仿宋" w:eastAsia="仿宋" w:cs="仿宋"/>
          <w:spacing w:val="-4"/>
          <w:sz w:val="32"/>
          <w:szCs w:val="32"/>
          <w:lang w:val="en-US" w:eastAsia="zh-CN"/>
        </w:rPr>
        <w:t>成本</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社会效益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（1）残疾人享有公共文化服务水平，满分10分，得分10分，得分率100%。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通过实施残疾人文化进家庭“五个一”及文化进社区项目，使残疾人参与文化活动的需求得到满足，实际完成率100%。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（2）改善残疾儿童功能状况，满分10分，得分10分，得分率100%。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通过为了</w:t>
      </w:r>
      <w:r>
        <w:rPr>
          <w:rStyle w:val="18"/>
          <w:rFonts w:hint="eastAsia" w:ascii="仿宋" w:hAnsi="仿宋" w:eastAsia="仿宋" w:cs="仿宋"/>
          <w:b w:val="0"/>
          <w:bCs w:val="0"/>
          <w:spacing w:val="-4"/>
          <w:sz w:val="32"/>
          <w:szCs w:val="32"/>
          <w:lang w:eastAsia="zh-CN"/>
        </w:rPr>
        <w:t>解</w:t>
      </w:r>
      <w:r>
        <w:rPr>
          <w:rStyle w:val="18"/>
          <w:rFonts w:hint="eastAsia" w:ascii="仿宋" w:hAnsi="仿宋" w:eastAsia="仿宋" w:cs="仿宋"/>
          <w:b w:val="0"/>
          <w:bCs w:val="0"/>
          <w:spacing w:val="-4"/>
          <w:sz w:val="32"/>
          <w:szCs w:val="32"/>
        </w:rPr>
        <w:t>0-6岁家庭困难，视力、听力、语言、肢体、智力等残疾儿童和孤独症儿童提供人工耳蜗及助听器验配、肢体矫治手术、功能训练等服务，显著改善残疾儿童功能状况，增强自理及社会参与能力，基本实现残疾儿童应救尽救，实际完成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（3）改善残疾人居家环境，满分10分，得分10分，得分率100%。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支持困难重度残疾人实施家庭无障碍改造，改善了残疾人居家环境，实际完成率100%。</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项目效益情况</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六</w:t>
      </w: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满意度</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（1）接受无障碍改造残疾人家庭满意度，满分3分，得分3分，得分率100%。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接受无障碍改造残疾人家庭满意度应大于等于90%，通过调查问卷统计，接受无障碍改造残疾人家庭满意度实际达到100%。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（2）参加文化活动残疾人满意度，满分2分，得分2分，得分率100%。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参加文化活动残疾人满意度应大于等于90%，通过调查问卷统计，参加文化活动残疾人满意度实际达到100%。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（3）服务儿童及监护人满意度，满分3分，得分3分，得分率100%。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服务儿童及监护人满意度应大于等于90%，通过调查问卷统计，服务儿童及监护人满意度实际达到100%。</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五</w:t>
      </w:r>
      <w:r>
        <w:rPr>
          <w:rStyle w:val="18"/>
          <w:rFonts w:hint="eastAsia" w:ascii="仿宋" w:hAnsi="仿宋" w:eastAsia="仿宋" w:cs="仿宋"/>
          <w:b w:val="0"/>
          <w:spacing w:val="-4"/>
          <w:sz w:val="32"/>
          <w:szCs w:val="32"/>
        </w:rPr>
        <w:t>、主要经验及做法、存在的问题及原因分析</w:t>
      </w:r>
    </w:p>
    <w:p>
      <w:pPr>
        <w:spacing w:line="540" w:lineRule="exact"/>
        <w:ind w:firstLine="567"/>
        <w:rPr>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1.聚焦重点任务，推动项目工作落地落实</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2.坚持问题导向，加强执行监控，提高资金效益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3.强化绩效目标刚性约束，及时对项目进行跟踪问效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1.绩效预算认识不够充分，绩效理念有待进一步强化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仿宋" w:hAnsi="仿宋" w:eastAsia="仿宋" w:cs="仿宋"/>
          <w:b w:val="0"/>
          <w:bCs w:val="0"/>
          <w:spacing w:val="-4"/>
          <w:sz w:val="32"/>
          <w:szCs w:val="32"/>
          <w:lang w:eastAsia="zh-CN"/>
        </w:rPr>
        <w:t>健</w:t>
      </w:r>
      <w:bookmarkStart w:id="0" w:name="_GoBack"/>
      <w:bookmarkEnd w:id="0"/>
      <w:r>
        <w:rPr>
          <w:rStyle w:val="18"/>
          <w:rFonts w:hint="eastAsia" w:ascii="仿宋" w:hAnsi="仿宋" w:eastAsia="仿宋" w:cs="仿宋"/>
          <w:b w:val="0"/>
          <w:bCs w:val="0"/>
          <w:spacing w:val="-4"/>
          <w:sz w:val="32"/>
          <w:szCs w:val="32"/>
        </w:rPr>
        <w:t>全，业务人员业务能力和素质还有待进一步提升。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2.绩效档案归档工作有待提高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3.项目支出绩效评价存在单位限性，客观性有待加强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项目支出绩效评价工作还存在自我审定的单位限性，项目支出绩效工作有较大弹性，评价报告多单位限于描述项目实施情况，对问题避重就轻，对项目的打分松紧不一，会影响评价质量，在客观性和公正性上说服力不强。</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u w:val="dotted"/>
          <w:lang w:val="en-US" w:eastAsia="zh-CN"/>
        </w:rPr>
        <w:t>六</w:t>
      </w:r>
      <w:r>
        <w:rPr>
          <w:rStyle w:val="18"/>
          <w:rFonts w:hint="eastAsia" w:ascii="仿宋" w:hAnsi="仿宋" w:eastAsia="仿宋" w:cs="仿宋"/>
          <w:b w:val="0"/>
          <w:spacing w:val="-4"/>
          <w:sz w:val="32"/>
          <w:szCs w:val="32"/>
        </w:rPr>
        <w:t>、有关建议</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1.加强培训，提高相关人员工作水平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2.扎实推进档案规范化建设，提升档案管理水平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进一步完善项目评价资料。项目启动时同步做好档案的归纳与整理，及时整理、收集、汇总，健全档案资料。二是严格落实哈密地区关于绩效管理工作档案资料归档的相关要求，强化收集力度，确保归档资料的完整齐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3.高度重视，加强领导</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七</w:t>
      </w:r>
      <w:r>
        <w:rPr>
          <w:rStyle w:val="18"/>
          <w:rFonts w:hint="eastAsia" w:ascii="仿宋" w:hAnsi="仿宋" w:eastAsia="仿宋" w:cs="仿宋"/>
          <w:b w:val="0"/>
          <w:spacing w:val="-4"/>
          <w:sz w:val="32"/>
          <w:szCs w:val="32"/>
        </w:rPr>
        <w:t>、其他需要说明的问题</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p>
    <w:p>
      <w:pPr>
        <w:spacing w:line="540" w:lineRule="exact"/>
        <w:ind w:firstLine="567"/>
        <w:rPr>
          <w:rStyle w:val="18"/>
          <w:rFonts w:hint="eastAsia" w:ascii="仿宋" w:hAnsi="仿宋" w:eastAsia="仿宋" w:cs="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3029612C"/>
    <w:rsid w:val="32A221C5"/>
    <w:rsid w:val="33F20F2A"/>
    <w:rsid w:val="34C44675"/>
    <w:rsid w:val="36B82B23"/>
    <w:rsid w:val="3B5B5607"/>
    <w:rsid w:val="3CE21B3C"/>
    <w:rsid w:val="3E913259"/>
    <w:rsid w:val="4D2606A1"/>
    <w:rsid w:val="4DF13494"/>
    <w:rsid w:val="4F8A611E"/>
    <w:rsid w:val="51830480"/>
    <w:rsid w:val="51EB6428"/>
    <w:rsid w:val="53A616BE"/>
    <w:rsid w:val="54662BFB"/>
    <w:rsid w:val="62051CA5"/>
    <w:rsid w:val="6772621F"/>
    <w:rsid w:val="67D65A96"/>
    <w:rsid w:val="6C33576A"/>
    <w:rsid w:val="6C3A69EF"/>
    <w:rsid w:val="6E413C07"/>
    <w:rsid w:val="7CBF4E83"/>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9064</Words>
  <Characters>9584</Characters>
  <Lines>5</Lines>
  <Paragraphs>1</Paragraphs>
  <TotalTime>5</TotalTime>
  <ScaleCrop>false</ScaleCrop>
  <LinksUpToDate>false</LinksUpToDate>
  <CharactersWithSpaces>9618</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2025-11-06T13:19:32Z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