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特定类-“东艺商城”改造项目相关涉诉案件案款</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哈密市伊州区歌舞团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哈密市伊州区歌舞团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柴家庆</w:t>
      </w:r>
    </w:p>
    <w:p>
      <w:pPr>
        <w:spacing w:line="540" w:lineRule="exact"/>
        <w:ind w:left="273" w:firstLine="567"/>
        <w:rPr>
          <w:rFonts w:hAnsi="宋体" w:eastAsia="仿宋_GB2312" w:cs="宋体"/>
          <w:kern w:val="0"/>
          <w:sz w:val="30"/>
          <w:szCs w:val="30"/>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2025年05月20日</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一、基本情况</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（一）项目概况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哈密歌舞团“东艺商城”改造项目遗留问题涉及金额4285.47万元，截止2023年6月1日，已支付资金3428.35万元，尚有857.12万元涉案款未解决。按照</w:t>
      </w:r>
      <w:r>
        <w:rPr>
          <w:rStyle w:val="18"/>
          <w:rFonts w:hint="eastAsia" w:ascii="仿宋" w:hAnsi="仿宋" w:eastAsia="仿宋" w:cs="仿宋"/>
          <w:b w:val="0"/>
          <w:bCs w:val="0"/>
          <w:spacing w:val="-4"/>
          <w:sz w:val="32"/>
          <w:szCs w:val="32"/>
          <w:lang w:eastAsia="zh-CN"/>
        </w:rPr>
        <w:t>相关文件</w:t>
      </w:r>
      <w:r>
        <w:rPr>
          <w:rStyle w:val="18"/>
          <w:rFonts w:hint="eastAsia" w:ascii="仿宋" w:hAnsi="仿宋" w:eastAsia="仿宋" w:cs="仿宋"/>
          <w:b w:val="0"/>
          <w:bCs w:val="0"/>
          <w:spacing w:val="-4"/>
          <w:sz w:val="32"/>
          <w:szCs w:val="32"/>
        </w:rPr>
        <w:t>要求，由伊州区人民政府分两次支付，第一次于2023年6月15日前支付450万元，第二次于2023年年底前支付407.12万元。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哈密歌舞团“东艺商城”改造项目遗留问题涉及金额4285.47万元，截止2023年6月1日前，已支付资金3428.35万元，尚有857.12万元涉案款未解决。按照</w:t>
      </w:r>
      <w:r>
        <w:rPr>
          <w:rStyle w:val="18"/>
          <w:rFonts w:hint="eastAsia" w:ascii="仿宋" w:hAnsi="仿宋" w:eastAsia="仿宋" w:cs="仿宋"/>
          <w:b w:val="0"/>
          <w:bCs w:val="0"/>
          <w:spacing w:val="-4"/>
          <w:sz w:val="32"/>
          <w:szCs w:val="32"/>
          <w:lang w:eastAsia="zh-CN"/>
        </w:rPr>
        <w:t>相关文件</w:t>
      </w:r>
      <w:r>
        <w:rPr>
          <w:rStyle w:val="18"/>
          <w:rFonts w:hint="eastAsia" w:ascii="仿宋" w:hAnsi="仿宋" w:eastAsia="仿宋" w:cs="仿宋"/>
          <w:b w:val="0"/>
          <w:bCs w:val="0"/>
          <w:spacing w:val="-4"/>
          <w:sz w:val="32"/>
          <w:szCs w:val="32"/>
        </w:rPr>
        <w:t>要求，由伊州区人民政府分两次支付，第一次于2023年6月15日前支付450万元，已按时完成支付。第二次于2024年年底前支付完余下的欠款407.12万元，此笔欠款已于2024年2月5日完成支付。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伊州区歌舞团计划拨付407.12万元，项目于2024年1月1日批复预算资金407.12万元，截至2024年2月5日，项目用于哈密歌舞团“东艺商城”改造项目涉诉案件款项项目资金支付407.12万元，资金到位率100%，预算执行率为100%。</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lang w:eastAsia="zh-CN"/>
        </w:rPr>
        <w:t>（</w:t>
      </w:r>
      <w:r>
        <w:rPr>
          <w:rStyle w:val="18"/>
          <w:rFonts w:hint="eastAsia" w:ascii="仿宋" w:hAnsi="仿宋" w:eastAsia="仿宋" w:cs="仿宋"/>
          <w:spacing w:val="-4"/>
          <w:sz w:val="32"/>
          <w:szCs w:val="32"/>
        </w:rPr>
        <w:t>二）项目绩效目标</w:t>
      </w:r>
    </w:p>
    <w:p>
      <w:pPr>
        <w:spacing w:line="540" w:lineRule="exact"/>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本项目总体目标为：哈密歌舞团“东艺商城”改造项目涉诉案件1件，伊州区人民政府分两次解决资金857.12万元，第一次先支付450万元，剩余资金在2024年年底之前解决。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1.产出指标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数量指标：涉诉案件不少于1件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数量指标：涉诉案件债务支付次数2次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质量指标：涉诉案件工作完成质量达标率达到100%；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时效指标：涉诉债务支付及时率达到100%。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经济成本指标：涉诉案件债务费用不高于407.12万元。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社会效益指标：有效消除债务隐患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满意度指标：涉诉案件相关人员满意度不低于95%。</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二、绩效评价工作开展情况</w:t>
      </w:r>
    </w:p>
    <w:p>
      <w:pPr>
        <w:spacing w:line="540" w:lineRule="exact"/>
        <w:ind w:firstLine="567" w:firstLineChars="181"/>
        <w:rPr>
          <w:rStyle w:val="18"/>
          <w:rFonts w:hint="eastAsia" w:ascii="仿宋" w:hAnsi="仿宋" w:eastAsia="仿宋" w:cs="仿宋"/>
          <w:b w:val="0"/>
          <w:bCs w:val="0"/>
          <w:spacing w:val="-4"/>
          <w:sz w:val="32"/>
          <w:szCs w:val="32"/>
        </w:rPr>
      </w:pPr>
      <w:r>
        <w:rPr>
          <w:rStyle w:val="18"/>
          <w:rFonts w:hint="eastAsia" w:ascii="仿宋" w:hAnsi="仿宋" w:eastAsia="仿宋" w:cs="仿宋"/>
          <w:spacing w:val="-4"/>
          <w:sz w:val="32"/>
          <w:szCs w:val="32"/>
        </w:rPr>
        <w:t>（一）绩效评价目的、对象和范</w:t>
      </w:r>
      <w:r>
        <w:rPr>
          <w:rStyle w:val="18"/>
          <w:rFonts w:hint="eastAsia" w:ascii="仿宋" w:hAnsi="仿宋" w:eastAsia="仿宋" w:cs="仿宋"/>
          <w:b w:val="0"/>
          <w:bCs w:val="0"/>
          <w:spacing w:val="-4"/>
          <w:sz w:val="32"/>
          <w:szCs w:val="32"/>
        </w:rPr>
        <w:t>我单位根据</w:t>
      </w:r>
      <w:r>
        <w:rPr>
          <w:rStyle w:val="18"/>
          <w:rFonts w:hint="eastAsia" w:ascii="仿宋" w:hAnsi="仿宋" w:eastAsia="仿宋" w:cs="仿宋"/>
          <w:b w:val="0"/>
          <w:bCs w:val="0"/>
          <w:spacing w:val="-4"/>
          <w:sz w:val="32"/>
          <w:szCs w:val="32"/>
          <w:lang w:eastAsia="zh-CN"/>
        </w:rPr>
        <w:t>相关</w:t>
      </w:r>
      <w:r>
        <w:rPr>
          <w:rStyle w:val="18"/>
          <w:rFonts w:hint="eastAsia" w:ascii="仿宋" w:hAnsi="仿宋" w:eastAsia="仿宋" w:cs="仿宋"/>
          <w:b w:val="0"/>
          <w:bCs w:val="0"/>
          <w:spacing w:val="-4"/>
          <w:sz w:val="32"/>
          <w:szCs w:val="32"/>
        </w:rPr>
        <w:t>文件精神，对哈密歌舞团“东艺商城”改造项目涉诉案件项目绩效目标实现情况进行自评。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（二）绩效评价原则、评价指标体系、评价方法、评价标准</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（2）统筹兼顾。单位自评、部门评价和财政评价应职责明</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确，各有侧重，相互衔接。单位自评应由项目单位负责实施，即“谁支出、谁自评”。部门评价和财政评价应在单位自评的基础上开展，必要时可委托第三方机构实施。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（1）项目决策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项目立项：立项依据充分性，权重2分；立项程序规范性，权重2分。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绩效目标：绩效目标明确性，权重4分；绩效目标合理性，权重4分。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预算编制：测算标准合理性，权重3分；测算过程细化度，权重2分。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（2）项目过程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资金管理：资金到位率，权重6分；预算执行率，权重6分。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组织实施：资金使用合规性，权重4分，管理制度健全性，权重4分，制度执行有效性，权重3分。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（3）项目产出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数量指标：涉案案件数量不少于1件，权重3分；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数量指标：涉诉案件债务支付次数2次，权重3分；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质量指标：涉诉案件工作完成质量达标率达到100%，权重5分；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时效指标：涉诉债务支付及时率达到100%，权重5分。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成本指标：涉诉案件债务费用不高于450万元，权重6分。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社会效益指标：有效消除债务隐患，权重30分；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（4）满意度指标服务对象满意度指标：涉诉案件相关人员满意度不低于95%，权重8分。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哈密歌舞团“东艺商城”改造项目涉诉案件项目绩效评价主要通过项目单位自评、主管部门监督、财政部门参评的方式开展绩效评价工作。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（1）成本效益分析法。是指将投入与产出、效益进行关联性分析的方法。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（2）比较法。是指将实施情况与绩效目标、历史情况、不同部门和地区同类支出情况进行比较的方法。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（3）因素分析法。是指综合分析影响绩效目标实现、实施效果的内外部因素的方法。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（4）最低成本法。是指在绩效目标确定的前提下，成本最小者为优的方法。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（5）公众评判法。是指通过专家评估、公众问卷及抽样调查等方式进行评判的方法。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（6）核实法。是收集包括书面资料及以外的信息以证实书面资料及其所反映经济活动的真实，合法，合理，有效和正确的方法。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绩效评价标准通常包括计划标准、行业标准、历史标准等，用于对绩效指标完成情况进行比较。单位自评采用定量与定性评价相结合的比较法，总分由各项指标得分汇总形成。</w:t>
      </w:r>
    </w:p>
    <w:p>
      <w:pPr>
        <w:spacing w:line="540" w:lineRule="exact"/>
        <w:ind w:firstLine="567" w:firstLineChars="181"/>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（三）绩效评价工作过程</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（2）采取“年初绩效目标预定与实施效果比较法”进行评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价，评价指标体系以绩效目标申报指标为依据。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2.组织过程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（1）项目全过程资料档案复核</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（2）检查内容和过程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发放调查问卷开展哈密歌舞团“东艺商城”改造项目涉诉案件项目满意度调查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（3）撰写报告情况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根据所搜集的印证材料，按绩效评价原理和指标体系进行分析、评价和汇总，撰写绩效自评报告，并在规定时间上报。</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三、综合评价情况及评价结论</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本次项目自评满分97分，自评得分97</w:t>
      </w:r>
      <w:r>
        <w:rPr>
          <w:rStyle w:val="18"/>
          <w:rFonts w:hint="eastAsia" w:ascii="仿宋" w:hAnsi="仿宋" w:eastAsia="仿宋" w:cs="仿宋"/>
          <w:b w:val="0"/>
          <w:bCs w:val="0"/>
          <w:spacing w:val="-4"/>
          <w:sz w:val="32"/>
          <w:szCs w:val="32"/>
          <w:lang w:val="en-US" w:eastAsia="zh-CN"/>
        </w:rPr>
        <w:t>.5</w:t>
      </w:r>
      <w:r>
        <w:rPr>
          <w:rStyle w:val="18"/>
          <w:rFonts w:hint="eastAsia" w:ascii="仿宋" w:hAnsi="仿宋" w:eastAsia="仿宋" w:cs="仿宋"/>
          <w:b w:val="0"/>
          <w:bCs w:val="0"/>
          <w:spacing w:val="-4"/>
          <w:sz w:val="32"/>
          <w:szCs w:val="32"/>
        </w:rPr>
        <w:t>分，自评结果为“优”，其中项目决策得分17分，项目过程得分23分，项目产出得分19分，项目效益得分30分，项目满意度得分8分。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综合评价结论：项目决策方面，资料数据准确可靠；项目过程方面，工作严谨规范；项目产出方面，按时完成，质量稳定且高效；项目效益方面，按时支付，收到良好的社会效益；项目满意度方面，非常满意。</w:t>
      </w:r>
    </w:p>
    <w:p>
      <w:pPr>
        <w:spacing w:line="540" w:lineRule="exact"/>
        <w:ind w:firstLine="640"/>
        <w:rPr>
          <w:rStyle w:val="18"/>
          <w:rFonts w:hint="eastAsia" w:ascii="仿宋" w:hAnsi="仿宋" w:eastAsia="仿宋" w:cs="仿宋"/>
        </w:rPr>
      </w:pPr>
      <w:r>
        <w:rPr>
          <w:rStyle w:val="18"/>
          <w:rFonts w:hint="eastAsia" w:ascii="仿宋" w:hAnsi="仿宋" w:eastAsia="仿宋" w:cs="仿宋"/>
          <w:b w:val="0"/>
          <w:spacing w:val="-4"/>
          <w:sz w:val="32"/>
          <w:szCs w:val="32"/>
        </w:rPr>
        <w:t>四、绩效评价指标分析</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（一）</w:t>
      </w:r>
      <w:r>
        <w:rPr>
          <w:rStyle w:val="18"/>
          <w:rFonts w:hint="eastAsia" w:ascii="仿宋" w:hAnsi="仿宋" w:eastAsia="仿宋" w:cs="仿宋"/>
          <w:spacing w:val="-4"/>
          <w:sz w:val="32"/>
          <w:szCs w:val="32"/>
        </w:rPr>
        <w:t>项目决策情况</w:t>
      </w:r>
    </w:p>
    <w:p>
      <w:pPr>
        <w:tabs>
          <w:tab w:val="center" w:pos="4295"/>
        </w:tabs>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1.项目立项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（1）立项依据充分性，满分2分，得分2分，得分率100%。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w:t>
      </w:r>
      <w:r>
        <w:rPr>
          <w:rStyle w:val="18"/>
          <w:rFonts w:hint="eastAsia" w:ascii="仿宋" w:hAnsi="仿宋" w:eastAsia="仿宋" w:cs="仿宋"/>
          <w:b w:val="0"/>
          <w:bCs w:val="0"/>
          <w:spacing w:val="-4"/>
          <w:sz w:val="32"/>
          <w:szCs w:val="32"/>
          <w:lang w:eastAsia="zh-CN"/>
        </w:rPr>
        <w:t>相关</w:t>
      </w:r>
      <w:r>
        <w:rPr>
          <w:rStyle w:val="18"/>
          <w:rFonts w:hint="eastAsia" w:ascii="仿宋" w:hAnsi="仿宋" w:eastAsia="仿宋" w:cs="仿宋"/>
          <w:b w:val="0"/>
          <w:bCs w:val="0"/>
          <w:spacing w:val="-4"/>
          <w:sz w:val="32"/>
          <w:szCs w:val="32"/>
        </w:rPr>
        <w:t>文件要求进行项目立项，项目立项符合国家法律法规，国民经济发展规划和相关政策。项目不存在与相关部门同类项目或部门内部相关项目存在政策交叉重复。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（2）立项程序规范性，满分2分，得分2分，得分率100%。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项目立项符合规定程序，审批文件等材料合规、完整，有完整的评估程序和集体决策。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（1）绩效目标明确性，满分4分，得分4分，得分率100%。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w:t>
      </w:r>
      <w:r>
        <w:rPr>
          <w:rStyle w:val="18"/>
          <w:rFonts w:hint="eastAsia" w:ascii="仿宋" w:hAnsi="仿宋" w:eastAsia="仿宋" w:cs="仿宋"/>
          <w:b w:val="0"/>
          <w:bCs w:val="0"/>
          <w:spacing w:val="-4"/>
          <w:sz w:val="32"/>
          <w:szCs w:val="32"/>
          <w:lang w:eastAsia="zh-CN"/>
        </w:rPr>
        <w:t>相关</w:t>
      </w:r>
      <w:r>
        <w:rPr>
          <w:rStyle w:val="18"/>
          <w:rFonts w:hint="eastAsia" w:ascii="仿宋" w:hAnsi="仿宋" w:eastAsia="仿宋" w:cs="仿宋"/>
          <w:b w:val="0"/>
          <w:bCs w:val="0"/>
          <w:spacing w:val="-4"/>
          <w:sz w:val="32"/>
          <w:szCs w:val="32"/>
        </w:rPr>
        <w:t>文件要求，由伊州区人民政府分两次支付，第一次于2023年6月15日前支付450万元，第二次于2024年年底前支付407.12万元。通过清晰、可衡量的指标值予以体现；与项目目标任务数或计划数相对应。</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(2)绩效目标合理性，满分4分，得分4分，得分率100%。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w:t>
      </w:r>
      <w:r>
        <w:rPr>
          <w:rStyle w:val="18"/>
          <w:rFonts w:hint="eastAsia" w:ascii="仿宋" w:hAnsi="仿宋" w:eastAsia="仿宋" w:cs="仿宋"/>
          <w:b w:val="0"/>
          <w:bCs w:val="0"/>
          <w:spacing w:val="-4"/>
          <w:sz w:val="32"/>
          <w:szCs w:val="32"/>
          <w:lang w:eastAsia="zh-CN"/>
        </w:rPr>
        <w:t>相关</w:t>
      </w:r>
      <w:r>
        <w:rPr>
          <w:rStyle w:val="18"/>
          <w:rFonts w:hint="eastAsia" w:ascii="仿宋" w:hAnsi="仿宋" w:eastAsia="仿宋" w:cs="仿宋"/>
          <w:b w:val="0"/>
          <w:bCs w:val="0"/>
          <w:spacing w:val="-4"/>
          <w:sz w:val="32"/>
          <w:szCs w:val="32"/>
        </w:rPr>
        <w:t>文件进行项目绩效目标与实际工作内容是否具有相关性；项目预期产出效益和效果是否符合正常的业绩水平；与预算确定的项目投资额或资金量相匹配。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3.预算编制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（1）测算标准合理性，满分3分，得分3分，得分率100%。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w:t>
      </w:r>
      <w:r>
        <w:rPr>
          <w:rStyle w:val="18"/>
          <w:rFonts w:hint="eastAsia" w:ascii="仿宋" w:hAnsi="仿宋" w:eastAsia="仿宋" w:cs="仿宋"/>
          <w:b w:val="0"/>
          <w:bCs w:val="0"/>
          <w:spacing w:val="-4"/>
          <w:sz w:val="32"/>
          <w:szCs w:val="32"/>
          <w:lang w:eastAsia="zh-CN"/>
        </w:rPr>
        <w:t>相关</w:t>
      </w:r>
      <w:r>
        <w:rPr>
          <w:rStyle w:val="18"/>
          <w:rFonts w:hint="eastAsia" w:ascii="仿宋" w:hAnsi="仿宋" w:eastAsia="仿宋" w:cs="仿宋"/>
          <w:b w:val="0"/>
          <w:bCs w:val="0"/>
          <w:spacing w:val="-4"/>
          <w:sz w:val="32"/>
          <w:szCs w:val="32"/>
        </w:rPr>
        <w:t>文件要求，由伊州区人民政府分两次支付，第一次于2023年6月15日前支付450万元，第二次于2024年年底前支付407.12万元。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（2）测算过程细化度，满分2分，得分2分，得分率100%。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w:t>
      </w:r>
      <w:r>
        <w:rPr>
          <w:rStyle w:val="18"/>
          <w:rFonts w:hint="eastAsia" w:ascii="仿宋" w:hAnsi="仿宋" w:eastAsia="仿宋" w:cs="仿宋"/>
          <w:b w:val="0"/>
          <w:bCs w:val="0"/>
          <w:spacing w:val="-4"/>
          <w:sz w:val="32"/>
          <w:szCs w:val="32"/>
          <w:lang w:eastAsia="zh-CN"/>
        </w:rPr>
        <w:t>相关</w:t>
      </w:r>
      <w:r>
        <w:rPr>
          <w:rStyle w:val="18"/>
          <w:rFonts w:hint="eastAsia" w:ascii="仿宋" w:hAnsi="仿宋" w:eastAsia="仿宋" w:cs="仿宋"/>
          <w:b w:val="0"/>
          <w:bCs w:val="0"/>
          <w:spacing w:val="-4"/>
          <w:sz w:val="32"/>
          <w:szCs w:val="32"/>
        </w:rPr>
        <w:t>文件要求，由伊州区人民政府分两次支付，第一次于2023年6月15日前支付450万元，第二次于2024年年底支付407.12万元。407.12万元都用于此次归还涉诉款。</w:t>
      </w:r>
      <w:r>
        <w:rPr>
          <w:rStyle w:val="18"/>
          <w:rFonts w:hint="eastAsia" w:ascii="仿宋" w:hAnsi="仿宋" w:eastAsia="仿宋" w:cs="仿宋"/>
          <w:b w:val="0"/>
          <w:bCs w:val="0"/>
          <w:spacing w:val="-4"/>
          <w:sz w:val="32"/>
          <w:szCs w:val="32"/>
          <w:lang w:eastAsia="zh-CN"/>
        </w:rPr>
        <w:tab/>
      </w:r>
    </w:p>
    <w:p>
      <w:pPr>
        <w:spacing w:line="540" w:lineRule="exact"/>
        <w:ind w:firstLine="567" w:firstLineChars="181"/>
        <w:rPr>
          <w:rStyle w:val="18"/>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二</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项目过程情况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1.资金管理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（1）资金到位率，满分6分，得分6分，得分率100%。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w:t>
      </w:r>
      <w:r>
        <w:rPr>
          <w:rStyle w:val="18"/>
          <w:rFonts w:hint="eastAsia" w:ascii="仿宋" w:hAnsi="仿宋" w:eastAsia="仿宋" w:cs="仿宋"/>
          <w:b w:val="0"/>
          <w:bCs w:val="0"/>
          <w:spacing w:val="-4"/>
          <w:sz w:val="32"/>
          <w:szCs w:val="32"/>
          <w:lang w:eastAsia="zh-CN"/>
        </w:rPr>
        <w:t>相关</w:t>
      </w:r>
      <w:r>
        <w:rPr>
          <w:rStyle w:val="18"/>
          <w:rFonts w:hint="eastAsia" w:ascii="仿宋" w:hAnsi="仿宋" w:eastAsia="仿宋" w:cs="仿宋"/>
          <w:b w:val="0"/>
          <w:bCs w:val="0"/>
          <w:spacing w:val="-4"/>
          <w:sz w:val="32"/>
          <w:szCs w:val="32"/>
        </w:rPr>
        <w:t>文件要求，由伊州区人民政府分两次支付，计划第二次于2024年12月31日前由伊州区财政向伊州区歌舞团拨付资金407.12万元，实际到位资金万元407.12万元，实际到位资金与预算支付资金的比率为100%。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（2）预算执行率，满分6分，得分6分，得分率100%。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w:t>
      </w:r>
      <w:r>
        <w:rPr>
          <w:rStyle w:val="18"/>
          <w:rFonts w:hint="eastAsia" w:ascii="仿宋" w:hAnsi="仿宋" w:eastAsia="仿宋" w:cs="仿宋"/>
          <w:b w:val="0"/>
          <w:bCs w:val="0"/>
          <w:spacing w:val="-4"/>
          <w:sz w:val="32"/>
          <w:szCs w:val="32"/>
          <w:lang w:eastAsia="zh-CN"/>
        </w:rPr>
        <w:t>相关</w:t>
      </w:r>
      <w:r>
        <w:rPr>
          <w:rStyle w:val="18"/>
          <w:rFonts w:hint="eastAsia" w:ascii="仿宋" w:hAnsi="仿宋" w:eastAsia="仿宋" w:cs="仿宋"/>
          <w:b w:val="0"/>
          <w:bCs w:val="0"/>
          <w:spacing w:val="-4"/>
          <w:sz w:val="32"/>
          <w:szCs w:val="32"/>
        </w:rPr>
        <w:t>文件要求，由伊州区人民政府分两次支付，第二次于2024年12月31日前支付407.12万元，实际于2024年2月5日前伊州区歌舞团到位资金407.12万元，实际向哈密市歌舞团完成支付407.12万元，实际支付资金与预算资金的比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资金使用合规性，满分4分，得分4分，得分率100%。项目资金使用符合政府会计制度的相关规定，各项拨付井领导审批，有完整的审批手续，项目支出不存在截留、挤占、挪用、虚列支出等情况，本年度审计、巡视、财政巡察未发现违规问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（2）管理制度健全性，满分4分，得分4分，得分率100%。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建立本单位采购、固定资产、绩效管理、合同等财务制度，用以不断规范财务流程及健全管理。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（3）制度执行有效性，满分3分，得分3分，得分率100%。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本单位在合同签订等工作环节都可以咨询局里聘请的专业法律顾问进行指导。</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三</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项目产出情况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1.涉案案件数量1件,满分3分，得分3分，得分率100%。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w:t>
      </w:r>
      <w:r>
        <w:rPr>
          <w:rStyle w:val="18"/>
          <w:rFonts w:hint="eastAsia" w:ascii="仿宋" w:hAnsi="仿宋" w:eastAsia="仿宋" w:cs="仿宋"/>
          <w:b w:val="0"/>
          <w:bCs w:val="0"/>
          <w:spacing w:val="-4"/>
          <w:sz w:val="32"/>
          <w:szCs w:val="32"/>
          <w:lang w:eastAsia="zh-CN"/>
        </w:rPr>
        <w:t>相关</w:t>
      </w:r>
      <w:r>
        <w:rPr>
          <w:rStyle w:val="18"/>
          <w:rFonts w:hint="eastAsia" w:ascii="仿宋" w:hAnsi="仿宋" w:eastAsia="仿宋" w:cs="仿宋"/>
          <w:b w:val="0"/>
          <w:bCs w:val="0"/>
          <w:spacing w:val="-4"/>
          <w:sz w:val="32"/>
          <w:szCs w:val="32"/>
        </w:rPr>
        <w:t>文件，产生涉诉案件1件。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2.涉诉案件债务支付次数2次,满分3分，得分0分，得分率100%。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w:t>
      </w:r>
      <w:r>
        <w:rPr>
          <w:rStyle w:val="18"/>
          <w:rFonts w:hint="eastAsia" w:ascii="仿宋" w:hAnsi="仿宋" w:eastAsia="仿宋" w:cs="仿宋"/>
          <w:b w:val="0"/>
          <w:bCs w:val="0"/>
          <w:spacing w:val="-4"/>
          <w:sz w:val="32"/>
          <w:szCs w:val="32"/>
          <w:lang w:eastAsia="zh-CN"/>
        </w:rPr>
        <w:t>相关</w:t>
      </w:r>
      <w:r>
        <w:rPr>
          <w:rStyle w:val="18"/>
          <w:rFonts w:hint="eastAsia" w:ascii="仿宋" w:hAnsi="仿宋" w:eastAsia="仿宋" w:cs="仿宋"/>
          <w:b w:val="0"/>
          <w:bCs w:val="0"/>
          <w:spacing w:val="-4"/>
          <w:sz w:val="32"/>
          <w:szCs w:val="32"/>
        </w:rPr>
        <w:t>文件，产生涉诉案件债务支付次数1次。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2.产出质量涉诉案件工作完成质量达标率,满分5分，得分5分，得分率100%。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w:t>
      </w:r>
      <w:r>
        <w:rPr>
          <w:rStyle w:val="18"/>
          <w:rFonts w:hint="eastAsia" w:ascii="仿宋" w:hAnsi="仿宋" w:eastAsia="仿宋" w:cs="仿宋"/>
          <w:b w:val="0"/>
          <w:bCs w:val="0"/>
          <w:spacing w:val="-4"/>
          <w:sz w:val="32"/>
          <w:szCs w:val="32"/>
          <w:lang w:eastAsia="zh-CN"/>
        </w:rPr>
        <w:t>相关</w:t>
      </w:r>
      <w:r>
        <w:rPr>
          <w:rStyle w:val="18"/>
          <w:rFonts w:hint="eastAsia" w:ascii="仿宋" w:hAnsi="仿宋" w:eastAsia="仿宋" w:cs="仿宋"/>
          <w:b w:val="0"/>
          <w:bCs w:val="0"/>
          <w:spacing w:val="-4"/>
          <w:sz w:val="32"/>
          <w:szCs w:val="32"/>
        </w:rPr>
        <w:t>文件要求，资金用于还涉诉款。有会议纪要，有领导批字，有财政拨款单，有哈密市歌舞团收款回单，符合财务审批管理流程。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涉诉债务支付及时率,满分5分，得分5分，得分率100%。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w:t>
      </w:r>
      <w:r>
        <w:rPr>
          <w:rStyle w:val="18"/>
          <w:rFonts w:hint="eastAsia" w:ascii="仿宋" w:hAnsi="仿宋" w:eastAsia="仿宋" w:cs="仿宋"/>
          <w:b w:val="0"/>
          <w:bCs w:val="0"/>
          <w:spacing w:val="-4"/>
          <w:sz w:val="32"/>
          <w:szCs w:val="32"/>
          <w:lang w:eastAsia="zh-CN"/>
        </w:rPr>
        <w:t>相关</w:t>
      </w:r>
      <w:r>
        <w:rPr>
          <w:rStyle w:val="18"/>
          <w:rFonts w:hint="eastAsia" w:ascii="仿宋" w:hAnsi="仿宋" w:eastAsia="仿宋" w:cs="仿宋"/>
          <w:b w:val="0"/>
          <w:bCs w:val="0"/>
          <w:spacing w:val="-4"/>
          <w:sz w:val="32"/>
          <w:szCs w:val="32"/>
        </w:rPr>
        <w:t>文件要求，由伊州区人民政府分两次支付，第一次于2023年6月15日前支付450万元，第二次于2024年年底支付407.12万元。伊州区歌舞团根据伊州区财政拨付诉讼款的到账情况，第一时间完成了向哈密市歌舞团支付407.12万元的相关财务手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涉诉案件债务费用，满分6分，得分6分，得分率100%。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w:t>
      </w:r>
      <w:r>
        <w:rPr>
          <w:rStyle w:val="18"/>
          <w:rFonts w:hint="eastAsia" w:ascii="仿宋" w:hAnsi="仿宋" w:eastAsia="仿宋" w:cs="仿宋"/>
          <w:b w:val="0"/>
          <w:bCs w:val="0"/>
          <w:spacing w:val="-4"/>
          <w:sz w:val="32"/>
          <w:szCs w:val="32"/>
          <w:lang w:eastAsia="zh-CN"/>
        </w:rPr>
        <w:t>相关</w:t>
      </w:r>
      <w:r>
        <w:rPr>
          <w:rStyle w:val="18"/>
          <w:rFonts w:hint="eastAsia" w:ascii="仿宋" w:hAnsi="仿宋" w:eastAsia="仿宋" w:cs="仿宋"/>
          <w:b w:val="0"/>
          <w:bCs w:val="0"/>
          <w:spacing w:val="-4"/>
          <w:sz w:val="32"/>
          <w:szCs w:val="32"/>
        </w:rPr>
        <w:t>文件要求，由伊州区人民政府分两次支付，第一次于2023年6月15日前支付450万元，第二次于2024年年底支付407.12万元。伊州区歌舞团根据文件精神需向哈密市歌舞团支付407.12万元，实际完成支付407.12万元，没有产生超额支付，也没有产生其他费用。</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四</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w:t>
      </w:r>
      <w:r>
        <w:rPr>
          <w:rStyle w:val="18"/>
          <w:rFonts w:hint="eastAsia" w:ascii="仿宋" w:hAnsi="仿宋" w:eastAsia="仿宋" w:cs="仿宋"/>
          <w:spacing w:val="-4"/>
          <w:sz w:val="32"/>
          <w:szCs w:val="32"/>
          <w:lang w:val="en-US" w:eastAsia="zh-CN"/>
        </w:rPr>
        <w:t>成本</w:t>
      </w:r>
      <w:r>
        <w:rPr>
          <w:rStyle w:val="18"/>
          <w:rFonts w:hint="eastAsia" w:ascii="仿宋" w:hAnsi="仿宋" w:eastAsia="仿宋" w:cs="仿宋"/>
          <w:spacing w:val="-4"/>
          <w:sz w:val="32"/>
          <w:szCs w:val="32"/>
        </w:rPr>
        <w:t>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消除债务隐患，满分30分，得分30分，得分率100%。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w:t>
      </w:r>
      <w:r>
        <w:rPr>
          <w:rStyle w:val="18"/>
          <w:rFonts w:hint="eastAsia" w:ascii="仿宋" w:hAnsi="仿宋" w:eastAsia="仿宋" w:cs="仿宋"/>
          <w:b w:val="0"/>
          <w:bCs w:val="0"/>
          <w:spacing w:val="-4"/>
          <w:sz w:val="32"/>
          <w:szCs w:val="32"/>
          <w:lang w:eastAsia="zh-CN"/>
        </w:rPr>
        <w:t>相关</w:t>
      </w:r>
      <w:r>
        <w:rPr>
          <w:rStyle w:val="18"/>
          <w:rFonts w:hint="eastAsia" w:ascii="仿宋" w:hAnsi="仿宋" w:eastAsia="仿宋" w:cs="仿宋"/>
          <w:b w:val="0"/>
          <w:bCs w:val="0"/>
          <w:spacing w:val="-4"/>
          <w:sz w:val="32"/>
          <w:szCs w:val="32"/>
        </w:rPr>
        <w:t>文件要求，由伊州区人民政府分两次支付，第一次于2023年6月15日前支付450万元，第二次于2024年年底支付407.12万元。伊州区歌舞团严格遵照相关文件批复要求，在2024年2月5日完成向哈密市歌舞团支付407.12万元，提高涉诉案件办结率，得到相关单位的高度认可。</w:t>
      </w:r>
    </w:p>
    <w:p>
      <w:pPr>
        <w:spacing w:line="540" w:lineRule="exact"/>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五</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项目效益情况</w:t>
      </w:r>
    </w:p>
    <w:p>
      <w:pPr>
        <w:spacing w:line="540" w:lineRule="exact"/>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五</w:t>
      </w:r>
      <w:r>
        <w:rPr>
          <w:rFonts w:hint="eastAsia" w:ascii="仿宋" w:hAnsi="仿宋" w:eastAsia="仿宋" w:cs="仿宋"/>
          <w:b/>
          <w:spacing w:val="-4"/>
          <w:sz w:val="32"/>
          <w:szCs w:val="32"/>
        </w:rPr>
        <w:t>）</w:t>
      </w:r>
      <w:r>
        <w:rPr>
          <w:rFonts w:hint="eastAsia" w:ascii="仿宋" w:hAnsi="仿宋" w:eastAsia="仿宋" w:cs="仿宋"/>
          <w:b/>
          <w:spacing w:val="-4"/>
          <w:sz w:val="32"/>
          <w:szCs w:val="32"/>
          <w:lang w:eastAsia="zh-CN"/>
        </w:rPr>
        <w:t>满意度</w:t>
      </w:r>
      <w:r>
        <w:rPr>
          <w:rStyle w:val="18"/>
          <w:rFonts w:hint="eastAsia" w:ascii="仿宋" w:hAnsi="仿宋" w:eastAsia="仿宋" w:cs="仿宋"/>
          <w:spacing w:val="-4"/>
          <w:sz w:val="32"/>
          <w:szCs w:val="32"/>
        </w:rPr>
        <w:t>情况</w:t>
      </w:r>
    </w:p>
    <w:p>
      <w:pPr>
        <w:spacing w:line="540" w:lineRule="exact"/>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涉诉案件相关人员满意度，满分8分，得分8分，得分率100%。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哈密歌舞团面向社会发放哈密歌舞团项目诉讼满意度调查报告12份，收回满意度调查报告12份，满意度指数97.22</w:t>
      </w:r>
      <w:r>
        <w:rPr>
          <w:rStyle w:val="18"/>
          <w:rFonts w:hint="eastAsia" w:ascii="仿宋" w:hAnsi="仿宋" w:eastAsia="仿宋" w:cs="仿宋"/>
          <w:b w:val="0"/>
          <w:bCs w:val="0"/>
          <w:spacing w:val="-4"/>
          <w:sz w:val="32"/>
          <w:szCs w:val="32"/>
          <w:lang w:val="en-US" w:eastAsia="zh-CN"/>
        </w:rPr>
        <w:t>%</w:t>
      </w:r>
      <w:r>
        <w:rPr>
          <w:rStyle w:val="18"/>
          <w:rFonts w:hint="eastAsia" w:ascii="仿宋" w:hAnsi="仿宋" w:eastAsia="仿宋" w:cs="仿宋"/>
          <w:b w:val="0"/>
          <w:bCs w:val="0"/>
          <w:spacing w:val="-4"/>
          <w:sz w:val="32"/>
          <w:szCs w:val="32"/>
        </w:rPr>
        <w:t>。</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五</w:t>
      </w:r>
      <w:r>
        <w:rPr>
          <w:rStyle w:val="18"/>
          <w:rFonts w:hint="eastAsia" w:ascii="仿宋" w:hAnsi="仿宋" w:eastAsia="仿宋" w:cs="仿宋"/>
          <w:b w:val="0"/>
          <w:spacing w:val="-4"/>
          <w:sz w:val="32"/>
          <w:szCs w:val="32"/>
        </w:rPr>
        <w:t>、主要经验及做法、存在的问题及原因分析</w:t>
      </w:r>
    </w:p>
    <w:p>
      <w:pPr>
        <w:spacing w:line="540" w:lineRule="exact"/>
        <w:rPr>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高度重视涉法涉诉案件并及时配合办理，不打折扣不拖延，积极维护伊州区歌舞团的单位形象。为提高哈密涉诉案件办结率，维护社会和谐稳定尽到应有的责任。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主要问题是年度总体目标设置合理性不高，预算绩效管理意识仍有待提高。</w:t>
      </w:r>
    </w:p>
    <w:p>
      <w:pPr>
        <w:spacing w:line="540" w:lineRule="exact"/>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u w:val="dotted"/>
          <w:lang w:val="en-US" w:eastAsia="zh-CN"/>
        </w:rPr>
        <w:t>六</w:t>
      </w:r>
      <w:r>
        <w:rPr>
          <w:rStyle w:val="18"/>
          <w:rFonts w:hint="eastAsia" w:ascii="仿宋" w:hAnsi="仿宋" w:eastAsia="仿宋" w:cs="仿宋"/>
          <w:b w:val="0"/>
          <w:spacing w:val="-4"/>
          <w:sz w:val="32"/>
          <w:szCs w:val="32"/>
        </w:rPr>
        <w:t>、有关建议</w:t>
      </w:r>
    </w:p>
    <w:p>
      <w:pPr>
        <w:spacing w:line="540" w:lineRule="exact"/>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建议提升预算绩效管理水平，首先我局按照全面实施预算绩效管理的要求，及时、准确填报项目支出绩效目标申报表，并确保绩效目标设定具有适当性，绩效指标表述规范、符合项目实际且可衡量。其次我局在后续工作中将加强对部门科室的绩效培训力度，推动科室业务工作开展的同时重视绩效管理，理解绩效基本概念，提高单位绩效工作质量。</w:t>
      </w:r>
    </w:p>
    <w:p>
      <w:pPr>
        <w:spacing w:line="540" w:lineRule="exact"/>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七</w:t>
      </w:r>
      <w:r>
        <w:rPr>
          <w:rStyle w:val="18"/>
          <w:rFonts w:hint="eastAsia" w:ascii="仿宋" w:hAnsi="仿宋" w:eastAsia="仿宋" w:cs="仿宋"/>
          <w:b w:val="0"/>
          <w:spacing w:val="-4"/>
          <w:sz w:val="32"/>
          <w:szCs w:val="32"/>
        </w:rPr>
        <w:t>、其他需要说明的问题</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无</w:t>
      </w:r>
    </w:p>
    <w:p>
      <w:pPr>
        <w:spacing w:line="540" w:lineRule="exact"/>
        <w:ind w:firstLine="567"/>
        <w:rPr>
          <w:rStyle w:val="18"/>
          <w:rFonts w:hint="eastAsia" w:ascii="仿宋" w:hAnsi="仿宋" w:eastAsia="仿宋" w:cs="仿宋"/>
          <w:b w:val="0"/>
          <w:spacing w:val="-4"/>
          <w:sz w:val="32"/>
          <w:szCs w:val="32"/>
        </w:rPr>
      </w:pPr>
      <w:bookmarkStart w:id="0" w:name="_GoBack"/>
      <w:bookmarkEnd w:id="0"/>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3FE3410"/>
    <w:rsid w:val="0856517C"/>
    <w:rsid w:val="0BFB189F"/>
    <w:rsid w:val="11BD75F7"/>
    <w:rsid w:val="13BE561A"/>
    <w:rsid w:val="15392994"/>
    <w:rsid w:val="15520B1A"/>
    <w:rsid w:val="18FE139B"/>
    <w:rsid w:val="2079656D"/>
    <w:rsid w:val="2BB71FC4"/>
    <w:rsid w:val="3029612C"/>
    <w:rsid w:val="32A221C5"/>
    <w:rsid w:val="33F20F2A"/>
    <w:rsid w:val="34C44675"/>
    <w:rsid w:val="36B82B23"/>
    <w:rsid w:val="3B5B5607"/>
    <w:rsid w:val="3CE21B3C"/>
    <w:rsid w:val="4D2606A1"/>
    <w:rsid w:val="4F8A611E"/>
    <w:rsid w:val="51830480"/>
    <w:rsid w:val="51EB6428"/>
    <w:rsid w:val="53A616BE"/>
    <w:rsid w:val="54662BFB"/>
    <w:rsid w:val="62051CA5"/>
    <w:rsid w:val="6772621F"/>
    <w:rsid w:val="67D65A96"/>
    <w:rsid w:val="6C33576A"/>
    <w:rsid w:val="6C3A69EF"/>
    <w:rsid w:val="6E413C07"/>
    <w:rsid w:val="7DB12889"/>
    <w:rsid w:val="7DD93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5844</Words>
  <Characters>6425</Characters>
  <Lines>5</Lines>
  <Paragraphs>1</Paragraphs>
  <TotalTime>20</TotalTime>
  <ScaleCrop>false</ScaleCrop>
  <LinksUpToDate>false</LinksUpToDate>
  <CharactersWithSpaces>6574</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2025-11-09T02:41:27Z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