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全口径项目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哈密市伊州区机关事务服务中心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哈密市伊州区机关事务服务中心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杜韦键</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40" w:lineRule="exact"/>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（一）项目概况</w:t>
      </w:r>
    </w:p>
    <w:p>
      <w:pPr>
        <w:spacing w:line="540" w:lineRule="exact"/>
        <w:ind w:left="312" w:hanging="312" w:hangingChars="1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1.项目背景</w:t>
      </w:r>
    </w:p>
    <w:p>
      <w:p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根据哈密市2009年第八次党政会议纪要，为了保障哈密市伊州区机关干部住房困难，更好地为哈密市伊州区的各项事业中做贡献，成立此项目。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2.主要内容及实施情况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严格按照《关于开展哈密市集资建房价格审定和办证工作的通知》（哈市建字〔2018〕82号）要求，进一步严格落实集资建房管理和办证工作。全区共17个小区、32栋干部集资建房，建筑总面积66.76万㎡，集资住宅房屋4175套。现有14个小区29栋楼3800户可正常办理分户不动产权证，我中心通过在各集资小区张贴《通告》、电话通知业主等方式积极推进办证工作。截至12月31日，已进行购房资格确认2658户，办理不动产权证1846本。经审核确定伊州区集资建房有29户住户存在购房资格认定不符合条件（重复享受），截至目前，已清退9户，其余20户正在催办清（退）房手续。</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3.资金投入和使用情况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全口径项目计划拨付1170万元，项目于2024年1月28日批复预算资金1170万元，截至2024年12月31日，项目用于化解全口径项目债务，项目资金支付</w:t>
      </w:r>
      <w:r>
        <w:rPr>
          <w:rStyle w:val="18"/>
          <w:rFonts w:hint="eastAsia" w:ascii="仿宋_GB2312" w:hAnsi="仿宋_GB2312" w:eastAsia="仿宋_GB2312" w:cs="仿宋_GB2312"/>
          <w:b w:val="0"/>
          <w:bCs w:val="0"/>
          <w:spacing w:val="-4"/>
          <w:sz w:val="32"/>
          <w:szCs w:val="32"/>
          <w:lang w:eastAsia="zh-CN"/>
        </w:rPr>
        <w:t>1169.22</w:t>
      </w:r>
      <w:r>
        <w:rPr>
          <w:rStyle w:val="18"/>
          <w:rFonts w:hint="eastAsia" w:ascii="仿宋_GB2312" w:hAnsi="仿宋_GB2312" w:eastAsia="仿宋_GB2312" w:cs="仿宋_GB2312"/>
          <w:b w:val="0"/>
          <w:bCs w:val="0"/>
          <w:spacing w:val="-4"/>
          <w:sz w:val="32"/>
          <w:szCs w:val="32"/>
        </w:rPr>
        <w:t>万元，资金到位率100%，预算执行率为99.9%。</w:t>
      </w:r>
    </w:p>
    <w:p>
      <w:pPr>
        <w:spacing w:line="540" w:lineRule="exact"/>
        <w:ind w:firstLine="567"/>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（二）项目绩效目标</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本项目总体目标为：该项目计划投入1170万元，19个全口径项目债务化解，保障债权人的权益。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根据《自治区财政支出绩效评价管理暂行办法》（新财预〔2018〕189号）等文件精神，结合项目相关信息，将年度目标细化分解，最终确定该项目阶段性目标如下：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根据《自治区财政支出绩效评价管理暂行办法》（新财预〔2018〕189号）等文件精神，结合项目相关信息，将年度目标细化分解，最终确定该项目阶段性目标如下：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1.产出指标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数量指标：偿还欠款项目数量不低于19个；</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质量指标：还款资金发放准确率达到100%；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时效指标：偿还欠款完成及时率达到100%。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2.成本指标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经济成本指标：偿还基本建设类项目费用不高于580万元；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经济成本指标：偿还办公用房施工类项目费用不高于500万元；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经济成本指标：偿还材料支出费用不高于90万元。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社会效益指标：保障债权人的权益。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4.满意度指标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满意度指标：债权人满意度满意度不低于95%。</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二、绩效评价工作开展情况</w:t>
      </w:r>
    </w:p>
    <w:p>
      <w:pPr>
        <w:spacing w:line="540" w:lineRule="exact"/>
        <w:ind w:firstLine="567" w:firstLineChars="181"/>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（一）绩效评价目的、对象和范围</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我单位根据《自治区财政支出绩效评价管理暂行办法》（新财预〔2018〕189号）文件精神，对全口径项目绩效目标实现情况进行自评。</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ind w:firstLine="567"/>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（二）绩效评价原则、评价指标体系、评价方法、评价标准</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1.绩效评价原则</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（1）科学公正。绩效评价应当运用科学合理的方法，按照规范的程序，对项目绩效进行客观、公正的反映。</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（4）公开透明。绩效评价结果应依法依规公开，并自觉接受社会监督。</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2.评价指标体系</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（1）项目决策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项目立项：立项依据充分性，权重4分。；立项程序规范性，权重2分。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绩效目标：绩效目标明确性，权重4分；绩效目标合理性，权重4分。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预算编制：测算标准合理性，权重3分；测算过程细化度，权重2分。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（2）项目过程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资金管理：资金到位率，权重6分；预算执行率，权重6分。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组织实施：资金使用合规性，权重4分；管理制度健全性，权重4分，制度执行有效性，权重3分。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（3）项目产出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数量指标：偿还欠款项目数量，权重6分；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质量指标：还款资金发放准确率，权重5分；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时效指标：偿还欠款完成及时率，权重5分。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成本指标：偿还基本建设类项目费用，权重2分；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成本指标：偿还办公用房施工类项目费用，权重2分；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成本指标：偿还材料支出费用，权重2分。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社会效益指标：保障债权人的权益，权重30分。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（4）满意度指标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服务对象满意度指标：债权人满意度，权重8分。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3.评价方法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全口径项目绩效评价主要通过项目单位自评、主管部门监督、财政部门参评的方式开展绩效评价工作。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绩效评价的方法主要包括：成本效益分析法、比较法、因素分析法、最低成本法、公众评判法、核实法等。根据评价指标的具体情况，可采用一种或多种方法。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（1）成本效益分析法。是指将投入与产出、效益进行关联性分析的方法。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（2）比较法。是指将实施情况与绩效目标、历史情况、不同部门和地区同类支出情况进行比较的方法。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（3）因素分析法。是指综合分析影响绩效目标实现、实施效果的内外部因素的方法。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（4）最低成本法。是指在绩效目标确定的前提下，成本最小者为优的方法。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（5）公众评判法。是指通过专家评估、公众问卷及抽样调查等方式进行评判的方法。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（6）核实法。是收集包括书面资料及以外的信息以证实书面资料及其所反映经济活动的真实，合法，合理，有效和正确的方法。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4.评价标准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绩效评价标准通常包括计划标准、行业标准、历史标准等，用于对绩效指标完成情况进行比较。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单位自评采用定量与定性评价相结合的比较法，总分由各项指标得分汇总形成。</w:t>
      </w:r>
    </w:p>
    <w:p>
      <w:pPr>
        <w:spacing w:line="540" w:lineRule="exact"/>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（三）绩效评价工作过程</w:t>
      </w:r>
    </w:p>
    <w:p>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1.前期准备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（2）采取“年初绩效目标预定与实施效果比较法”进行评价，评价指标体系以绩效目标申报指标为依据。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2.组织过程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（1）项目全过程资料档案复核</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（2）检查内容和过程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发放调查问卷开展全口径项目满意度调查工作。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（3）撰写报告情况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根据所搜集的印证材料，按绩效评价原理和指标体系进行分析、评价和汇总，撰写绩效自评报告，并在规定时间上报。</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三、综合评价情况及评价结论</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本次项目自评满分100分，自评得分99.</w:t>
      </w:r>
      <w:r>
        <w:rPr>
          <w:rStyle w:val="18"/>
          <w:rFonts w:hint="eastAsia" w:ascii="仿宋_GB2312" w:hAnsi="仿宋_GB2312" w:eastAsia="仿宋_GB2312" w:cs="仿宋_GB2312"/>
          <w:b w:val="0"/>
          <w:bCs w:val="0"/>
          <w:spacing w:val="-4"/>
          <w:sz w:val="32"/>
          <w:szCs w:val="32"/>
          <w:lang w:val="en-US" w:eastAsia="zh-CN"/>
        </w:rPr>
        <w:t>96</w:t>
      </w:r>
      <w:r>
        <w:rPr>
          <w:rStyle w:val="18"/>
          <w:rFonts w:hint="eastAsia" w:ascii="仿宋_GB2312" w:hAnsi="仿宋_GB2312" w:eastAsia="仿宋_GB2312" w:cs="仿宋_GB2312"/>
          <w:b w:val="0"/>
          <w:bCs w:val="0"/>
          <w:spacing w:val="-4"/>
          <w:sz w:val="32"/>
          <w:szCs w:val="32"/>
        </w:rPr>
        <w:t>分，自评结果为“优”，其中项目决策得分17分，项目过程得分22.9分，项目产出得分21.98分，项目效益得分30分，项目满意度得分8分。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综合评价结论：项目决策方面，项目立项依据是哈密市2009年第八次党政会议纪要，为了保障哈密市伊州区机关干部住房困难，更好地为哈密市伊州区的各项事业中做贡献，成立此项目；该项目所需财政资金能够足额拨付到位，牵头单位能够及时足额按照合同约定将专项资金拨付给单位；本项目预算编制较为详细，预算资金1170万元，实际执行</w:t>
      </w:r>
      <w:r>
        <w:rPr>
          <w:rStyle w:val="18"/>
          <w:rFonts w:hint="eastAsia" w:ascii="仿宋_GB2312" w:hAnsi="仿宋_GB2312" w:eastAsia="仿宋_GB2312" w:cs="仿宋_GB2312"/>
          <w:b w:val="0"/>
          <w:bCs w:val="0"/>
          <w:spacing w:val="-4"/>
          <w:sz w:val="32"/>
          <w:szCs w:val="32"/>
          <w:lang w:eastAsia="zh-CN"/>
        </w:rPr>
        <w:t>1169.22</w:t>
      </w:r>
      <w:r>
        <w:rPr>
          <w:rStyle w:val="18"/>
          <w:rFonts w:hint="eastAsia" w:ascii="仿宋_GB2312" w:hAnsi="仿宋_GB2312" w:eastAsia="仿宋_GB2312" w:cs="仿宋_GB2312"/>
          <w:b w:val="0"/>
          <w:bCs w:val="0"/>
          <w:spacing w:val="-4"/>
          <w:sz w:val="32"/>
          <w:szCs w:val="32"/>
        </w:rPr>
        <w:t>万元，资金到位率100%，预算执行率为99.9%，扣0.01分。项目产出方面，包括产出数量指标1条，偿还欠款项目数量19个，保障债权人的权益；产出质量指标1条，还款资金发放准确率等于100%，保障还款资金准确发放；产出时效指标1条，偿还欠款完成及时率等于100%，保障及时偿还欠款；产出成本指标3条，根据年初工作计划，实际偿还基本建设类项目费用580万元，保障基本建设类项目欠款足额偿还，偿还办公用房施工类项目费用500万元，保障办公用房施工类项目欠款足额偿还，偿还材料支出费用89.22万元，低于预期指标，扣0.02分；项目效益方面，债权人的效益得到有效保障；项目满意度方面，共计发放满意度调查问卷19份，回收19份，债权人满意度100%。</w:t>
      </w:r>
    </w:p>
    <w:p>
      <w:pPr>
        <w:spacing w:line="540" w:lineRule="exact"/>
        <w:rPr>
          <w:rStyle w:val="18"/>
          <w:rFonts w:hint="eastAsia" w:ascii="仿宋_GB2312" w:hAnsi="仿宋_GB2312" w:eastAsia="仿宋_GB2312" w:cs="仿宋_GB2312"/>
          <w:sz w:val="32"/>
          <w:szCs w:val="32"/>
        </w:rPr>
      </w:pPr>
      <w:r>
        <w:rPr>
          <w:rStyle w:val="18"/>
          <w:rFonts w:hint="eastAsia" w:ascii="仿宋_GB2312" w:hAnsi="仿宋_GB2312" w:eastAsia="仿宋_GB2312" w:cs="仿宋_GB2312"/>
          <w:b w:val="0"/>
          <w:spacing w:val="-4"/>
          <w:sz w:val="32"/>
          <w:szCs w:val="32"/>
        </w:rPr>
        <w:t>四、绩效评价指标分析</w:t>
      </w:r>
      <w:r>
        <w:rPr>
          <w:rStyle w:val="18"/>
          <w:rFonts w:hint="eastAsia" w:ascii="仿宋_GB2312" w:hAnsi="仿宋_GB2312" w:eastAsia="仿宋_GB2312" w:cs="仿宋_GB2312"/>
          <w:sz w:val="32"/>
          <w:szCs w:val="32"/>
        </w:rPr>
        <w:t xml:space="preserve"> </w:t>
      </w:r>
    </w:p>
    <w:p>
      <w:pPr>
        <w:spacing w:line="540" w:lineRule="exact"/>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（一）</w:t>
      </w:r>
      <w:r>
        <w:rPr>
          <w:rStyle w:val="18"/>
          <w:rFonts w:hint="eastAsia" w:ascii="仿宋_GB2312" w:hAnsi="仿宋_GB2312" w:eastAsia="仿宋_GB2312" w:cs="仿宋_GB2312"/>
          <w:spacing w:val="-4"/>
          <w:sz w:val="32"/>
          <w:szCs w:val="32"/>
        </w:rPr>
        <w:t>项目决策情况</w:t>
      </w:r>
    </w:p>
    <w:p>
      <w:pPr>
        <w:tabs>
          <w:tab w:val="center" w:pos="4295"/>
        </w:tabs>
        <w:spacing w:line="540" w:lineRule="exact"/>
        <w:ind w:firstLine="567"/>
        <w:rPr>
          <w:rStyle w:val="18"/>
          <w:rFonts w:hint="eastAsia" w:ascii="仿宋_GB2312" w:hAnsi="仿宋_GB2312" w:eastAsia="仿宋_GB2312" w:cs="仿宋_GB2312"/>
          <w:b w:val="0"/>
          <w:bCs w:val="0"/>
          <w:spacing w:val="-4"/>
          <w:sz w:val="32"/>
          <w:szCs w:val="32"/>
          <w:lang w:eastAsia="zh-CN"/>
        </w:rPr>
      </w:pPr>
      <w:r>
        <w:rPr>
          <w:rStyle w:val="18"/>
          <w:rFonts w:hint="eastAsia" w:ascii="仿宋_GB2312" w:hAnsi="仿宋_GB2312" w:eastAsia="仿宋_GB2312" w:cs="仿宋_GB2312"/>
          <w:b w:val="0"/>
          <w:bCs w:val="0"/>
          <w:spacing w:val="-4"/>
          <w:sz w:val="32"/>
          <w:szCs w:val="32"/>
        </w:rPr>
        <w:t>1.项目立项</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立项依据充分性，满分2分，得分2分，得分率100%。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立项依据是哈密市2009年第八次党政会议纪要,为了保障哈密市伊州区机关干部住房困难，更好地为哈密市伊州区的各项事业中做贡献，成立此项目。项目立项符合国家法律法规、自治区和地区行业发展规划和政策要求，属于本部门履职所需。</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（2）立项程序规范性，满分2分，得分2分，得分率100%。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项目立项符合规定程序，审批文件等材料合规、完整，有完整的评估程序和集体决策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2.绩效目标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（1）绩效目标明确性，满分4分，得分4分，得分率100%。                            绩效目标设立清晰、细化、可衡量。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（2）绩效目标合理性，满分4分，得分4分，得分率100%。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本项目制定了项目支出绩效目标，明确了项目总体思路及总目标、并对项目任务进行了详细分解，对目标进行了细化。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3.预算编制</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（1）测算标准合理性，满分3分，得分3分，得分率100%。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预算测算内容符合相关政策文件规定和相关行业、领域管理标准；预算测算使用部门自行制定的支出标准，符合上级管理部门的标准或社会实际支出水平。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（2）测算过程细化度，满分2分，得分2分，得分率100%。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本项目已将项目绩效目标细化分解为具体的绩效指标，并通过清晰、可衡量的指标值予以体现，与项目计划数相对应。</w:t>
      </w:r>
      <w:r>
        <w:rPr>
          <w:rStyle w:val="18"/>
          <w:rFonts w:hint="eastAsia" w:ascii="仿宋_GB2312" w:hAnsi="仿宋_GB2312" w:eastAsia="仿宋_GB2312" w:cs="仿宋_GB2312"/>
          <w:b w:val="0"/>
          <w:bCs w:val="0"/>
          <w:spacing w:val="-4"/>
          <w:sz w:val="32"/>
          <w:szCs w:val="32"/>
          <w:lang w:eastAsia="zh-CN"/>
        </w:rPr>
        <w:tab/>
      </w:r>
    </w:p>
    <w:p>
      <w:pPr>
        <w:spacing w:line="540" w:lineRule="exact"/>
        <w:ind w:firstLine="567" w:firstLineChars="181"/>
        <w:rPr>
          <w:rStyle w:val="18"/>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二</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项目过程情况</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1.资金管理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（1）资金到位率，满分6分，得分6分，得分率100%。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根据伊州区化债工作会议要求，全口径项目经费要及时足额支付，资金到位率100%。按照全口径项目支付计划，牵头单位能够及时足额按照合同约定将专项资金拨付给单位，资金到位率100%。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（2）预算执行率，满分6分，得分5.99分，得分率99.83%。</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根据年初工作计划，本项目预算编制较为详细，预算资金1170万元，实际执行</w:t>
      </w:r>
      <w:r>
        <w:rPr>
          <w:rStyle w:val="18"/>
          <w:rFonts w:hint="eastAsia" w:ascii="仿宋_GB2312" w:hAnsi="仿宋_GB2312" w:eastAsia="仿宋_GB2312" w:cs="仿宋_GB2312"/>
          <w:b w:val="0"/>
          <w:bCs w:val="0"/>
          <w:spacing w:val="-4"/>
          <w:sz w:val="32"/>
          <w:szCs w:val="32"/>
          <w:lang w:eastAsia="zh-CN"/>
        </w:rPr>
        <w:t>1169.22</w:t>
      </w:r>
      <w:r>
        <w:rPr>
          <w:rStyle w:val="18"/>
          <w:rFonts w:hint="eastAsia" w:ascii="仿宋_GB2312" w:hAnsi="仿宋_GB2312" w:eastAsia="仿宋_GB2312" w:cs="仿宋_GB2312"/>
          <w:b w:val="0"/>
          <w:bCs w:val="0"/>
          <w:spacing w:val="-4"/>
          <w:sz w:val="32"/>
          <w:szCs w:val="32"/>
        </w:rPr>
        <w:t>万元，预算执行率为99.9%。</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2.组织实施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（1）资金使用合规性，满分4分，得分4分，得分率100%。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项目资金使用符合政府会计制度的相关规定，各项拨付</w:t>
      </w:r>
      <w:r>
        <w:rPr>
          <w:rStyle w:val="18"/>
          <w:rFonts w:hint="eastAsia" w:ascii="仿宋_GB2312" w:hAnsi="仿宋_GB2312" w:eastAsia="仿宋_GB2312" w:cs="仿宋_GB2312"/>
          <w:b w:val="0"/>
          <w:bCs w:val="0"/>
          <w:spacing w:val="-4"/>
          <w:sz w:val="32"/>
          <w:szCs w:val="32"/>
          <w:lang w:eastAsia="zh-CN"/>
        </w:rPr>
        <w:t>经</w:t>
      </w:r>
      <w:r>
        <w:rPr>
          <w:rStyle w:val="18"/>
          <w:rFonts w:hint="eastAsia" w:ascii="仿宋_GB2312" w:hAnsi="仿宋_GB2312" w:eastAsia="仿宋_GB2312" w:cs="仿宋_GB2312"/>
          <w:b w:val="0"/>
          <w:bCs w:val="0"/>
          <w:spacing w:val="-4"/>
          <w:sz w:val="32"/>
          <w:szCs w:val="32"/>
        </w:rPr>
        <w:t>领导审批，有完整的审批手续，项目支出不存在截留、挤占、挪用、虚列支出等情况，本年度审计、巡视、财政巡察未发现违规问题。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（2）管理制度健全性，满分4分，得分4分，得分率100%。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项目任务下达后，我单位制定了《伊州区机关事务服务中心单位资金管理办法》、《伊州区机关事务服务中心单位预算绩效管理办法》等制度和管理规定对经费使用进行规范管理，财务制度健全、执行严格。</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（3）制度执行有效性，满分3分，得分3分，得分率100%。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由部门提出经费预算支出可行性方案，经过与区政府分管领导沟通后，报党组会议研究执行，财务对资金的使用合法合规性进行监督，年底对资金使用效果进行自评。</w:t>
      </w:r>
    </w:p>
    <w:p>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三</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项目产出情况</w:t>
      </w:r>
    </w:p>
    <w:p>
      <w:pPr>
        <w:spacing w:line="540" w:lineRule="exact"/>
        <w:ind w:left="319" w:leftChars="152" w:firstLine="530" w:firstLineChars="17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1.产出数量</w:t>
      </w:r>
    </w:p>
    <w:p>
      <w:pPr>
        <w:spacing w:line="540" w:lineRule="exact"/>
        <w:ind w:left="319" w:leftChars="152" w:firstLine="530" w:firstLineChars="17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偿还欠款项目数量，满分6分，得分6分，得分率100%。                             根据伊州区全口径化债工作要求，设置偿还欠款项目数量不少于19个。根据实际偿还欠款项目数量19个，通过偿还19个欠款项目，有效保障了债权人的权益，完成率100%。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2.产出质量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还款资金发放准确率，满分5分，得分5分，得分率100%。                           根据还款资金发放准确率等于100%，根据实际还款情况，资金发放准确率等于100%。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3.产出时效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偿还欠款完成及时率，满分5分，得分5分，得分率100%。                           根据全口径项目支出计划，偿还欠款完成及时率等于100%。通过资金及时拨付，有效保障全口径项目还款工作正常开展，偿还欠款完成及时率100%。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4.产出成本</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（1）偿还基本建设类项目费用，满分2分，得分2分，得分率100%。根据伊州区全口径化债工作要求，偿还基本建设类项目费用小于等于580万元，根据实际偿还基本建设类项目费用等于580万元，完成率100%。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偿还办公用房施工类项目费用，满分2分，得分2分，得分率100%。根据伊州区全口径化债工作要求，偿还办公用房施工类项目费用小于等于500万元，根据实际偿还办公用房施工类项目费用等于500万元，完成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（1）偿还材料支出费用，满分2分，得分1.98分，得分率99%。根据伊州区全口径化债工作要求，偿还材料支出费用小于等于90万元，根据实际偿还办公用房施工类项目费用等于89.22万元，完成率99.13%。</w:t>
      </w:r>
    </w:p>
    <w:p>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四</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w:t>
      </w:r>
      <w:r>
        <w:rPr>
          <w:rStyle w:val="18"/>
          <w:rFonts w:hint="eastAsia" w:ascii="仿宋_GB2312" w:hAnsi="仿宋_GB2312" w:eastAsia="仿宋_GB2312" w:cs="仿宋_GB2312"/>
          <w:spacing w:val="-4"/>
          <w:sz w:val="32"/>
          <w:szCs w:val="32"/>
          <w:lang w:val="en-US" w:eastAsia="zh-CN"/>
        </w:rPr>
        <w:t>成本</w:t>
      </w:r>
      <w:r>
        <w:rPr>
          <w:rStyle w:val="18"/>
          <w:rFonts w:hint="eastAsia" w:ascii="仿宋_GB2312" w:hAnsi="仿宋_GB2312" w:eastAsia="仿宋_GB2312" w:cs="仿宋_GB2312"/>
          <w:spacing w:val="-4"/>
          <w:sz w:val="32"/>
          <w:szCs w:val="32"/>
        </w:rPr>
        <w:t>情况</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1.社会效益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保障债权人的权益，满分30分，得分30分，得分率100%，根据年初工作计划通过全口径项目有效保障债权人权益，通过全口径项目的实施，全面落实伊州区财政局化债工作的各项决策部署，有效保障债权人的权益，完成率100%。</w:t>
      </w:r>
    </w:p>
    <w:p>
      <w:pPr>
        <w:spacing w:line="540" w:lineRule="exact"/>
        <w:ind w:firstLine="567" w:firstLineChars="181"/>
        <w:rPr>
          <w:rStyle w:val="18"/>
          <w:rFonts w:hint="eastAsia" w:ascii="仿宋_GB2312" w:hAnsi="仿宋_GB2312" w:eastAsia="仿宋_GB2312" w:cs="仿宋_GB2312"/>
          <w:b w:val="0"/>
          <w:bCs w:val="0"/>
          <w:spacing w:val="-4"/>
          <w:sz w:val="32"/>
          <w:szCs w:val="32"/>
          <w:lang w:val="en-US" w:eastAsia="zh-CN"/>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五</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项目效益情况</w:t>
      </w:r>
    </w:p>
    <w:p>
      <w:pPr>
        <w:spacing w:line="540" w:lineRule="exact"/>
        <w:ind w:firstLine="567" w:firstLineChars="181"/>
        <w:rPr>
          <w:rStyle w:val="18"/>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六</w:t>
      </w: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eastAsia="zh-CN"/>
        </w:rPr>
        <w:t>满意度</w:t>
      </w:r>
      <w:r>
        <w:rPr>
          <w:rStyle w:val="18"/>
          <w:rFonts w:hint="eastAsia" w:ascii="仿宋_GB2312" w:hAnsi="仿宋_GB2312" w:eastAsia="仿宋_GB2312" w:cs="仿宋_GB2312"/>
          <w:spacing w:val="-4"/>
          <w:sz w:val="32"/>
          <w:szCs w:val="32"/>
        </w:rPr>
        <w:t>情况</w:t>
      </w:r>
    </w:p>
    <w:p>
      <w:pPr>
        <w:spacing w:line="540" w:lineRule="exact"/>
        <w:ind w:firstLine="567"/>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服务对象满意度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债权人满意度，满分8分，得分8分，得分率100%，根据年初工作计划债权人满意度不低于95%，通过发全口径项目满意度调查问卷19份，收回有效问卷19份，其中对我单位开展全口径项目工作满意的19份，不满意的0份，服务对象满意度100%。</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lang w:val="en-US" w:eastAsia="zh-CN"/>
        </w:rPr>
        <w:t>五</w:t>
      </w:r>
      <w:r>
        <w:rPr>
          <w:rStyle w:val="18"/>
          <w:rFonts w:hint="eastAsia" w:ascii="仿宋_GB2312" w:hAnsi="仿宋_GB2312" w:eastAsia="仿宋_GB2312" w:cs="仿宋_GB2312"/>
          <w:b w:val="0"/>
          <w:spacing w:val="-4"/>
          <w:sz w:val="32"/>
          <w:szCs w:val="32"/>
        </w:rPr>
        <w:t>、主要经验及做法、存在的问题及原因分析</w:t>
      </w:r>
    </w:p>
    <w:p>
      <w:pPr>
        <w:spacing w:line="540" w:lineRule="exact"/>
        <w:rPr>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（一）主要经验及做法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1.聚焦重点任务，推动项目工作落地落实</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2.坚持问题导向，加强执行监控，提高资金效益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3.强化绩效目标刚性约束，及时对项目进行跟踪问效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（二）存在问题及原因分析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绩效预算认识不够充分，绩效理念有待进一步强化。部门绩效管理理念尚未牢固树立，绩效管理专业人员匮乏。单位对全面实施绩效管理认识不够，绩效水平不高，时效指标资金拨付及时率设置不合理，单位内部绩效管理工作力量薄弱，多数以财务人员牵头开展绩效管理，工作推动机制不</w:t>
      </w:r>
      <w:r>
        <w:rPr>
          <w:rStyle w:val="18"/>
          <w:rFonts w:hint="eastAsia" w:ascii="仿宋_GB2312" w:hAnsi="仿宋_GB2312" w:eastAsia="仿宋_GB2312" w:cs="仿宋_GB2312"/>
          <w:b w:val="0"/>
          <w:bCs w:val="0"/>
          <w:spacing w:val="-4"/>
          <w:sz w:val="32"/>
          <w:szCs w:val="32"/>
          <w:lang w:eastAsia="zh-CN"/>
        </w:rPr>
        <w:t>健</w:t>
      </w:r>
      <w:r>
        <w:rPr>
          <w:rStyle w:val="18"/>
          <w:rFonts w:hint="eastAsia" w:ascii="仿宋_GB2312" w:hAnsi="仿宋_GB2312" w:eastAsia="仿宋_GB2312" w:cs="仿宋_GB2312"/>
          <w:b w:val="0"/>
          <w:bCs w:val="0"/>
          <w:spacing w:val="-4"/>
          <w:sz w:val="32"/>
          <w:szCs w:val="32"/>
        </w:rPr>
        <w:t>全，业务人员业务能力和素质还有待进一步提升。</w:t>
      </w:r>
    </w:p>
    <w:p>
      <w:pPr>
        <w:spacing w:line="540" w:lineRule="exact"/>
        <w:rPr>
          <w:rStyle w:val="18"/>
          <w:rFonts w:hint="eastAsia" w:ascii="黑体" w:hAnsi="黑体" w:eastAsia="黑体" w:cs="黑体"/>
          <w:b w:val="0"/>
          <w:spacing w:val="-4"/>
          <w:sz w:val="36"/>
          <w:szCs w:val="36"/>
          <w:lang w:val="en-US" w:eastAsia="zh-CN"/>
        </w:rPr>
      </w:pPr>
      <w:r>
        <w:rPr>
          <w:rStyle w:val="18"/>
          <w:rFonts w:hint="eastAsia" w:ascii="黑体" w:hAnsi="黑体" w:eastAsia="黑体" w:cs="黑体"/>
          <w:b w:val="0"/>
          <w:spacing w:val="-4"/>
          <w:sz w:val="36"/>
          <w:szCs w:val="36"/>
          <w:lang w:val="en-US" w:eastAsia="zh-CN"/>
        </w:rPr>
        <w:t>六、有关建议</w:t>
      </w:r>
    </w:p>
    <w:p>
      <w:pPr>
        <w:spacing w:line="540" w:lineRule="exact"/>
        <w:ind w:firstLine="567"/>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（一）加强培训，提高相关人员工作水平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采取多种培训形式对单位财务人员、业务科室人员</w:t>
      </w:r>
      <w:bookmarkStart w:id="0" w:name="_GoBack"/>
      <w:bookmarkEnd w:id="0"/>
      <w:r>
        <w:rPr>
          <w:rStyle w:val="18"/>
          <w:rFonts w:hint="eastAsia" w:ascii="仿宋_GB2312" w:hAnsi="仿宋_GB2312" w:eastAsia="仿宋_GB2312" w:cs="仿宋_GB2312"/>
          <w:b w:val="0"/>
          <w:bCs w:val="0"/>
          <w:spacing w:val="-4"/>
          <w:sz w:val="32"/>
          <w:szCs w:val="32"/>
        </w:rPr>
        <w:t>进行集中培训，进一步树牢绩效观念，提高本单位工作人员的绩效管理能力和工作水平，为预算绩效管理相关工作的顺利开展提供保障。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（二）高度重视，加强领导</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rPr>
          <w:rStyle w:val="18"/>
          <w:rFonts w:hint="eastAsia" w:ascii="黑体" w:hAnsi="黑体" w:eastAsia="黑体" w:cs="黑体"/>
          <w:b w:val="0"/>
          <w:spacing w:val="-4"/>
          <w:sz w:val="36"/>
          <w:szCs w:val="36"/>
        </w:rPr>
      </w:pPr>
      <w:r>
        <w:rPr>
          <w:rStyle w:val="18"/>
          <w:rFonts w:hint="eastAsia" w:ascii="黑体" w:hAnsi="黑体" w:eastAsia="黑体" w:cs="黑体"/>
          <w:b w:val="0"/>
          <w:spacing w:val="-4"/>
          <w:sz w:val="36"/>
          <w:szCs w:val="36"/>
          <w:lang w:val="en-US" w:eastAsia="zh-CN"/>
        </w:rPr>
        <w:t>七</w:t>
      </w:r>
      <w:r>
        <w:rPr>
          <w:rStyle w:val="18"/>
          <w:rFonts w:hint="eastAsia" w:ascii="黑体" w:hAnsi="黑体" w:eastAsia="黑体" w:cs="黑体"/>
          <w:b w:val="0"/>
          <w:spacing w:val="-4"/>
          <w:sz w:val="36"/>
          <w:szCs w:val="36"/>
        </w:rPr>
        <w:t>、其他需要说明的问题</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无</w:t>
      </w: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2E60761"/>
    <w:rsid w:val="0856517C"/>
    <w:rsid w:val="0BFB189F"/>
    <w:rsid w:val="11BD75F7"/>
    <w:rsid w:val="13BE561A"/>
    <w:rsid w:val="15392994"/>
    <w:rsid w:val="15520B1A"/>
    <w:rsid w:val="18FE139B"/>
    <w:rsid w:val="2F4A386E"/>
    <w:rsid w:val="3029612C"/>
    <w:rsid w:val="32A221C5"/>
    <w:rsid w:val="33F20F2A"/>
    <w:rsid w:val="34C44675"/>
    <w:rsid w:val="36B82B23"/>
    <w:rsid w:val="3B5B5607"/>
    <w:rsid w:val="3CE21B3C"/>
    <w:rsid w:val="4D2606A1"/>
    <w:rsid w:val="4F8A611E"/>
    <w:rsid w:val="51830480"/>
    <w:rsid w:val="51EB6428"/>
    <w:rsid w:val="53A616BE"/>
    <w:rsid w:val="54662BFB"/>
    <w:rsid w:val="62051CA5"/>
    <w:rsid w:val="655F3798"/>
    <w:rsid w:val="6772621F"/>
    <w:rsid w:val="67D65A96"/>
    <w:rsid w:val="6C33576A"/>
    <w:rsid w:val="6C3A69EF"/>
    <w:rsid w:val="6E413C07"/>
    <w:rsid w:val="71062E93"/>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5962</Words>
  <Characters>6300</Characters>
  <Lines>5</Lines>
  <Paragraphs>1</Paragraphs>
  <TotalTime>10</TotalTime>
  <ScaleCrop>false</ScaleCrop>
  <LinksUpToDate>false</LinksUpToDate>
  <CharactersWithSpaces>6425</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guoku</cp:lastModifiedBy>
  <cp:lastPrinted>2018-12-31T10:56:00Z</cp:lastPrinted>
  <dcterms:modified xsi:type="dcterms:W3CDTF">2025-11-06T14:46:59Z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