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DC9B8A">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5A3BC7B7">
      <w:pPr>
        <w:spacing w:line="540" w:lineRule="exact"/>
        <w:jc w:val="center"/>
        <w:rPr>
          <w:rFonts w:ascii="华文中宋" w:hAnsi="华文中宋" w:eastAsia="华文中宋" w:cs="宋体"/>
          <w:b/>
          <w:kern w:val="0"/>
          <w:sz w:val="52"/>
          <w:szCs w:val="52"/>
        </w:rPr>
      </w:pPr>
    </w:p>
    <w:p w14:paraId="2F68C82F">
      <w:pPr>
        <w:spacing w:line="540" w:lineRule="exact"/>
        <w:jc w:val="center"/>
        <w:rPr>
          <w:rFonts w:ascii="华文中宋" w:hAnsi="华文中宋" w:eastAsia="华文中宋" w:cs="宋体"/>
          <w:b/>
          <w:kern w:val="0"/>
          <w:sz w:val="52"/>
          <w:szCs w:val="52"/>
        </w:rPr>
      </w:pPr>
    </w:p>
    <w:p w14:paraId="09499C7A">
      <w:pPr>
        <w:spacing w:line="540" w:lineRule="exact"/>
        <w:jc w:val="center"/>
        <w:rPr>
          <w:rFonts w:ascii="华文中宋" w:hAnsi="华文中宋" w:eastAsia="华文中宋" w:cs="宋体"/>
          <w:b/>
          <w:kern w:val="0"/>
          <w:sz w:val="52"/>
          <w:szCs w:val="52"/>
        </w:rPr>
      </w:pPr>
    </w:p>
    <w:p w14:paraId="2E01EAFA">
      <w:pPr>
        <w:spacing w:line="540" w:lineRule="exact"/>
        <w:jc w:val="center"/>
        <w:rPr>
          <w:rFonts w:hint="eastAsia" w:ascii="华文中宋" w:hAnsi="华文中宋" w:eastAsia="华文中宋" w:cs="宋体"/>
          <w:b/>
          <w:kern w:val="0"/>
          <w:sz w:val="52"/>
          <w:szCs w:val="52"/>
          <w:lang w:eastAsia="zh-CN"/>
        </w:rPr>
      </w:pPr>
    </w:p>
    <w:p w14:paraId="33ACD65A">
      <w:pPr>
        <w:spacing w:line="540" w:lineRule="exact"/>
        <w:jc w:val="center"/>
        <w:rPr>
          <w:rFonts w:ascii="华文中宋" w:hAnsi="华文中宋" w:eastAsia="华文中宋" w:cs="宋体"/>
          <w:b/>
          <w:kern w:val="0"/>
          <w:sz w:val="52"/>
          <w:szCs w:val="52"/>
        </w:rPr>
      </w:pPr>
    </w:p>
    <w:p w14:paraId="13A93DAB">
      <w:pPr>
        <w:spacing w:line="540" w:lineRule="exact"/>
        <w:jc w:val="center"/>
        <w:rPr>
          <w:rFonts w:ascii="华文中宋" w:hAnsi="华文中宋" w:eastAsia="华文中宋" w:cs="宋体"/>
          <w:b/>
          <w:kern w:val="0"/>
          <w:sz w:val="52"/>
          <w:szCs w:val="52"/>
        </w:rPr>
      </w:pPr>
    </w:p>
    <w:p w14:paraId="16C6D37B">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360DB120">
      <w:pPr>
        <w:spacing w:line="540" w:lineRule="exact"/>
        <w:jc w:val="center"/>
        <w:rPr>
          <w:rFonts w:ascii="华文中宋" w:hAnsi="华文中宋" w:eastAsia="华文中宋" w:cs="宋体"/>
          <w:b/>
          <w:kern w:val="0"/>
          <w:sz w:val="52"/>
          <w:szCs w:val="52"/>
        </w:rPr>
      </w:pPr>
    </w:p>
    <w:p w14:paraId="4282283E">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74B3A76F">
      <w:pPr>
        <w:spacing w:line="540" w:lineRule="exact"/>
        <w:jc w:val="center"/>
        <w:rPr>
          <w:rFonts w:hAnsi="宋体" w:eastAsia="仿宋_GB2312" w:cs="宋体"/>
          <w:kern w:val="0"/>
          <w:sz w:val="30"/>
          <w:szCs w:val="30"/>
        </w:rPr>
      </w:pPr>
    </w:p>
    <w:p w14:paraId="0792CDBE">
      <w:pPr>
        <w:spacing w:line="540" w:lineRule="exact"/>
        <w:jc w:val="center"/>
        <w:rPr>
          <w:rFonts w:hAnsi="宋体" w:eastAsia="仿宋_GB2312" w:cs="宋体"/>
          <w:kern w:val="0"/>
          <w:sz w:val="30"/>
          <w:szCs w:val="30"/>
        </w:rPr>
      </w:pPr>
    </w:p>
    <w:p w14:paraId="34CE6CF1">
      <w:pPr>
        <w:spacing w:line="540" w:lineRule="exact"/>
        <w:jc w:val="center"/>
        <w:rPr>
          <w:rFonts w:hAnsi="宋体" w:eastAsia="仿宋_GB2312" w:cs="宋体"/>
          <w:kern w:val="0"/>
          <w:sz w:val="30"/>
          <w:szCs w:val="30"/>
        </w:rPr>
      </w:pPr>
    </w:p>
    <w:p w14:paraId="21904393">
      <w:pPr>
        <w:spacing w:line="540" w:lineRule="exact"/>
        <w:jc w:val="center"/>
        <w:rPr>
          <w:rFonts w:hAnsi="宋体" w:eastAsia="仿宋_GB2312" w:cs="宋体"/>
          <w:kern w:val="0"/>
          <w:sz w:val="30"/>
          <w:szCs w:val="30"/>
        </w:rPr>
      </w:pPr>
    </w:p>
    <w:p w14:paraId="4F1F7766">
      <w:pPr>
        <w:spacing w:line="540" w:lineRule="exact"/>
        <w:jc w:val="center"/>
        <w:rPr>
          <w:rFonts w:hAnsi="宋体" w:eastAsia="仿宋_GB2312" w:cs="宋体"/>
          <w:kern w:val="0"/>
          <w:sz w:val="30"/>
          <w:szCs w:val="30"/>
        </w:rPr>
      </w:pPr>
    </w:p>
    <w:p w14:paraId="1C4188DF">
      <w:pPr>
        <w:spacing w:line="540" w:lineRule="exact"/>
        <w:jc w:val="center"/>
        <w:rPr>
          <w:rFonts w:hAnsi="宋体" w:eastAsia="仿宋_GB2312" w:cs="宋体"/>
          <w:kern w:val="0"/>
          <w:sz w:val="30"/>
          <w:szCs w:val="30"/>
        </w:rPr>
      </w:pPr>
    </w:p>
    <w:p w14:paraId="3647A771">
      <w:pPr>
        <w:spacing w:line="540" w:lineRule="exact"/>
        <w:rPr>
          <w:rFonts w:hAnsi="宋体" w:eastAsia="仿宋_GB2312" w:cs="宋体"/>
          <w:kern w:val="0"/>
          <w:sz w:val="30"/>
          <w:szCs w:val="30"/>
        </w:rPr>
      </w:pPr>
    </w:p>
    <w:p w14:paraId="39CF4E30">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04916E19">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特定类-教育费附加</w:t>
      </w:r>
    </w:p>
    <w:p w14:paraId="65AFBA9F">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哈密市伊州区教育局</w:t>
      </w:r>
    </w:p>
    <w:p w14:paraId="65BBD1CF">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哈密市伊州区教育局</w:t>
      </w:r>
    </w:p>
    <w:p w14:paraId="57B32033">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刘建江</w:t>
      </w:r>
    </w:p>
    <w:p w14:paraId="3C626D84">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2025年05月19日</w:t>
      </w:r>
    </w:p>
    <w:p w14:paraId="1A8C8BE6">
      <w:pPr>
        <w:spacing w:line="700" w:lineRule="exact"/>
        <w:ind w:firstLine="708" w:firstLineChars="236"/>
        <w:jc w:val="left"/>
        <w:rPr>
          <w:rFonts w:hAnsi="宋体" w:eastAsia="仿宋_GB2312" w:cs="宋体"/>
          <w:kern w:val="0"/>
          <w:sz w:val="30"/>
          <w:szCs w:val="30"/>
        </w:rPr>
      </w:pPr>
    </w:p>
    <w:p w14:paraId="7C399EE6">
      <w:pPr>
        <w:spacing w:line="540" w:lineRule="exact"/>
        <w:rPr>
          <w:rStyle w:val="19"/>
          <w:rFonts w:ascii="黑体" w:hAnsi="黑体" w:eastAsia="黑体"/>
          <w:b w:val="0"/>
          <w:spacing w:val="-4"/>
          <w:sz w:val="32"/>
          <w:szCs w:val="32"/>
        </w:rPr>
      </w:pPr>
    </w:p>
    <w:p w14:paraId="549ED701">
      <w:pPr>
        <w:spacing w:line="540" w:lineRule="exact"/>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36B7BC88">
      <w:pPr>
        <w:spacing w:line="540" w:lineRule="exact"/>
        <w:rPr>
          <w:rStyle w:val="19"/>
          <w:rFonts w:ascii="楷体" w:hAnsi="楷体" w:eastAsia="楷体"/>
          <w:spacing w:val="-4"/>
          <w:sz w:val="32"/>
          <w:szCs w:val="32"/>
        </w:rPr>
      </w:pPr>
      <w:r>
        <w:rPr>
          <w:rStyle w:val="19"/>
          <w:rFonts w:hint="eastAsia" w:ascii="楷体" w:hAnsi="楷体" w:eastAsia="楷体"/>
          <w:spacing w:val="-4"/>
          <w:sz w:val="32"/>
          <w:szCs w:val="32"/>
        </w:rPr>
        <w:t>（一）项目概况</w:t>
      </w:r>
    </w:p>
    <w:p w14:paraId="743B1A55">
      <w:pPr>
        <w:spacing w:line="540" w:lineRule="exact"/>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p>
    <w:p w14:paraId="026A0B27">
      <w:p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 xml:space="preserve">用于完善学校维修及设备采购的合理运用，保障在校学生的学习、生活条件。特定类教育费附加项目预算安排资金总额用于完善学校的合理运用，保障在校学生的学习、生活条件。 </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2.主要内容及实施情况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该工程项目为教育费附加专项资金，学校维修维护及设备新增，为了保证</w:t>
      </w:r>
      <w:r>
        <w:rPr>
          <w:rStyle w:val="19"/>
          <w:rFonts w:hint="eastAsia" w:ascii="楷体" w:hAnsi="楷体" w:eastAsia="楷体"/>
          <w:b w:val="0"/>
          <w:bCs w:val="0"/>
          <w:spacing w:val="-4"/>
          <w:sz w:val="32"/>
          <w:szCs w:val="32"/>
          <w:lang w:val="en-US" w:eastAsia="zh-CN"/>
        </w:rPr>
        <w:t>学习</w:t>
      </w:r>
      <w:r>
        <w:rPr>
          <w:rStyle w:val="19"/>
          <w:rFonts w:hint="eastAsia" w:ascii="楷体" w:hAnsi="楷体" w:eastAsia="楷体"/>
          <w:b w:val="0"/>
          <w:bCs w:val="0"/>
          <w:spacing w:val="-4"/>
          <w:sz w:val="32"/>
          <w:szCs w:val="32"/>
        </w:rPr>
        <w:t>教育，校园建设，项目资金为917</w:t>
      </w:r>
      <w:r>
        <w:rPr>
          <w:rStyle w:val="19"/>
          <w:rFonts w:hint="eastAsia" w:ascii="楷体" w:hAnsi="楷体" w:eastAsia="楷体"/>
          <w:b w:val="0"/>
          <w:bCs w:val="0"/>
          <w:spacing w:val="-4"/>
          <w:sz w:val="32"/>
          <w:szCs w:val="32"/>
          <w:lang w:val="en-US" w:eastAsia="zh-CN"/>
        </w:rPr>
        <w:t>8</w:t>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35</w:t>
      </w:r>
      <w:r>
        <w:rPr>
          <w:rStyle w:val="19"/>
          <w:rFonts w:hint="eastAsia" w:ascii="楷体" w:hAnsi="楷体" w:eastAsia="楷体"/>
          <w:b w:val="0"/>
          <w:bCs w:val="0"/>
          <w:spacing w:val="-4"/>
          <w:sz w:val="32"/>
          <w:szCs w:val="32"/>
        </w:rPr>
        <w:t>万元，已使用9051.85万元。</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3.资金投入和使用情况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特定类-教育费附加计划拨付917</w:t>
      </w:r>
      <w:r>
        <w:rPr>
          <w:rStyle w:val="19"/>
          <w:rFonts w:hint="eastAsia" w:ascii="楷体" w:hAnsi="楷体" w:eastAsia="楷体"/>
          <w:b w:val="0"/>
          <w:bCs w:val="0"/>
          <w:spacing w:val="-4"/>
          <w:sz w:val="32"/>
          <w:szCs w:val="32"/>
          <w:lang w:val="en-US" w:eastAsia="zh-CN"/>
        </w:rPr>
        <w:t>8</w:t>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35</w:t>
      </w:r>
      <w:r>
        <w:rPr>
          <w:rStyle w:val="19"/>
          <w:rFonts w:hint="eastAsia" w:ascii="楷体" w:hAnsi="楷体" w:eastAsia="楷体"/>
          <w:b w:val="0"/>
          <w:bCs w:val="0"/>
          <w:spacing w:val="-4"/>
          <w:sz w:val="32"/>
          <w:szCs w:val="32"/>
        </w:rPr>
        <w:t>万元，项目于2024年1月28日批复预算资金917</w:t>
      </w:r>
      <w:r>
        <w:rPr>
          <w:rStyle w:val="19"/>
          <w:rFonts w:hint="eastAsia" w:ascii="楷体" w:hAnsi="楷体" w:eastAsia="楷体"/>
          <w:b w:val="0"/>
          <w:bCs w:val="0"/>
          <w:spacing w:val="-4"/>
          <w:sz w:val="32"/>
          <w:szCs w:val="32"/>
          <w:lang w:val="en-US" w:eastAsia="zh-CN"/>
        </w:rPr>
        <w:t>8</w:t>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35</w:t>
      </w:r>
      <w:r>
        <w:rPr>
          <w:rStyle w:val="19"/>
          <w:rFonts w:hint="eastAsia" w:ascii="楷体" w:hAnsi="楷体" w:eastAsia="楷体"/>
          <w:b w:val="0"/>
          <w:bCs w:val="0"/>
          <w:spacing w:val="-4"/>
          <w:sz w:val="32"/>
          <w:szCs w:val="32"/>
        </w:rPr>
        <w:t>万元，截至2024年12月31日，该项目投入9051.85万元，用于修建学校，配备必要的设施设备，不断改善办学条件，加快教育发展。为适龄儿童就近入学创造了良好条件，促进了区域内教育均衡发展。项目资金支付9051.85万元，资金到位率100%，预算执行率为98.62%。</w:t>
      </w:r>
    </w:p>
    <w:p w14:paraId="79DB84D8">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30358B54">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本项目总体目标为：该项目投入9051.85万元，用于修建学校，配备必要的设施设备，不断改善办学条件，加快教育发展。为适龄儿童就近入学创造了良好条件，促进了区域内教育均衡发展。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相关文件</w:t>
      </w:r>
      <w:r>
        <w:rPr>
          <w:rStyle w:val="19"/>
          <w:rFonts w:hint="eastAsia" w:ascii="楷体" w:hAnsi="楷体" w:eastAsia="楷体"/>
          <w:b w:val="0"/>
          <w:bCs w:val="0"/>
          <w:spacing w:val="-4"/>
          <w:sz w:val="32"/>
          <w:szCs w:val="32"/>
        </w:rPr>
        <w:t>，结合项目相关信息，将年度目标细化分解，最终确定该项目阶段性目标如下：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1.产出指标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数量指标：开展校园提升改造（维修）项目数量；</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数量指标：开展优质均衡教育设施设备购置项目数量；</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数量指标：开展保障学校日常运转项目数量；</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质量指标：校园提升改造（维修）质量合格率；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质量指标：优质均衡教育设施设备购置验收合格率；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时效指标：优质均衡教育设施设备购置及时率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时效指标：学校日常运转保障时限；</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时效指标：校园提升改造（维修）完成及时率。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2.成本指标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经济成本指标：校园提升改造（维修）费用；</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经济成本指标：优质均衡教育设施设备购置费用；</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经济成本指标：学校日常运转保障费用。</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社会效益指标：改善教育环境质量；</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社会效益指标：保障学校日常运转。</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4.满意度指标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满意度指标：涉及学校学生满意度。</w:t>
      </w:r>
    </w:p>
    <w:p w14:paraId="1A8039F7">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4830BAEE">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0526B6FB">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我单位根据</w:t>
      </w:r>
      <w:r>
        <w:rPr>
          <w:rStyle w:val="19"/>
          <w:rFonts w:hint="eastAsia" w:ascii="楷体" w:hAnsi="楷体" w:eastAsia="楷体"/>
          <w:b w:val="0"/>
          <w:bCs w:val="0"/>
          <w:spacing w:val="-4"/>
          <w:sz w:val="32"/>
          <w:szCs w:val="32"/>
          <w:lang w:val="en-US" w:eastAsia="zh-CN"/>
        </w:rPr>
        <w:t>相关文件</w:t>
      </w:r>
      <w:r>
        <w:rPr>
          <w:rStyle w:val="19"/>
          <w:rFonts w:hint="eastAsia" w:ascii="楷体" w:hAnsi="楷体" w:eastAsia="楷体"/>
          <w:b w:val="0"/>
          <w:bCs w:val="0"/>
          <w:spacing w:val="-4"/>
          <w:sz w:val="32"/>
          <w:szCs w:val="32"/>
        </w:rPr>
        <w:t>，对城乡义务教育补助资金（公用经费）项目绩效目标实现情况进行自评。</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14:paraId="6D66D8F5">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7A98646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（1）科学公正。绩效评价应当运用科学合理的方法，按照规范的程序，对项目绩效进行客观、公正的反映。</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（3）激励约束。绩效评价结果应与预算安排、政策调整、改进管理实质性挂钩，体现奖优罚劣和激励导向，有效要安排、低效要压减、无效要问责。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（4）公开透明。绩效评价结果应依法依规公开，并自觉接受社会监督。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2.评价指标体系</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（1）项目决策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项目立项：立项依据充分性，权重2分；立项程序规范性，权重2分。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绩效目标：绩效目标明确性，权重4分；绩效目标合理性，权重4分。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预算编制：预算编制科学性，权重3分；资金分配合理性，权重2分。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资金管理：资金到位率，权重6分；预算执行率，权重6分。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组织实施：资金使用合规性，权重4分，管理制度健全性，权重4分，制度执行有效性，权重3分。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（3）项目产出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数量指标：幼儿园地上建筑面积，权重2分；</w:t>
      </w:r>
    </w:p>
    <w:p w14:paraId="695E8971">
      <w:pPr>
        <w:spacing w:line="540" w:lineRule="exact"/>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数量指标：幼儿园地下建筑面积，权重2分；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数量指标：门卫建筑面积，权重2分；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质量指标：验收合格率，权重5分</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时效指标：开工及时率，权重5分。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成本指标：项目成本，权重7分。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4</w:t>
      </w:r>
      <w:r>
        <w:rPr>
          <w:rStyle w:val="19"/>
          <w:rFonts w:hint="eastAsia" w:ascii="楷体" w:hAnsi="楷体" w:eastAsia="楷体"/>
          <w:b w:val="0"/>
          <w:bCs w:val="0"/>
          <w:spacing w:val="-4"/>
          <w:sz w:val="32"/>
          <w:szCs w:val="32"/>
        </w:rPr>
        <w:t>）效益指标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社会效益指标：提高办学环境，权重15分；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社会效益指标：改善办学环境，权重15分。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5</w:t>
      </w:r>
      <w:r>
        <w:rPr>
          <w:rStyle w:val="19"/>
          <w:rFonts w:hint="eastAsia" w:ascii="楷体" w:hAnsi="楷体" w:eastAsia="楷体"/>
          <w:b w:val="0"/>
          <w:bCs w:val="0"/>
          <w:spacing w:val="-4"/>
          <w:sz w:val="32"/>
          <w:szCs w:val="32"/>
        </w:rPr>
        <w:t>）满意度指标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服务对象满意度指标：学校满意度，权重8分。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3.评价方法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城乡义务教育补助资金（公用经费）项目绩效评价主要通过项目单位自评、主管部门监督、财政部门参评的方式开展绩效评价工作。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绩效评价的方法主要包括：成本效益分析法、比较法、因素分析法、最低成本法、公众评判法、核实法等。根据评价指标的具体情况，可采用一种或多种方法。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（1）成本效益分析法。是指将投入与产出、效益进行关联性分析的方法。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（2）比较法。是指将实施情况与绩效目标、历史情况、不同部门和地区同类支出情况进行比较的方法。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（3）因素分析法。是指综合分析影响绩效目标实现、实施效果的内外部因素的方法。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（4）最低成本法。是指在绩效目标确定的前提下，成本最小者为优的方法。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（5）公众评判法。是指通过专家评估、公众问卷及抽样调查等方式进行评判的方法。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（6）核实法。是收集包括书面资料以外的信息以证实书面资料及其所反映经济活动的真实，合法，合理，有效和正确的方法。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4.评价标准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绩效评价标准通常包括计划标准、行业标准、历史标准等，用于对绩效指标完成情况进行比较。</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单位自评采用定量与定性评价相结合的比较法，总分由各项指标得分汇总形成。</w:t>
      </w:r>
    </w:p>
    <w:p w14:paraId="749297CC">
      <w:pPr>
        <w:spacing w:line="540" w:lineRule="exact"/>
        <w:ind w:firstLine="567" w:firstLineChars="181"/>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14:paraId="5BDB2E6E">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（2）采取“年初绩效目标预定与实施效果比较法”进行评价，评价指标体系以绩效目标申报指标为依据。</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（1）项目全过程资料档案复核</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（2）检查内容和过程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发放调查问卷开展城乡义务教育补助资金（公用经费）满意度调查工作。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（3）撰写报告情况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根据所搜集的印证材料，按绩效评价原理和指标体系进行分析、评价和汇总，撰写绩效自评报告，并在规定时间上报。</w:t>
      </w:r>
    </w:p>
    <w:p w14:paraId="6AAEE2AA">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7C4499AB">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本次项目自评满分100分，自评得分9</w:t>
      </w:r>
      <w:r>
        <w:rPr>
          <w:rStyle w:val="19"/>
          <w:rFonts w:hint="eastAsia" w:ascii="楷体" w:hAnsi="楷体" w:eastAsia="楷体"/>
          <w:b w:val="0"/>
          <w:bCs w:val="0"/>
          <w:spacing w:val="-4"/>
          <w:sz w:val="32"/>
          <w:szCs w:val="32"/>
          <w:lang w:val="en-US" w:eastAsia="zh-CN"/>
        </w:rPr>
        <w:t>0</w:t>
      </w:r>
      <w:r>
        <w:rPr>
          <w:rStyle w:val="19"/>
          <w:rFonts w:hint="eastAsia" w:ascii="楷体" w:hAnsi="楷体" w:eastAsia="楷体"/>
          <w:b w:val="0"/>
          <w:bCs w:val="0"/>
          <w:spacing w:val="-4"/>
          <w:sz w:val="32"/>
          <w:szCs w:val="32"/>
        </w:rPr>
        <w:t>分，自评结果为“优”，其中项目决策得分17分，项目过程得分21分，项目产出得分32分，项目效益得分20分，项目满意度得分6分。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综合评价结论：项目决策方面，直达资金管理办法的文件进行编制；项目过程方面按照财政要求进行项目绩效的合理编制；项目产出方面，未能完成预期指标，</w:t>
      </w:r>
      <w:r>
        <w:rPr>
          <w:rStyle w:val="19"/>
          <w:rFonts w:hint="eastAsia" w:ascii="楷体" w:hAnsi="楷体" w:eastAsia="楷体"/>
          <w:b w:val="0"/>
          <w:bCs w:val="0"/>
          <w:color w:val="FF0000"/>
          <w:spacing w:val="-4"/>
          <w:sz w:val="32"/>
          <w:szCs w:val="32"/>
        </w:rPr>
        <w:t>所有工程项目都</w:t>
      </w:r>
      <w:r>
        <w:rPr>
          <w:rStyle w:val="19"/>
          <w:rFonts w:hint="eastAsia" w:ascii="楷体" w:hAnsi="楷体" w:eastAsia="楷体"/>
          <w:b w:val="0"/>
          <w:bCs w:val="0"/>
          <w:color w:val="FF0000"/>
          <w:spacing w:val="-4"/>
          <w:sz w:val="32"/>
          <w:szCs w:val="32"/>
          <w:lang w:val="en-US" w:eastAsia="zh-CN"/>
        </w:rPr>
        <w:t>未</w:t>
      </w:r>
      <w:r>
        <w:rPr>
          <w:rStyle w:val="19"/>
          <w:rFonts w:hint="eastAsia" w:ascii="楷体" w:hAnsi="楷体" w:eastAsia="楷体"/>
          <w:b w:val="0"/>
          <w:bCs w:val="0"/>
          <w:color w:val="FF0000"/>
          <w:spacing w:val="-4"/>
          <w:sz w:val="32"/>
          <w:szCs w:val="32"/>
        </w:rPr>
        <w:t>完工</w:t>
      </w:r>
      <w:r>
        <w:rPr>
          <w:rStyle w:val="19"/>
          <w:rFonts w:hint="eastAsia" w:ascii="楷体" w:hAnsi="楷体" w:eastAsia="楷体"/>
          <w:b w:val="0"/>
          <w:bCs w:val="0"/>
          <w:spacing w:val="-4"/>
          <w:sz w:val="32"/>
          <w:szCs w:val="32"/>
        </w:rPr>
        <w:t>，故而资金未能支付，建筑面积</w:t>
      </w:r>
      <w:r>
        <w:rPr>
          <w:rStyle w:val="19"/>
          <w:rFonts w:hint="eastAsia" w:ascii="楷体" w:hAnsi="楷体" w:eastAsia="楷体"/>
          <w:b w:val="0"/>
          <w:bCs w:val="0"/>
          <w:spacing w:val="-4"/>
          <w:sz w:val="32"/>
          <w:szCs w:val="32"/>
          <w:lang w:val="en-US" w:eastAsia="zh-CN"/>
        </w:rPr>
        <w:t>未</w:t>
      </w:r>
      <w:bookmarkStart w:id="0" w:name="_GoBack"/>
      <w:bookmarkEnd w:id="0"/>
      <w:r>
        <w:rPr>
          <w:rStyle w:val="19"/>
          <w:rFonts w:hint="eastAsia" w:ascii="楷体" w:hAnsi="楷体" w:eastAsia="楷体"/>
          <w:b w:val="0"/>
          <w:bCs w:val="0"/>
          <w:color w:val="FF0000"/>
          <w:spacing w:val="-4"/>
          <w:sz w:val="32"/>
          <w:szCs w:val="32"/>
        </w:rPr>
        <w:t>能</w:t>
      </w:r>
      <w:r>
        <w:rPr>
          <w:rStyle w:val="19"/>
          <w:rFonts w:hint="eastAsia" w:ascii="楷体" w:hAnsi="楷体" w:eastAsia="楷体"/>
          <w:b w:val="0"/>
          <w:bCs w:val="0"/>
          <w:spacing w:val="-4"/>
          <w:sz w:val="32"/>
          <w:szCs w:val="32"/>
        </w:rPr>
        <w:t>完成；项目效益方面，未能完成预期指标，所有工程项目都</w:t>
      </w:r>
      <w:r>
        <w:rPr>
          <w:rStyle w:val="19"/>
          <w:rFonts w:hint="eastAsia" w:ascii="楷体" w:hAnsi="楷体" w:eastAsia="楷体"/>
          <w:b w:val="0"/>
          <w:bCs w:val="0"/>
          <w:spacing w:val="-4"/>
          <w:sz w:val="32"/>
          <w:szCs w:val="32"/>
          <w:lang w:val="en-US" w:eastAsia="zh-CN"/>
        </w:rPr>
        <w:t>未</w:t>
      </w:r>
      <w:r>
        <w:rPr>
          <w:rStyle w:val="19"/>
          <w:rFonts w:hint="eastAsia" w:ascii="楷体" w:hAnsi="楷体" w:eastAsia="楷体"/>
          <w:b w:val="0"/>
          <w:bCs w:val="0"/>
          <w:spacing w:val="-4"/>
          <w:sz w:val="32"/>
          <w:szCs w:val="32"/>
        </w:rPr>
        <w:t>完工，故而资金未能支付，建筑面积也</w:t>
      </w:r>
      <w:r>
        <w:rPr>
          <w:rStyle w:val="19"/>
          <w:rFonts w:hint="eastAsia" w:ascii="楷体" w:hAnsi="楷体" w:eastAsia="楷体"/>
          <w:b w:val="0"/>
          <w:bCs w:val="0"/>
          <w:spacing w:val="-4"/>
          <w:sz w:val="32"/>
          <w:szCs w:val="32"/>
          <w:lang w:val="en-US" w:eastAsia="zh-CN"/>
        </w:rPr>
        <w:t>未</w:t>
      </w:r>
      <w:r>
        <w:rPr>
          <w:rStyle w:val="19"/>
          <w:rFonts w:hint="eastAsia" w:ascii="楷体" w:hAnsi="楷体" w:eastAsia="楷体"/>
          <w:b w:val="0"/>
          <w:bCs w:val="0"/>
          <w:spacing w:val="-4"/>
          <w:sz w:val="32"/>
          <w:szCs w:val="32"/>
        </w:rPr>
        <w:t>能完成；项目满意度方面，未能完成预期指标，所有工程项目都</w:t>
      </w:r>
      <w:r>
        <w:rPr>
          <w:rStyle w:val="19"/>
          <w:rFonts w:hint="eastAsia" w:ascii="楷体" w:hAnsi="楷体" w:eastAsia="楷体"/>
          <w:b w:val="0"/>
          <w:bCs w:val="0"/>
          <w:spacing w:val="-4"/>
          <w:sz w:val="32"/>
          <w:szCs w:val="32"/>
          <w:lang w:val="en-US" w:eastAsia="zh-CN"/>
        </w:rPr>
        <w:t>未</w:t>
      </w:r>
      <w:r>
        <w:rPr>
          <w:rStyle w:val="19"/>
          <w:rFonts w:hint="eastAsia" w:ascii="楷体" w:hAnsi="楷体" w:eastAsia="楷体"/>
          <w:b w:val="0"/>
          <w:bCs w:val="0"/>
          <w:spacing w:val="-4"/>
          <w:sz w:val="32"/>
          <w:szCs w:val="32"/>
        </w:rPr>
        <w:t>完工，故而资金未能支付，建筑面积也</w:t>
      </w:r>
      <w:r>
        <w:rPr>
          <w:rStyle w:val="19"/>
          <w:rFonts w:hint="eastAsia" w:ascii="楷体" w:hAnsi="楷体" w:eastAsia="楷体"/>
          <w:b w:val="0"/>
          <w:bCs w:val="0"/>
          <w:spacing w:val="-4"/>
          <w:sz w:val="32"/>
          <w:szCs w:val="32"/>
          <w:lang w:val="en-US" w:eastAsia="zh-CN"/>
        </w:rPr>
        <w:t>未</w:t>
      </w:r>
      <w:r>
        <w:rPr>
          <w:rStyle w:val="19"/>
          <w:rFonts w:hint="eastAsia" w:ascii="楷体" w:hAnsi="楷体" w:eastAsia="楷体"/>
          <w:b w:val="0"/>
          <w:bCs w:val="0"/>
          <w:spacing w:val="-4"/>
          <w:sz w:val="32"/>
          <w:szCs w:val="32"/>
        </w:rPr>
        <w:t>能完成。</w:t>
      </w:r>
    </w:p>
    <w:p w14:paraId="27C77DF6">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7E7D16F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3B146EDF">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（1）立项依据充分性，满分4分，得分4分，得分率100%。根据相关文件要求，制定管理条例，充实项目内容，符合行业发展规划和政策要求，运行项目的立项和进行，有效保障教育局工程项目正常开展。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（2）立项程序规范性，满分2分，得分2分，得分率100%。项目立项符合规定程序，审批文件等材料合规、完整，有完整的评估程序和集体决策。</w:t>
      </w:r>
      <w:r>
        <w:rPr>
          <w:rStyle w:val="19"/>
          <w:rFonts w:hint="eastAsia" w:ascii="楷体" w:hAnsi="楷体" w:eastAsia="楷体"/>
          <w:b w:val="0"/>
          <w:bCs w:val="0"/>
          <w:spacing w:val="-4"/>
          <w:sz w:val="32"/>
          <w:szCs w:val="32"/>
          <w:lang w:eastAsia="zh-CN"/>
        </w:rPr>
        <w:tab/>
      </w:r>
    </w:p>
    <w:p w14:paraId="6E6F3AC1">
      <w:pPr>
        <w:spacing w:line="540" w:lineRule="exact"/>
        <w:ind w:firstLine="567" w:firstLineChars="181"/>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14:paraId="20D66C2A">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1.资金管理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（1）资金到位率，满分3分，得分3分，得分率100%。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2022年支持学前教育发展资金计划拨付917</w:t>
      </w:r>
      <w:r>
        <w:rPr>
          <w:rStyle w:val="19"/>
          <w:rFonts w:hint="eastAsia" w:ascii="楷体" w:hAnsi="楷体" w:eastAsia="楷体"/>
          <w:b w:val="0"/>
          <w:bCs w:val="0"/>
          <w:spacing w:val="-4"/>
          <w:sz w:val="32"/>
          <w:szCs w:val="32"/>
          <w:lang w:val="en-US" w:eastAsia="zh-CN"/>
        </w:rPr>
        <w:t>8</w:t>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35</w:t>
      </w:r>
      <w:r>
        <w:rPr>
          <w:rStyle w:val="19"/>
          <w:rFonts w:hint="eastAsia" w:ascii="楷体" w:hAnsi="楷体" w:eastAsia="楷体"/>
          <w:b w:val="0"/>
          <w:bCs w:val="0"/>
          <w:spacing w:val="-4"/>
          <w:sz w:val="32"/>
          <w:szCs w:val="32"/>
        </w:rPr>
        <w:t>万元，项目于2024年1月28日批复预算资金917</w:t>
      </w:r>
      <w:r>
        <w:rPr>
          <w:rStyle w:val="19"/>
          <w:rFonts w:hint="eastAsia" w:ascii="楷体" w:hAnsi="楷体" w:eastAsia="楷体"/>
          <w:b w:val="0"/>
          <w:bCs w:val="0"/>
          <w:spacing w:val="-4"/>
          <w:sz w:val="32"/>
          <w:szCs w:val="32"/>
          <w:lang w:val="en-US" w:eastAsia="zh-CN"/>
        </w:rPr>
        <w:t>8</w:t>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35</w:t>
      </w:r>
      <w:r>
        <w:rPr>
          <w:rStyle w:val="19"/>
          <w:rFonts w:hint="eastAsia" w:ascii="楷体" w:hAnsi="楷体" w:eastAsia="楷体"/>
          <w:b w:val="0"/>
          <w:bCs w:val="0"/>
          <w:spacing w:val="-4"/>
          <w:sz w:val="32"/>
          <w:szCs w:val="32"/>
        </w:rPr>
        <w:t>万元，截至2024年12月31日，该项目投入9051.85万元，用于修建学校，配备必要的设施设备，不断改善办学条件，加快教育发展。为适龄儿童就近入学创造了良好条件，促进了区域内教育均衡发展。项目资金支付9051.85万元，资金到位率98.62%。</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（2）预算执行率，满分3分，得分2分，得分率100%。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特定类-教育费附加资金计划拨付917</w:t>
      </w:r>
      <w:r>
        <w:rPr>
          <w:rStyle w:val="19"/>
          <w:rFonts w:hint="eastAsia" w:ascii="楷体" w:hAnsi="楷体" w:eastAsia="楷体"/>
          <w:b w:val="0"/>
          <w:bCs w:val="0"/>
          <w:spacing w:val="-4"/>
          <w:sz w:val="32"/>
          <w:szCs w:val="32"/>
          <w:lang w:val="en-US" w:eastAsia="zh-CN"/>
        </w:rPr>
        <w:t>8</w:t>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35</w:t>
      </w:r>
      <w:r>
        <w:rPr>
          <w:rStyle w:val="19"/>
          <w:rFonts w:hint="eastAsia" w:ascii="楷体" w:hAnsi="楷体" w:eastAsia="楷体"/>
          <w:b w:val="0"/>
          <w:bCs w:val="0"/>
          <w:spacing w:val="-4"/>
          <w:sz w:val="32"/>
          <w:szCs w:val="32"/>
        </w:rPr>
        <w:t>万元，项目于2024年1月28日批复预算资金917</w:t>
      </w:r>
      <w:r>
        <w:rPr>
          <w:rStyle w:val="19"/>
          <w:rFonts w:hint="eastAsia" w:ascii="楷体" w:hAnsi="楷体" w:eastAsia="楷体"/>
          <w:b w:val="0"/>
          <w:bCs w:val="0"/>
          <w:spacing w:val="-4"/>
          <w:sz w:val="32"/>
          <w:szCs w:val="32"/>
          <w:lang w:val="en-US" w:eastAsia="zh-CN"/>
        </w:rPr>
        <w:t>8</w:t>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35</w:t>
      </w:r>
      <w:r>
        <w:rPr>
          <w:rStyle w:val="19"/>
          <w:rFonts w:hint="eastAsia" w:ascii="楷体" w:hAnsi="楷体" w:eastAsia="楷体"/>
          <w:b w:val="0"/>
          <w:bCs w:val="0"/>
          <w:spacing w:val="-4"/>
          <w:sz w:val="32"/>
          <w:szCs w:val="32"/>
        </w:rPr>
        <w:t>万元，截至2024年12月31日，该项目投入9051.85万元，用于修建学校，配备必要的设施设备，不断改善办学条件，加快教育发展。为适龄儿童就近入学创造了良好条件，促进了区域内教育均衡发展。项目资金支付9051.85万元，预算执行率为98.62%。</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（1）资金使用合规性，满分4分，得分4分，得分率100%。项目资金使用符合政府会计制度的相关规定，各项拨付</w:t>
      </w:r>
      <w:r>
        <w:rPr>
          <w:rStyle w:val="19"/>
          <w:rFonts w:hint="eastAsia" w:ascii="楷体" w:hAnsi="楷体" w:eastAsia="楷体"/>
          <w:b w:val="0"/>
          <w:bCs w:val="0"/>
          <w:spacing w:val="-4"/>
          <w:sz w:val="32"/>
          <w:szCs w:val="32"/>
          <w:lang w:val="en-US" w:eastAsia="zh-CN"/>
        </w:rPr>
        <w:t>经</w:t>
      </w:r>
      <w:r>
        <w:rPr>
          <w:rStyle w:val="19"/>
          <w:rFonts w:hint="eastAsia" w:ascii="楷体" w:hAnsi="楷体" w:eastAsia="楷体"/>
          <w:b w:val="0"/>
          <w:bCs w:val="0"/>
          <w:spacing w:val="-4"/>
          <w:sz w:val="32"/>
          <w:szCs w:val="32"/>
        </w:rPr>
        <w:t>领导审批，有完整的审批手续，项目支出不存在截留、挤占、挪用、虚列支出等情况，本年度审计、巡视、财政巡察未发现违规问题。</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（1）管理制度健全性，满分4分，得分4分，得分率100%。根据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文件相关管理规定，同时对财政专项资金进行严格管理，基本做到了专款专用。</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（3）制度执行有效性，满分3分，得分3分，得分率100%。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本项目能够遵守相关法律法规和业务管理规定。调整及支出调整手续按财政局要求办理。项目合同书、验收报告、技术鉴定等资料齐全并及时归档。</w:t>
      </w:r>
    </w:p>
    <w:p w14:paraId="1ABD108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14:paraId="324CFF19">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1.产出数量</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开展校园提升改造（维修）项目数量，满分2分，得分2分，得分率100%。根据施工合同及专项资金的管理办法，及时施工，并按照要求保质保量的完成工程施工，符合预期。</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开展优质均衡教育设施设备购置项目数量，满分2分，得分2分，得分率100%。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根据施工合同及专项资金的管理办法，及时施工，并按照要求保质保量的完成工程施工，符合预期。</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开展保障学校日常运转项目数量，满分2分，得分0分，得分率0%。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根据施工合同及专项资金的管理办法，及时施工，并按照要求保质保量的完成工程施工，符合预期。</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2.产出质量</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验收合格率，满分5分，得分0分，得分率0%。</w:t>
      </w:r>
      <w:r>
        <w:rPr>
          <w:rStyle w:val="19"/>
          <w:rFonts w:hint="eastAsia" w:ascii="楷体" w:hAnsi="楷体" w:eastAsia="楷体"/>
          <w:b w:val="0"/>
          <w:bCs w:val="0"/>
          <w:spacing w:val="-4"/>
          <w:sz w:val="32"/>
          <w:szCs w:val="32"/>
          <w:lang w:val="en-US" w:eastAsia="zh-CN"/>
        </w:rPr>
        <w:t>根据</w:t>
      </w:r>
      <w:r>
        <w:rPr>
          <w:rStyle w:val="19"/>
          <w:rFonts w:hint="eastAsia" w:ascii="楷体" w:hAnsi="楷体" w:eastAsia="楷体"/>
          <w:b w:val="0"/>
          <w:bCs w:val="0"/>
          <w:spacing w:val="-4"/>
          <w:sz w:val="32"/>
          <w:szCs w:val="32"/>
        </w:rPr>
        <w:t>施工合同及专项资金的管理办法，及时施工，并按照要求保质保量的完成工程施工，达到预期指标。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3.产出时效</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开工及时率，满分5分，得分5分，得分率100%。根据合同签订的要求，按时开工，并保证该工程项目及时开工建设，达到预期指标。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4.产出成本</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项目成本，满分7分，得分7分，得分率78%。根据施工合同及专项资金的管理办法，及时施工，并按照要求保质保量的完成工程施工，达到预期指标。</w:t>
      </w:r>
    </w:p>
    <w:p w14:paraId="398B7E1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w:t>
      </w:r>
      <w:r>
        <w:rPr>
          <w:rStyle w:val="19"/>
          <w:rFonts w:hint="eastAsia" w:ascii="楷体" w:hAnsi="楷体" w:eastAsia="楷体"/>
          <w:spacing w:val="-4"/>
          <w:sz w:val="32"/>
          <w:szCs w:val="32"/>
          <w:lang w:val="en-US" w:eastAsia="zh-CN"/>
        </w:rPr>
        <w:t>效益</w:t>
      </w:r>
      <w:r>
        <w:rPr>
          <w:rStyle w:val="19"/>
          <w:rFonts w:hint="eastAsia" w:ascii="楷体" w:hAnsi="楷体" w:eastAsia="楷体"/>
          <w:spacing w:val="-4"/>
          <w:sz w:val="32"/>
          <w:szCs w:val="32"/>
        </w:rPr>
        <w:t>情况</w:t>
      </w:r>
    </w:p>
    <w:p w14:paraId="2AD23380">
      <w:pPr>
        <w:spacing w:line="540" w:lineRule="exact"/>
        <w:ind w:firstLine="567"/>
        <w:rPr>
          <w:rStyle w:val="19"/>
          <w:rFonts w:hint="default" w:ascii="楷体" w:hAnsi="楷体" w:eastAsia="楷体"/>
          <w:b w:val="0"/>
          <w:bCs w:val="0"/>
          <w:spacing w:val="-4"/>
          <w:sz w:val="32"/>
          <w:szCs w:val="32"/>
          <w:lang w:val="en-US" w:eastAsia="zh-CN"/>
        </w:rPr>
      </w:pPr>
      <w:r>
        <w:rPr>
          <w:rStyle w:val="19"/>
          <w:rFonts w:hint="eastAsia" w:ascii="楷体" w:hAnsi="楷体" w:eastAsia="楷体"/>
          <w:b w:val="0"/>
          <w:bCs w:val="0"/>
          <w:spacing w:val="-4"/>
          <w:sz w:val="32"/>
          <w:szCs w:val="32"/>
        </w:rPr>
        <w:t>社会效益指标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改善教育环境质量，满分15分，得分10分，得分率70%。该工程建设，保证了学生就近入校园的要求，而且保证教学设备及教学环境的美化，达到预期指标。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保障学校日常运转，满分15分，得分10分，得分率70%。该工程建设，保证了幼儿就近入校园的要求，而且保证教学设备及教学环境的美化，达到预期指标。</w:t>
      </w:r>
    </w:p>
    <w:p w14:paraId="70D36F64">
      <w:pPr>
        <w:spacing w:line="540" w:lineRule="exact"/>
        <w:ind w:firstLine="567" w:firstLineChars="181"/>
        <w:rPr>
          <w:rStyle w:val="19"/>
          <w:rFonts w:hint="eastAsia" w:ascii="楷体" w:hAnsi="楷体" w:eastAsia="楷体"/>
          <w:b w:val="0"/>
          <w:bCs w:val="0"/>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五</w:t>
      </w:r>
      <w:r>
        <w:rPr>
          <w:rFonts w:hint="eastAsia" w:ascii="楷体" w:hAnsi="楷体" w:eastAsia="楷体"/>
          <w:b/>
          <w:spacing w:val="-4"/>
          <w:sz w:val="32"/>
          <w:szCs w:val="32"/>
        </w:rPr>
        <w:t>）</w:t>
      </w:r>
      <w:r>
        <w:rPr>
          <w:rFonts w:hint="eastAsia" w:ascii="楷体" w:hAnsi="楷体" w:eastAsia="楷体"/>
          <w:b/>
          <w:spacing w:val="-4"/>
          <w:sz w:val="32"/>
          <w:szCs w:val="32"/>
          <w:lang w:eastAsia="zh-CN"/>
        </w:rPr>
        <w:t>满意度</w:t>
      </w:r>
      <w:r>
        <w:rPr>
          <w:rStyle w:val="19"/>
          <w:rFonts w:hint="eastAsia" w:ascii="楷体" w:hAnsi="楷体" w:eastAsia="楷体"/>
          <w:spacing w:val="-4"/>
          <w:sz w:val="32"/>
          <w:szCs w:val="32"/>
        </w:rPr>
        <w:t>情况</w:t>
      </w:r>
    </w:p>
    <w:p w14:paraId="1E77147E">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服务对象满意度</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学校满意度，满分8分，得分8分，得分率100%。2023年，通过问卷调查和现场访谈，收集学生和家长对学校环境、教学设备等的评价，分析其满意度水平和潜在改进空间。共发放56份纸质游客调查问卷，实际满意调查问卷56份。通过调查问卷和现场访谈的结果，参观游客满意度达100%，达到预期指标。</w:t>
      </w:r>
    </w:p>
    <w:p w14:paraId="730D57D5">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五</w:t>
      </w:r>
      <w:r>
        <w:rPr>
          <w:rStyle w:val="19"/>
          <w:rFonts w:hint="eastAsia" w:ascii="黑体" w:hAnsi="黑体" w:eastAsia="黑体"/>
          <w:b w:val="0"/>
          <w:spacing w:val="-4"/>
          <w:sz w:val="32"/>
          <w:szCs w:val="32"/>
        </w:rPr>
        <w:t>、主要经验及做法、存在的问题及原因分析</w:t>
      </w:r>
    </w:p>
    <w:p w14:paraId="0F1B3763">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（一）主要经验及做法</w:t>
      </w:r>
    </w:p>
    <w:p w14:paraId="51A75051">
      <w:pPr>
        <w:spacing w:line="540" w:lineRule="exact"/>
        <w:ind w:firstLine="624" w:firstLineChars="200"/>
        <w:rPr>
          <w:rFonts w:ascii="仿宋_GB2312" w:eastAsia="仿宋_GB2312"/>
          <w:spacing w:val="-4"/>
          <w:sz w:val="32"/>
          <w:szCs w:val="32"/>
        </w:rPr>
      </w:pPr>
      <w:r>
        <w:rPr>
          <w:rStyle w:val="19"/>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（二）存在问题及原因分析</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1.绩效目标设置合理性有待提高。</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2.预算编制方面，预算测算标准按历年实际发生情况来测算，测算标准需进一步完善。</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3.个别产出成本超出目标值或未达到目标值。</w:t>
      </w:r>
    </w:p>
    <w:p w14:paraId="6711ECC6">
      <w:pPr>
        <w:spacing w:line="540" w:lineRule="exact"/>
        <w:ind w:firstLine="624" w:firstLineChars="20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u w:val="dotted"/>
          <w:lang w:val="en-US" w:eastAsia="zh-CN"/>
        </w:rPr>
        <w:t>六</w:t>
      </w:r>
      <w:r>
        <w:rPr>
          <w:rStyle w:val="19"/>
          <w:rFonts w:hint="eastAsia" w:ascii="黑体" w:hAnsi="黑体" w:eastAsia="黑体"/>
          <w:b w:val="0"/>
          <w:spacing w:val="-4"/>
          <w:sz w:val="32"/>
          <w:szCs w:val="32"/>
        </w:rPr>
        <w:t>、有关建议</w:t>
      </w:r>
    </w:p>
    <w:p w14:paraId="4500273A">
      <w:pPr>
        <w:spacing w:line="540" w:lineRule="exact"/>
        <w:ind w:firstLine="624" w:firstLineChars="200"/>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1.加强绩效管理工作，绩效目标细化分解到具体的指标，并与实际工作具有相关性，能够反映业绩水平。</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2.制定并完善预算编制测算标准。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3.做好项目监控，按计划完成项目各项指标目标值。</w:t>
      </w:r>
    </w:p>
    <w:p w14:paraId="5DD62744">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14:paraId="461ACD14">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无</w:t>
      </w:r>
    </w:p>
    <w:p w14:paraId="73B2CF20">
      <w:pPr>
        <w:spacing w:line="540" w:lineRule="exact"/>
        <w:ind w:firstLine="567"/>
        <w:rPr>
          <w:rStyle w:val="19"/>
          <w:rFonts w:ascii="仿宋" w:hAnsi="仿宋" w:eastAsia="仿宋"/>
          <w:b w:val="0"/>
          <w:spacing w:val="-4"/>
          <w:sz w:val="32"/>
          <w:szCs w:val="32"/>
        </w:rPr>
      </w:pPr>
    </w:p>
    <w:p w14:paraId="7DA6B29B">
      <w:pPr>
        <w:spacing w:line="540" w:lineRule="exact"/>
        <w:ind w:firstLine="567"/>
        <w:rPr>
          <w:rStyle w:val="19"/>
          <w:rFonts w:ascii="仿宋" w:hAnsi="仿宋" w:eastAsia="仿宋"/>
          <w:b w:val="0"/>
          <w:spacing w:val="-4"/>
          <w:sz w:val="32"/>
          <w:szCs w:val="32"/>
        </w:rPr>
      </w:pPr>
    </w:p>
    <w:p w14:paraId="137A585F">
      <w:pPr>
        <w:spacing w:line="540" w:lineRule="exact"/>
        <w:ind w:firstLine="567"/>
        <w:rPr>
          <w:rStyle w:val="19"/>
          <w:rFonts w:ascii="仿宋" w:hAnsi="仿宋" w:eastAsia="仿宋"/>
          <w:b w:val="0"/>
          <w:spacing w:val="-4"/>
          <w:sz w:val="32"/>
          <w:szCs w:val="32"/>
        </w:rPr>
      </w:pPr>
    </w:p>
    <w:p w14:paraId="64B8D02C">
      <w:pPr>
        <w:spacing w:line="540" w:lineRule="exact"/>
        <w:ind w:firstLine="567"/>
        <w:rPr>
          <w:rStyle w:val="19"/>
          <w:rFonts w:ascii="仿宋" w:hAnsi="仿宋" w:eastAsia="仿宋"/>
          <w:b w:val="0"/>
          <w:spacing w:val="-4"/>
          <w:sz w:val="32"/>
          <w:szCs w:val="32"/>
        </w:rPr>
      </w:pPr>
    </w:p>
    <w:p w14:paraId="66597079">
      <w:pPr>
        <w:spacing w:line="540" w:lineRule="exact"/>
        <w:ind w:firstLine="567"/>
        <w:rPr>
          <w:rStyle w:val="19"/>
          <w:rFonts w:ascii="仿宋" w:hAnsi="仿宋" w:eastAsia="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179BDEF5">
        <w:pPr>
          <w:pStyle w:val="12"/>
          <w:jc w:val="center"/>
        </w:pPr>
        <w:r>
          <w:fldChar w:fldCharType="begin"/>
        </w:r>
        <w:r>
          <w:instrText xml:space="preserve">PAGE   \* MERGEFORMAT</w:instrText>
        </w:r>
        <w:r>
          <w:fldChar w:fldCharType="separate"/>
        </w:r>
        <w:r>
          <w:rPr>
            <w:lang w:val="zh-CN"/>
          </w:rPr>
          <w:t>1</w:t>
        </w:r>
        <w:r>
          <w:fldChar w:fldCharType="end"/>
        </w:r>
      </w:p>
    </w:sdtContent>
  </w:sdt>
  <w:p w14:paraId="5E40B613">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DF9A4">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mYmVhMGQ2YWQwOTc0ZDFkYmVkZTE0NzFkNThlYzIifQ=="/>
  </w:docVars>
  <w:rsids>
    <w:rsidRoot w:val="00000000"/>
    <w:rsid w:val="25B42F92"/>
    <w:rsid w:val="3F5028C6"/>
    <w:rsid w:val="41C167CF"/>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

<file path=customXml/item2.xml><?xml version="1.0" encoding="utf-8"?>
<Properties xmlns="http://schemas.openxmlformats.org/officeDocument/2006/extended-properties" xmlns:vt="http://schemas.openxmlformats.org/officeDocument/2006/docPropsVTypes">
  <Template>Normal.dotm</Template>
  <Pages>12</Pages>
  <Words>5050</Words>
  <Characters>5297</Characters>
  <Lines>5</Lines>
  <Paragraphs>1</Paragraphs>
  <TotalTime>10</TotalTime>
  <ScaleCrop>false</ScaleCrop>
  <LinksUpToDate>false</LinksUpToDate>
  <CharactersWithSpaces>5360</CharactersWithSpaces>
  <Application>WPS Office_11.1.0.12165_F1E327BC-269C-435d-A152-05C5408002CA</Application>
  <DocSecurity>0</DocSecuri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稀饭</cp:lastModifiedBy>
  <cp:lastPrinted>2018-12-31T10:56:00Z</cp:lastPrinted>
  <dcterms:modified xsi:type="dcterms:W3CDTF">2025-11-06T05:15:59Z</dcterms:modified>
  <cp:revision>19</cp:revision>
</cp:coreProperties>
</file>

<file path=customXml/itemProps1.xml><?xml version="1.0" encoding="utf-8"?>
<ds:datastoreItem xmlns:ds="http://schemas.openxmlformats.org/officeDocument/2006/customXml" ds:itemID="{17ab2f03-84ff-4dfb-bdc0-a0827394f4ff}">
  <ds:schemaRefs/>
</ds:datastoreItem>
</file>

<file path=customXml/itemProps2.xml><?xml version="1.0" encoding="utf-8"?>
<ds:datastoreItem xmlns:ds="http://schemas.openxmlformats.org/officeDocument/2006/customXml" ds:itemID="{39844e18-a75e-4a21-a7d7-714ae221b9de}">
  <ds:schemaRefs/>
</ds:datastoreItem>
</file>

<file path=customXml/itemProps3.xml><?xml version="1.0" encoding="utf-8"?>
<ds:datastoreItem xmlns:ds="http://schemas.openxmlformats.org/officeDocument/2006/customXml" ds:itemID="{7a99c5c0-a251-4757-a002-9c99ac878772}">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4947</Words>
  <Characters>5184</Characters>
  <Lines>5</Lines>
  <Paragraphs>1</Paragraphs>
  <TotalTime>21</TotalTime>
  <ScaleCrop>false</ScaleCrop>
  <LinksUpToDate>false</LinksUpToDate>
  <CharactersWithSpaces>5253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admin</cp:lastModifiedBy>
  <cp:lastPrinted>2018-12-31T10:56:00Z</cp:lastPrinted>
  <dcterms:modified xsi:type="dcterms:W3CDTF">2025-11-08T05:26:29Z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C734C92AAAF24344A0E4232D8EB3359B</vt:lpwstr>
  </property>
  <property fmtid="{D5CDD505-2E9C-101B-9397-08002B2CF9AE}" pid="4" name="KSOTemplateDocerSaveRecord">
    <vt:lpwstr>eyJoZGlkIjoiNDZlZGQwOTk2ZWZiMGJjYmIxNTlkZGMzNDg0OTQ5OWQifQ==</vt:lpwstr>
  </property>
</Properties>
</file>