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棚户区改造征收过渡费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哈密市伊州区房屋与土地征收协调服务中心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哈密市伊州区房屋与土地征收协调服务中心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王东</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left="312" w:hanging="312" w:hangingChars="1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p>
    <w:p>
      <w:pPr>
        <w:spacing w:line="240" w:lineRule="auto"/>
        <w:ind w:left="0"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棚户区改造是我国为提高居民生活质量而进行的重大民生工程。2003年，国务院颁布《关于加快棚户区改造的意见》，将棚户区表述为：“住房简陋，环境较差，安全隐患多，改造难度大”的区域，并作出了基本分类：“城市棚户区、国有工矿棚户区、国有园林棚户区、国有垦区棚户区。各地应将在城市规划边界以内的其他棚户区、城中村改造，统一纳入城市棚户区改造范围。可见广义的棚户区改造包含城市棚户区改造、城中村改造以及在城市棚户区改造范围内的国有工矿棚户区。目前伊州区仍有部分群众居住在棚户区中，这些棚户区住房简陋，环境较差，安全隐患多，改造难度大，严重影响了伊州区新城区和老城区的有效衔接，阻碍了老城区经济的健康发展和民生的不断改善。为进一步加大伊州区棚户区改造力度，让更多困难群众的住房条件早日得到改善，同时，有效拉动投资、消费需求，带动相关产业发展，推进以人为核心的新型城镇化建设，发挥助推经济实现持续健康发展和民生不断改善的积极效应，提出了本项目的建设。本项目完成后能够改善棚户区居民的居住生活条件，消除公共安全隐患，提升棚户区及其周边地区空间环境质量，提高土地综合利用率，提升城市功能，促进伊州区社会、经济、环境健康持续和谐的发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棚户区改造征收过渡费项目旨在为因棚户区改造而临时过渡的居民提供必要的生活保障，确保其在安置新房建成前的居住及生活质量，本项目预算资金1584.93万元，主要用于支付被征收居民的租房费用、搬家补贴等过渡期间的相关费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棚户区改造征收过渡费计划拨付1584.93万元，项目于2024年1月28日批复预算资金1584.93万元，截至2024年12月31日，项目用于棚户区改造征收过渡费，项目资金支付1584.92万元，资金到位率100%，预算执行率为100%。</w:t>
      </w:r>
    </w:p>
    <w:p>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本项目总体目标为：通过及时足额发放征收过渡费，保障棚户区改造被征收居民的基本生活需求，确保棚户区改造工作顺利推进，改善居民居住条件，提升城市整体形象。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数量指标：棚户区征收改造片区过渡费协议户数不低于690户；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质量指标：过渡费发放准确率达到100%；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时效指标：过渡费发放及时率达到100%。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经济成本指标：棚户区征收改造片区过渡费成本不高于1584.93万元。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社会效益指标：保障未安置户日常生活水平。</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满意度指标：被安置户满意度不低于90%。</w:t>
      </w:r>
    </w:p>
    <w:p>
      <w:pPr>
        <w:spacing w:line="540" w:lineRule="exact"/>
        <w:ind w:firstLine="312" w:firstLineChars="10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313" w:firstLineChars="100"/>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我单位根据《自治区财政支出绩效评价管理暂行办法》（新财预〔2018〕189号）文件精神，对棚户区改造征收过渡费项目绩效目标实现情况进行自评。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313" w:firstLineChars="100"/>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left="319" w:leftChars="152"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p>
    <w:p>
      <w:pPr>
        <w:spacing w:line="240" w:lineRule="auto"/>
        <w:ind w:left="319" w:leftChars="0" w:firstLine="312" w:firstLineChars="1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项目立项：立项依据充分性，权重4分。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组织实施：管理制度健全性，权重5分，制度执行有效性，权重6分。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w:t>
      </w:r>
    </w:p>
    <w:p>
      <w:pPr>
        <w:spacing w:line="240" w:lineRule="auto"/>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数量指标：棚户区征收改造片区过渡费协议户数数量，权重6分；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质量指标：过渡费发放准确率，权重5分；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时效指标：过渡费发放及时率，权重5分。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成本指标：棚户区征收改造片区过渡费成本，权重6分。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社会效益指标：保障未安置户日常生活水平，权重30分；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服务对象满意度指标：被安置户满意度，权重7分。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棚户区改造征收过渡费项目绩效评价主要通过项目单位自评、主管部门监督、财政部门参评的方式开展绩效评价工作。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240" w:lineRule="auto"/>
        <w:ind w:leftChars="0" w:firstLine="0" w:firstLineChars="0"/>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240" w:lineRule="auto"/>
        <w:ind w:leftChars="0"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发放调查问卷开展被安置户满意度调查工作。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240" w:lineRule="auto"/>
        <w:ind w:leftChars="0" w:firstLine="0" w:firstLineChars="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240" w:lineRule="auto"/>
        <w:ind w:leftChars="0"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100</w:t>
      </w:r>
      <w:r>
        <w:rPr>
          <w:rStyle w:val="18"/>
          <w:rFonts w:hint="eastAsia" w:ascii="仿宋" w:hAnsi="仿宋" w:eastAsia="仿宋" w:cs="仿宋"/>
          <w:b w:val="0"/>
          <w:bCs w:val="0"/>
          <w:spacing w:val="-4"/>
          <w:sz w:val="32"/>
          <w:szCs w:val="32"/>
        </w:rPr>
        <w:t>分，自评结果为“优”，其中项目决策得分17分，项目过程得分23分，项目产出得分21分，项目效益得分30分，项目满意度得分7分。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综合评价结论：项目决策方面，棚户区改造征收项目符合法律法规、相关政策、哈密市伊州区房屋与土地征收协调服务中心职责。棚户区改造征收过渡费按照规定程序申请设立，审批文件、材料符合要求；项目过程方面，建立健全内部财务管理制度，加强会计日常核算和监督，加强资金的预算、控制、分析和检查工作，做好项目财务管理基础工作；本项目到位资金1584.93万元，本项目资金严格按照《关于印发&lt;自治区财政资金使用跟踪反馈管理暂行办法&gt;的通知》（新财预字〔2016〕113号）、《哈密伊州区房屋与土地征收协调服务中心单位预算绩效管理办法》等相关专项资金、项目管理办法执行，按比例按资金用途使用，实行专款专用、严禁挤占挪用,实际支出资金1584.922763万元，预算执行率100%。；项目产出方面，项目产出类指标由4个一级指标和6个二级指标构成，达到预期指标；项目效益方面，项目效益类指标由1个二级指标和1个三级指标构成，达到预期指标；项目满意度方面，项目满意类指标由1个二级指标和1个三级指标构成达到预期指标。</w:t>
      </w:r>
    </w:p>
    <w:p>
      <w:pPr>
        <w:spacing w:line="240" w:lineRule="auto"/>
        <w:ind w:leftChars="0" w:firstLine="0" w:firstLineChars="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r>
        <w:rPr>
          <w:rStyle w:val="18"/>
          <w:rFonts w:hint="eastAsia" w:ascii="仿宋" w:hAnsi="仿宋" w:eastAsia="仿宋" w:cs="仿宋"/>
        </w:rPr>
        <w:t xml:space="preserve"> </w:t>
      </w:r>
    </w:p>
    <w:p>
      <w:pPr>
        <w:spacing w:line="240" w:lineRule="auto"/>
        <w:ind w:leftChars="0" w:firstLine="0" w:firstLineChars="0"/>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240" w:lineRule="auto"/>
        <w:ind w:leftChars="0" w:firstLine="0" w:firstLineChars="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棚户区改造征收过渡费项目符合法律法规、相关政策、哈密市伊州区房屋与土地征收协调服务中心职责。棚户区改造征收过渡费资金按照规定程序申请设立，审批文件、材料符合要求。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项目实施有明确的年度目标，且将绩效目标细化为一级指标4个，二级指标6个，三级指标6个。</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①项目绩效目标细化分解为具体的绩效指标如下：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“棚户区征收改造片区过渡费协议户数”指标，预期指标值为“≥690户”；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“过渡费发放准确率”指标，预期指标值为“=100%”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“过渡费发放及时率”指标，预期指标值为“=100%”。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“棚户区征收改造片区过渡费成本”指标，预期指标值为“≤1584.93万元”；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“保障未安置户日常生活水平”指标，预期指标值为“保障”；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“未安置户满意度”指标，预期指标值为“≥90%”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②绩效指标通过清晰、可衡量的指标值予以体现；</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③与项目目标任务数或计划数相对应。</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项目设定绩效目标；项目设定一级指标 4 个，二级指标6个，三级指标6 个。项目绩效目标与实际工作内容具有相关性；项目预期产出效益和效果符合正常的业绩水平；与预算确定的项目投资额或资金量相匹配。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项目测算标准符合国家及地方关于棚户区改造的相关政策法规，测算标准与当地房地产市场和物价水平相适应，过渡费标准对被征收户做到公平合理。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测算过渡费所依据的基础数据准确无误，数据来源可靠，计算方法科学合理。</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本项目实际到位资金1584.93万元，预算资金1584.93万元，资金到位率100%。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本项目实际到位资金1584.93万元，实际支出资金1584.92万元，预算执行率100%。主要是用于支付伊州区棚户区改造征收过渡费项目的支付。</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（1）管理制度健全性，满分5分，得分5分，得分率100%。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的财务和业务管理制度健全，财务和业务管理制度合法、合规、完整。依据《哈密市伊州区房屋与土地征收协调服务中心单位资金管理办法》文件，建立健全内部财务管理制度，加强会计日常核算和监督，加强资金的预算、控制、分析和检查工作，做好项目财务管理基础工作；项目实行审计制度，由相关部门对项目采取跟踪审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（2）制度执行有效性，满分6分，得分6分，得分率100%。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项目资金严格按照根据《中华人民共和国预算法》，加强对项目资金的预算执行及日常监督管理，确保每个项目按照规定的用途实施。资金拨付坚持按项目预算进度指定用途拨款，确保财政专项资金规范使用。</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棚户区征收改造片区过渡费协议户数，满分6分，得分6分，得分率100%。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棚户区征收改造片区签订过渡费协议户数年初设定的目标任务是690户，实际完成率达到100%。达到预期目标。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过渡费发放准确率，满分5分，得分5分，得分率100%。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按照规定的标准、范围、时间准确无误将过渡费发放到被征收户手中，资金用途专款专用，符合项目资金规定要求。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过渡费发放及时率，满分5分，得分5分，得分率100%。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提前做好资金预算和筹集计划，确保资金按时足额到位，在规定的时间节点内，按时发放过渡费，资金专款专用，银行支付票据资料，高效反映财政资金管理能力。</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棚户区征收改造片区过渡费成本，满分6分，得分5分，得分率90%。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通过完成棚户区征收改造配套工作，涉及被征收安置户过渡费，计划支付过渡费1584.93万元，完成支出1584.92万元，完成率100%，达到预期目标。</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保障未安置户日常生活水平，满分30分，得分30分，得分率100%。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过渡费的及时足额发放，使未安置户在搬迁后能够顺利租赁到合适的住房，保障了居住的稳定性，也为未安置户在搬迁后的日常生活开支提供了资金支持，确保其生活质量未因搬迁而出现明显下降。</w:t>
      </w:r>
    </w:p>
    <w:p>
      <w:pPr>
        <w:spacing w:line="540" w:lineRule="exact"/>
        <w:ind w:firstLine="567" w:firstLineChars="181"/>
        <w:rPr>
          <w:rStyle w:val="18"/>
          <w:rFonts w:hint="eastAsia" w:ascii="仿宋" w:hAnsi="仿宋" w:eastAsia="仿宋" w:cs="仿宋"/>
          <w:b w:val="0"/>
          <w:bCs w:val="0"/>
          <w:spacing w:val="-4"/>
          <w:sz w:val="32"/>
          <w:szCs w:val="32"/>
          <w:lang w:val="en-US" w:eastAsia="zh-CN"/>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Style w:val="18"/>
          <w:rFonts w:hint="eastAsia" w:ascii="仿宋" w:hAnsi="仿宋" w:eastAsia="仿宋" w:cs="仿宋"/>
          <w:b w:val="0"/>
          <w:bCs w:val="0"/>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未安置户满意度，满分8分，得分7分，得分率90%。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通过对服务对象的调查，棚户区改造征收过渡费项目的服务对象综合满意度达到了90%，我们将以服务对象的需求为导向，不断改进工作方法，提升服务质量，进一步提高服务对象的满意度。</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left="319" w:leftChars="152" w:firstLine="530" w:firstLineChars="17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p>
    <w:p>
      <w:pPr>
        <w:spacing w:line="540" w:lineRule="exact"/>
        <w:ind w:left="319" w:leftChars="152" w:firstLine="530" w:firstLineChars="170"/>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进一步加强对绩效管理工作的组织领导，提高对预算绩效管理工作重要性的认识，总结经验查找问题，抓紧研究制定更全面更完善的绩效评价管理办法。结合考核建立绩效工作考核制度，加大全局对全面实施预算绩效管理和绩效管理工作的学习力度，让“花钱必问效，无效必问责”的理念深入工作每个环节。进一步建立健全工作机制，完善内控制度，到2024年底，基本形成科学合理、高效严谨的全面绩效管理制度和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项目可能引发的不利于社会稳定的风险程度较低，但仍要注意加强对周边居民影响可能出现的矛盾的防范，并随时预防和减少环境影响或不确定因素等风险的发生。</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通过宣传项目对接地方经济发展，带动周边土地升值、增加就业和致富机会、增加集体经济等诸多能给农民带来长期福利、增加收入的正面影响。创新思路，讲求方法，以人为本，促进和谐发展。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建立风险预警制度，对发生的不稳定因素进行每日排查。加强治安保障，突发事件一旦发生或出现发生的苗头，各方力量和人员都能立即到位，把不稳定因素的影响控制在最小范围内。</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办对本次项目综合打分为96分。在本次项目中资金因素历来是影响项目建设的重要因素。各项资金是否落实到位、科学管理、合理运用，将直接影响本项目的顺利实施。因此，必须认真落实各项工作，保证资金到位并进行科学管理，否则项目难以实现预定目标。</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建议使用风险应对审查表对风险进行监测与控制，做好社会稳定风险预警防范的动态管理，建议规范危情公关管理，正确做好媒体及舆情应对。</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总体来说棚户</w:t>
      </w:r>
      <w:bookmarkStart w:id="0" w:name="_GoBack"/>
      <w:bookmarkEnd w:id="0"/>
      <w:r>
        <w:rPr>
          <w:rStyle w:val="18"/>
          <w:rFonts w:hint="eastAsia" w:ascii="仿宋" w:hAnsi="仿宋" w:eastAsia="仿宋" w:cs="仿宋"/>
          <w:b w:val="0"/>
          <w:bCs w:val="0"/>
          <w:spacing w:val="-4"/>
          <w:sz w:val="32"/>
          <w:szCs w:val="32"/>
        </w:rPr>
        <w:t>区改造工程是一项利民的政策、政府通过对棚户区的改造，将存量土地盘活，使土地的使用价值得到充分的利用。并且在改造过程中，棚户区的用地结构功能和服务功能都得到了优化，不仅为居住在棚户区的家庭提供了良好的社会保障服务，也有利于当地投资的增长及城镇化建设进程的加快。</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本项目解决安置后不但改善了棚户区居住环境、提高居民生活水平、构建稳定团结社会有重大意义，而且对推动当地社会经济事业的发展也有深远的意义。</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p>
      <w:pPr>
        <w:spacing w:line="540" w:lineRule="exact"/>
        <w:ind w:firstLine="567"/>
        <w:rPr>
          <w:rStyle w:val="18"/>
          <w:rFonts w:hint="eastAsia" w:ascii="仿宋" w:hAnsi="仿宋" w:eastAsia="仿宋" w:cs="仿宋"/>
          <w:b w:val="0"/>
          <w:spacing w:val="-4"/>
          <w:sz w:val="32"/>
          <w:szCs w:val="32"/>
        </w:rPr>
      </w:pPr>
    </w:p>
    <w:p>
      <w:pPr>
        <w:spacing w:line="540" w:lineRule="exact"/>
        <w:ind w:firstLine="567"/>
        <w:rPr>
          <w:rStyle w:val="18"/>
          <w:rFonts w:hint="eastAsia" w:ascii="仿宋" w:hAnsi="仿宋" w:eastAsia="仿宋" w:cs="仿宋"/>
          <w:b w:val="0"/>
          <w:spacing w:val="-4"/>
          <w:sz w:val="32"/>
          <w:szCs w:val="32"/>
        </w:rPr>
      </w:pPr>
    </w:p>
    <w:p>
      <w:pPr>
        <w:spacing w:line="540" w:lineRule="exact"/>
        <w:ind w:firstLine="567"/>
        <w:rPr>
          <w:rStyle w:val="18"/>
          <w:rFonts w:hint="eastAsia" w:ascii="仿宋" w:hAnsi="仿宋" w:eastAsia="仿宋" w:cs="仿宋"/>
          <w:b w:val="0"/>
          <w:spacing w:val="-4"/>
          <w:sz w:val="32"/>
          <w:szCs w:val="32"/>
        </w:rPr>
      </w:pP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4AC22B1"/>
    <w:rsid w:val="15392994"/>
    <w:rsid w:val="15520B1A"/>
    <w:rsid w:val="18FE139B"/>
    <w:rsid w:val="27714A5B"/>
    <w:rsid w:val="3029612C"/>
    <w:rsid w:val="32A221C5"/>
    <w:rsid w:val="33F20F2A"/>
    <w:rsid w:val="34C44675"/>
    <w:rsid w:val="36B82B23"/>
    <w:rsid w:val="3B5B5607"/>
    <w:rsid w:val="3CE21B3C"/>
    <w:rsid w:val="3FE0767B"/>
    <w:rsid w:val="4D2606A1"/>
    <w:rsid w:val="4F8A611E"/>
    <w:rsid w:val="51830480"/>
    <w:rsid w:val="51EB6428"/>
    <w:rsid w:val="53A616BE"/>
    <w:rsid w:val="54662BFB"/>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6164</Words>
  <Characters>6430</Characters>
  <Lines>5</Lines>
  <Paragraphs>1</Paragraphs>
  <TotalTime>3</TotalTime>
  <ScaleCrop>false</ScaleCrop>
  <LinksUpToDate>false</LinksUpToDate>
  <CharactersWithSpaces>6448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2025-11-06T13:59:37Z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