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bookmarkStart w:id="0" w:name="_GoBack"/>
      <w:bookmarkEnd w:id="0"/>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关于下达2023年安全生产预防和应急救援能力建设补助资金预算（尾矿库风险隐患治理支出）的通知-哈市财建（2023）74号</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赵子君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为贯彻落实《关于下达 2023 年安全生产预防和应急，救援能力建设补助资金预算（尾矿库隐患治理支出）的通知》（哈市财建〔2023〕74 号）等文件要求，尾矿库污染问题备受关注，如何有效治理和处理尾矿库成为当前亟需解决的</w:t>
      </w:r>
      <w:r>
        <w:rPr>
          <w:rStyle w:val="18"/>
          <w:rFonts w:hint="eastAsia" w:ascii="楷体" w:hAnsi="楷体" w:eastAsia="楷体"/>
          <w:b w:val="0"/>
          <w:bCs w:val="0"/>
          <w:spacing w:val="-4"/>
          <w:sz w:val="32"/>
          <w:szCs w:val="32"/>
          <w:lang w:val="en-US" w:eastAsia="zh-CN"/>
        </w:rPr>
        <w:t>问题</w:t>
      </w:r>
      <w:r>
        <w:rPr>
          <w:rStyle w:val="18"/>
          <w:rFonts w:hint="eastAsia" w:ascii="楷体" w:hAnsi="楷体" w:eastAsia="楷体"/>
          <w:b w:val="0"/>
          <w:bCs w:val="0"/>
          <w:spacing w:val="-4"/>
          <w:sz w:val="32"/>
          <w:szCs w:val="32"/>
        </w:rPr>
        <w:t>，应提升尾矿库安全风险防控能力，防范遏制尾矿库安全生产事故。</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全面摸清尾矿库安全环境的基础上，按照尾矿库闭库相关法律法规及技术规范，对该尾矿库实施闭库销号治理，通过坝坡治理，改造排洪系统、覆土植被、改造防渗设施等措施全面提升尾矿库安全风险防控能力，恢复生态环境，消除安全隐患，该项目完成后，给予企业发放补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关于下达2023年安全生产预防和应急</w:t>
      </w:r>
      <w:r>
        <w:rPr>
          <w:rStyle w:val="18"/>
          <w:rFonts w:hint="eastAsia" w:ascii="楷体" w:hAnsi="楷体" w:eastAsia="楷体"/>
          <w:b w:val="0"/>
          <w:bCs w:val="0"/>
          <w:spacing w:val="-4"/>
          <w:sz w:val="32"/>
          <w:szCs w:val="32"/>
          <w:lang w:val="en-US" w:eastAsia="zh-CN"/>
        </w:rPr>
        <w:t>预案</w:t>
      </w:r>
      <w:r>
        <w:rPr>
          <w:rStyle w:val="18"/>
          <w:rFonts w:hint="eastAsia" w:ascii="楷体" w:hAnsi="楷体" w:eastAsia="楷体"/>
          <w:b w:val="0"/>
          <w:bCs w:val="0"/>
          <w:spacing w:val="-4"/>
          <w:sz w:val="32"/>
          <w:szCs w:val="32"/>
        </w:rPr>
        <w:t>，救援能力建设补助资金预算（尾矿库风险隐患治理支出）的通知</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哈市财建（2023）74号计划拨付878万元，项目于2024年6月4日批复预算资金115</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万元，2024年7月8日批复预算资金762</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76万元，共计878万元，截至2024年12月31日，项目用于发放补助资金，项目资金支付878万元，资金到位率100%，预算执行率为100%。</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本项目总体目标为：该项目计划投入878万元，用于给5家企业发放安全生产预防和应急救援能力建设补助资金。提升尾矿库安全风险防控能力，恢复生态环境，消除安全隐患。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数量指标：补助资金发放单位数量等于5个；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质量指标：防患治理率达到100%；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时效指标：项目进度完成率达到100%。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经济成本指标：补助资金发放总金额不高于878万元。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社会效益指标：有效提升尾矿库安全风险防控能力；有效恢复生态环境。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满意度指标：服务对象满意度不低于98%。</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我单位根据《自治区财政支出绩效评价管理暂行办法》（新财预〔2018〕189号）文件精神，对关于下达2023年安全生产预防和应急，救援能力建设补助资金预算（尾矿库风险隐患治理支出）的通知</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哈市财建（2023）74号项目绩效目标实现情况进行自评。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项目立项：立项依据充分性，权重4分。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组织实施：管理制度健全性，权重5分，制度执行有效性，权重6分。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数量指标：补助资金发放单位数量，权重6分；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质量指标：防患治理率，权重5分；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时效指标：项目进度完成率，权重5分。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成本指标：补助资金发放总金额，权重6分。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社会效益指标：有效提升尾矿库安全风险防控能力，权重15分；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社会效益指标：有效恢复生态环境，权重15分。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服务对象满意度指标：服务对象满意度，权重8分。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关于下达2023年安全生产预防和应急，救援能力建设补助资金预算（尾矿库风险隐患治理支出）的通知</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哈市财建（2023）74号项目绩效评价主要通过项目单位自评、主管部门监督、财政部门参评的方式开展绩效评价工作。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发放调查问卷开展服务对象满意度调查工作。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评价结论：项目决策方面，此项目立项依据充分，绩效目标明确，测算标准合理，测算过程细化清晰。项目过程方面，资金到位足额及时，资金执行率100%，管理制度健全，制度执行有效。项目产出方面，补助资金发放单位数量5个，做到了应补尽补；救助标准符合要求。项目效益方面，通过发放补助资金，有效提升了尾矿库安全风险防控能力，有效恢复了生态环境。</w:t>
      </w:r>
    </w:p>
    <w:p>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本项目是由哈密市伊州区应急管理局提出申报，为贯彻落实《关于下达 2023 年安全生产预防和应急，救援能力建设补助资金预算（尾矿库隐患治理支出）的通知》（哈市财建〔2023〕74 号）等文件要求组织实施该项目；项目立项符合国家法律法规、国民经济和社会发展规划和相关政策，符合行业发展规划和政策要求，与部门职责范围相符，属于部门履职所需，属于公共财政支持范围，符合市、区两级政府事权支出责任划分原则，与相关部门同类项目或部门内部相关项目不存在政策交叉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（1）绩效目标明确性，满分4分，得分4分，得分率100%。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目标计划投入878万元，用于给5家企业发放安全生产预防和应急救援能力建设补助资金，有效提升了尾矿库安全风险防控能力，有效恢复了生态环境。以总体目标为基础，该项目细化具体了绩效指标，包含产出和效果内容，并通过清晰、可衡量的指标值予以体现，与项目目标任务数和计划数相对应，符合部门工作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（2）绩效目标合理性，满分4分，得分4分，得分率100%。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该项目已将项目绩效目标细化分解为具体的绩效指标：数量指标为补助资金发放单位数量；质量指标为防患治理率；时效指标为项目进度完成率；成本指标为补助资金发放总金额。项目绩效目标与实际工作内容具有相关性，项目预期产出效益和效果符合正常的业绩水平，与预算确定的项目投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（1）测算标准合理性，满分3分，得分3分，得分率100%。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项目根据《关于下达 2023 年安全生产预防和应急，救援能力建设补助资金预算（尾矿库隐患治理支出）的通知》（哈市财建〔2023〕74 号）等文件要求进行测算，预算测算内容符合相关政策文件规定和相关行业、领域管理标准，预算测算标准符合社会实际支出水平，符合上级管理部门的标准，具有合理性。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该项目已将项目绩效目标细化分解为具体的绩效指标，预算资金全部按照项目内容，用于补助资金发放，</w:t>
      </w:r>
      <w:r>
        <w:rPr>
          <w:rStyle w:val="18"/>
          <w:rFonts w:hint="eastAsia" w:ascii="楷体" w:hAnsi="楷体" w:eastAsia="楷体"/>
          <w:b w:val="0"/>
          <w:bCs w:val="0"/>
          <w:spacing w:val="-4"/>
          <w:sz w:val="32"/>
          <w:szCs w:val="32"/>
          <w:lang w:val="en-US" w:eastAsia="zh-CN"/>
        </w:rPr>
        <w:t>以</w:t>
      </w:r>
      <w:r>
        <w:rPr>
          <w:rStyle w:val="18"/>
          <w:rFonts w:hint="eastAsia" w:ascii="楷体" w:hAnsi="楷体" w:eastAsia="楷体"/>
          <w:b w:val="0"/>
          <w:bCs w:val="0"/>
          <w:spacing w:val="-4"/>
          <w:sz w:val="32"/>
          <w:szCs w:val="32"/>
        </w:rPr>
        <w:t>根据事权划分准确核定本级财政支出。</w:t>
      </w:r>
      <w:r>
        <w:rPr>
          <w:rStyle w:val="18"/>
          <w:rFonts w:hint="eastAsia" w:ascii="楷体" w:hAnsi="楷体" w:eastAsia="楷体"/>
          <w:b w:val="0"/>
          <w:bCs w:val="0"/>
          <w:spacing w:val="-4"/>
          <w:sz w:val="32"/>
          <w:szCs w:val="32"/>
          <w:lang w:eastAsia="zh-CN"/>
        </w:rPr>
        <w:tab/>
      </w:r>
    </w:p>
    <w:p>
      <w:pPr>
        <w:spacing w:line="540" w:lineRule="exact"/>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该项目分别于2024年6月4日和7月8日申请财政预算资金共计878万元，2024年6月4日财政下达资金115</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万元，2024年7月8日财政下达资金762</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76万元，共计878万元，预算资金已及时拨付至我单位，资金到位率100%。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本项目预算编制较为详细，预算资金878万元，实际执行878万元，预算执行率为100%，项目资金支出总体能够按照预算执行。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（1）管理制度健全性，满分5分，得分5分，得分率100%。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相关内控制度及财务制度，如《合同管理制度》、《行政单位收入的管理》、《行政单位支出的管理》以及《哈密市伊州区应急管理局绩效管理办法》等，制度合法、合规、完整，并且能够严格遵守相关法律法规和相关管理规定，为进一步保障项目实施、项目调整及支出调整手续完备，并及时归档，项目实施的各项工作落实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支出严格按照《合同管理制度》、《行政单位收入的管理》、《行政单位支出的管理》以及《哈密市伊州区应急管理局绩效管理办法》等相关制度要求执行，项目实施由部门提出经费预算支出可行性方案，经过与分管领导沟通后，报党委会议研究执行，财务对资金的使用合法合规性进行监督，年底对资金使用效果进行自评。</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补助资金发放单位数量，满分6分，得分6分，得分率100%。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 2023 年安全生产预防和应急，救援能力建设补助资金预算（尾矿库隐患治理支出）的通知》（哈市财建〔2023〕74 号）文件要求计划补助资金发放单位数量5个，达到绩效指标。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防患治理率，满分5分，得分5分，得分率100%。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根据5家企业的验收报告，防患治理率达到100%。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项目进度完成率，满分5分，得分5分，得分率100%。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项目计划2024年内完成补助资金发放的任务，根据一体化指标查询情况显示，实际2024年内已全部完成，项目完成及时率100%。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补助资金发放总金额，满分6分，得分6分，得分率100%。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补助资金发放预算资金878万元，实际执行878万元，执行率为100%，符合项目成本控制要求。</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pPr>
        <w:spacing w:line="540" w:lineRule="exact"/>
        <w:rPr>
          <w:rStyle w:val="18"/>
          <w:rFonts w:hint="default"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有效提升尾矿库安全风险防控能力，满分15分，得分15分，得分率100%。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通过坝坡治理，改造排洪系统、覆土植被、改造防渗设施等措施全面提升了尾矿库安全风险防控能力，消除了安全隐患。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有效恢复生态环境，满分15分，得分15分，得分率100%。\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通过坝坡治理，改造排洪系统、覆土植被、改造防渗设施等措施全面，恢复了生态环境，消除了安全隐患。</w:t>
      </w:r>
    </w:p>
    <w:p>
      <w:pPr>
        <w:spacing w:line="540" w:lineRule="exact"/>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服务对象满意度，满分8分，得分8分，得分率100%。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通过调查问卷统计，发放补助资金企业的满意度达到100%。</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8"/>
          <w:rFonts w:hint="eastAsia" w:ascii="楷体" w:hAnsi="楷体" w:eastAsia="楷体"/>
          <w:b w:val="0"/>
          <w:bCs w:val="0"/>
          <w:spacing w:val="-4"/>
          <w:sz w:val="32"/>
          <w:szCs w:val="32"/>
          <w:lang w:val="en-US" w:eastAsia="zh-CN"/>
        </w:rPr>
        <w:t>了</w:t>
      </w:r>
      <w:r>
        <w:rPr>
          <w:rStyle w:val="18"/>
          <w:rFonts w:hint="eastAsia" w:ascii="楷体" w:hAnsi="楷体" w:eastAsia="楷体"/>
          <w:b w:val="0"/>
          <w:bCs w:val="0"/>
          <w:spacing w:val="-4"/>
          <w:sz w:val="32"/>
          <w:szCs w:val="32"/>
        </w:rPr>
        <w:t>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楷体"/>
          <w:b w:val="0"/>
          <w:bCs w:val="0"/>
          <w:spacing w:val="-4"/>
          <w:sz w:val="32"/>
          <w:szCs w:val="32"/>
          <w:lang w:val="en-US" w:eastAsia="zh-CN"/>
        </w:rPr>
        <w:t>健</w:t>
      </w:r>
      <w:r>
        <w:rPr>
          <w:rStyle w:val="18"/>
          <w:rFonts w:hint="eastAsia" w:ascii="楷体" w:hAnsi="楷体" w:eastAsia="楷体"/>
          <w:b w:val="0"/>
          <w:bCs w:val="0"/>
          <w:spacing w:val="-4"/>
          <w:sz w:val="32"/>
          <w:szCs w:val="32"/>
        </w:rPr>
        <w:t>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w:t>
      </w:r>
      <w:r>
        <w:rPr>
          <w:rStyle w:val="18"/>
          <w:rFonts w:hint="eastAsia" w:ascii="楷体" w:hAnsi="楷体" w:eastAsia="楷体"/>
          <w:b w:val="0"/>
          <w:bCs w:val="0"/>
          <w:spacing w:val="-4"/>
          <w:sz w:val="32"/>
          <w:szCs w:val="32"/>
          <w:lang w:val="en-US" w:eastAsia="zh-CN"/>
        </w:rPr>
        <w:t>局</w:t>
      </w:r>
      <w:r>
        <w:rPr>
          <w:rStyle w:val="18"/>
          <w:rFonts w:hint="eastAsia" w:ascii="楷体" w:hAnsi="楷体" w:eastAsia="楷体"/>
          <w:b w:val="0"/>
          <w:bCs w:val="0"/>
          <w:spacing w:val="-4"/>
          <w:sz w:val="32"/>
          <w:szCs w:val="32"/>
        </w:rPr>
        <w:t>限性，客观性有待加强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w:t>
      </w:r>
      <w:r>
        <w:rPr>
          <w:rStyle w:val="18"/>
          <w:rFonts w:hint="eastAsia" w:ascii="楷体" w:hAnsi="楷体" w:eastAsia="楷体"/>
          <w:b w:val="0"/>
          <w:bCs w:val="0"/>
          <w:spacing w:val="-4"/>
          <w:sz w:val="32"/>
          <w:szCs w:val="32"/>
          <w:lang w:val="en-US" w:eastAsia="zh-CN"/>
        </w:rPr>
        <w:t>局</w:t>
      </w:r>
      <w:r>
        <w:rPr>
          <w:rStyle w:val="18"/>
          <w:rFonts w:hint="eastAsia" w:ascii="楷体" w:hAnsi="楷体" w:eastAsia="楷体"/>
          <w:b w:val="0"/>
          <w:bCs w:val="0"/>
          <w:spacing w:val="-4"/>
          <w:sz w:val="32"/>
          <w:szCs w:val="32"/>
        </w:rPr>
        <w:t>限性，项目支出绩效工作有较大弹性，评价报告多单位限于描述项目实施情况，对问题避重就轻，对项目的打分松紧不一，会影响评价质量，在客观性和公正性上说服力不强。</w:t>
      </w:r>
    </w:p>
    <w:p>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1ABC4D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6"/>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7"/>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semiHidden/>
    <w:unhideWhenUsed/>
    <w:qFormat/>
    <w:uiPriority w:val="39"/>
    <w:pPr>
      <w:outlineLvl w:val="9"/>
    </w:pPr>
    <w:rPr>
      <w:lang w:eastAsia="en-US" w:bidi="en-US"/>
    </w:rPr>
  </w:style>
  <w:style w:type="character" w:customStyle="1" w:styleId="25">
    <w:name w:val="标题 1 字符"/>
    <w:basedOn w:val="17"/>
    <w:link w:val="2"/>
    <w:qFormat/>
    <w:uiPriority w:val="9"/>
    <w:rPr>
      <w:rFonts w:ascii="Cambria" w:hAnsi="Cambria" w:eastAsia="宋体"/>
      <w:b/>
      <w:bCs/>
      <w:kern w:val="32"/>
      <w:sz w:val="32"/>
      <w:szCs w:val="32"/>
    </w:rPr>
  </w:style>
  <w:style w:type="character" w:customStyle="1" w:styleId="26">
    <w:name w:val="标题 2 字符"/>
    <w:basedOn w:val="17"/>
    <w:link w:val="3"/>
    <w:semiHidden/>
    <w:qFormat/>
    <w:uiPriority w:val="9"/>
    <w:rPr>
      <w:rFonts w:ascii="Cambria" w:hAnsi="Cambria" w:eastAsia="宋体"/>
      <w:b/>
      <w:bCs/>
      <w:i/>
      <w:iCs/>
      <w:sz w:val="28"/>
      <w:szCs w:val="28"/>
    </w:rPr>
  </w:style>
  <w:style w:type="character" w:customStyle="1" w:styleId="27">
    <w:name w:val="标题 3 字符"/>
    <w:basedOn w:val="17"/>
    <w:link w:val="4"/>
    <w:semiHidden/>
    <w:qFormat/>
    <w:uiPriority w:val="9"/>
    <w:rPr>
      <w:rFonts w:ascii="Cambria" w:hAnsi="Cambria" w:eastAsia="宋体"/>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Cambria" w:hAnsi="Cambria" w:eastAsia="宋体"/>
    </w:rPr>
  </w:style>
  <w:style w:type="character" w:customStyle="1" w:styleId="34">
    <w:name w:val="标题 字符"/>
    <w:basedOn w:val="17"/>
    <w:link w:val="15"/>
    <w:qFormat/>
    <w:uiPriority w:val="10"/>
    <w:rPr>
      <w:rFonts w:ascii="Cambria" w:hAnsi="Cambria" w:eastAsia="宋体"/>
      <w:b/>
      <w:bCs/>
      <w:kern w:val="28"/>
      <w:sz w:val="32"/>
      <w:szCs w:val="32"/>
    </w:rPr>
  </w:style>
  <w:style w:type="character" w:customStyle="1" w:styleId="35">
    <w:name w:val="副标题 字符"/>
    <w:basedOn w:val="17"/>
    <w:link w:val="14"/>
    <w:qFormat/>
    <w:uiPriority w:val="11"/>
    <w:rPr>
      <w:rFonts w:ascii="Cambria" w:hAnsi="Cambria" w:eastAsia="宋体"/>
      <w:sz w:val="24"/>
      <w:szCs w:val="24"/>
    </w:rPr>
  </w:style>
  <w:style w:type="character" w:customStyle="1" w:styleId="36">
    <w:name w:val="引用 字符"/>
    <w:basedOn w:val="17"/>
    <w:link w:val="22"/>
    <w:qFormat/>
    <w:uiPriority w:val="29"/>
    <w:rPr>
      <w:i/>
      <w:sz w:val="24"/>
      <w:szCs w:val="24"/>
    </w:rPr>
  </w:style>
  <w:style w:type="character" w:customStyle="1" w:styleId="37">
    <w:name w:val="明显引用 字符"/>
    <w:basedOn w:val="17"/>
    <w:link w:val="23"/>
    <w:qFormat/>
    <w:uiPriority w:val="30"/>
    <w:rPr>
      <w:b/>
      <w:i/>
      <w:sz w:val="24"/>
    </w:rPr>
  </w:style>
  <w:style w:type="character" w:customStyle="1" w:styleId="38">
    <w:name w:val="不明显强调1"/>
    <w:qFormat/>
    <w:uiPriority w:val="19"/>
    <w:rPr>
      <w:i/>
      <w:color w:val="565656"/>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Cambria" w:hAnsi="Cambria" w:eastAsia="宋体"/>
      <w:b/>
      <w:i/>
      <w:sz w:val="24"/>
      <w:szCs w:val="24"/>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6271</Words>
  <Characters>6565</Characters>
  <Lines>5</Lines>
  <Paragraphs>1</Paragraphs>
  <TotalTime>0</TotalTime>
  <ScaleCrop>false</ScaleCrop>
  <LinksUpToDate>false</LinksUpToDate>
  <CharactersWithSpaces>0</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2025-11-07T02:51:04Z</cp:lastPrinted>
  <dcterms:modified xsi:type="dcterms:W3CDTF">2025-11-07T02:51:11Z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