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E379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D4A6D6E">
      <w:pPr>
        <w:spacing w:line="540" w:lineRule="exact"/>
        <w:jc w:val="center"/>
        <w:rPr>
          <w:rFonts w:ascii="华文中宋" w:hAnsi="华文中宋" w:eastAsia="华文中宋" w:cs="宋体"/>
          <w:b/>
          <w:kern w:val="0"/>
          <w:sz w:val="52"/>
          <w:szCs w:val="52"/>
        </w:rPr>
      </w:pPr>
    </w:p>
    <w:p w14:paraId="2E6A1736">
      <w:pPr>
        <w:spacing w:line="540" w:lineRule="exact"/>
        <w:jc w:val="center"/>
        <w:rPr>
          <w:rFonts w:ascii="华文中宋" w:hAnsi="华文中宋" w:eastAsia="华文中宋" w:cs="宋体"/>
          <w:b/>
          <w:kern w:val="0"/>
          <w:sz w:val="52"/>
          <w:szCs w:val="52"/>
        </w:rPr>
      </w:pPr>
    </w:p>
    <w:p w14:paraId="7F122103">
      <w:pPr>
        <w:spacing w:line="540" w:lineRule="exact"/>
        <w:jc w:val="center"/>
        <w:rPr>
          <w:rFonts w:ascii="华文中宋" w:hAnsi="华文中宋" w:eastAsia="华文中宋" w:cs="宋体"/>
          <w:b/>
          <w:kern w:val="0"/>
          <w:sz w:val="52"/>
          <w:szCs w:val="52"/>
        </w:rPr>
      </w:pPr>
    </w:p>
    <w:p w14:paraId="36E8238D">
      <w:pPr>
        <w:spacing w:line="540" w:lineRule="exact"/>
        <w:jc w:val="center"/>
        <w:rPr>
          <w:rFonts w:hint="eastAsia" w:ascii="华文中宋" w:hAnsi="华文中宋" w:eastAsia="华文中宋" w:cs="宋体"/>
          <w:b/>
          <w:kern w:val="0"/>
          <w:sz w:val="52"/>
          <w:szCs w:val="52"/>
          <w:lang w:eastAsia="zh-CN"/>
        </w:rPr>
      </w:pPr>
    </w:p>
    <w:p w14:paraId="630F778F">
      <w:pPr>
        <w:spacing w:line="540" w:lineRule="exact"/>
        <w:jc w:val="center"/>
        <w:rPr>
          <w:rFonts w:ascii="华文中宋" w:hAnsi="华文中宋" w:eastAsia="华文中宋" w:cs="宋体"/>
          <w:b/>
          <w:kern w:val="0"/>
          <w:sz w:val="52"/>
          <w:szCs w:val="52"/>
        </w:rPr>
      </w:pPr>
    </w:p>
    <w:p w14:paraId="2D187A8B">
      <w:pPr>
        <w:spacing w:line="540" w:lineRule="exact"/>
        <w:jc w:val="center"/>
        <w:rPr>
          <w:rFonts w:ascii="华文中宋" w:hAnsi="华文中宋" w:eastAsia="华文中宋" w:cs="宋体"/>
          <w:b/>
          <w:kern w:val="0"/>
          <w:sz w:val="52"/>
          <w:szCs w:val="52"/>
        </w:rPr>
      </w:pPr>
    </w:p>
    <w:p w14:paraId="6BD66A9B">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项目支出绩效自评报告</w:t>
      </w:r>
    </w:p>
    <w:p w14:paraId="3A513494">
      <w:pPr>
        <w:spacing w:line="540" w:lineRule="exact"/>
        <w:jc w:val="center"/>
        <w:rPr>
          <w:rFonts w:ascii="华文中宋" w:hAnsi="华文中宋" w:eastAsia="华文中宋" w:cs="宋体"/>
          <w:b/>
          <w:kern w:val="0"/>
          <w:sz w:val="52"/>
          <w:szCs w:val="52"/>
        </w:rPr>
      </w:pPr>
    </w:p>
    <w:p w14:paraId="731E0A0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2E71C1F">
      <w:pPr>
        <w:spacing w:line="540" w:lineRule="exact"/>
        <w:jc w:val="center"/>
        <w:rPr>
          <w:rFonts w:hAnsi="宋体" w:eastAsia="仿宋_GB2312" w:cs="宋体"/>
          <w:kern w:val="0"/>
          <w:sz w:val="30"/>
          <w:szCs w:val="30"/>
        </w:rPr>
      </w:pPr>
    </w:p>
    <w:p w14:paraId="7EAA6BF3">
      <w:pPr>
        <w:spacing w:line="540" w:lineRule="exact"/>
        <w:jc w:val="center"/>
        <w:rPr>
          <w:rFonts w:hAnsi="宋体" w:eastAsia="仿宋_GB2312" w:cs="宋体"/>
          <w:kern w:val="0"/>
          <w:sz w:val="30"/>
          <w:szCs w:val="30"/>
        </w:rPr>
      </w:pPr>
    </w:p>
    <w:p w14:paraId="78AF4969">
      <w:pPr>
        <w:spacing w:line="540" w:lineRule="exact"/>
        <w:jc w:val="center"/>
        <w:rPr>
          <w:rFonts w:hAnsi="宋体" w:eastAsia="仿宋_GB2312" w:cs="宋体"/>
          <w:kern w:val="0"/>
          <w:sz w:val="30"/>
          <w:szCs w:val="30"/>
        </w:rPr>
      </w:pPr>
    </w:p>
    <w:p w14:paraId="2AF77A75">
      <w:pPr>
        <w:spacing w:line="540" w:lineRule="exact"/>
        <w:jc w:val="center"/>
        <w:rPr>
          <w:rFonts w:hAnsi="宋体" w:eastAsia="仿宋_GB2312" w:cs="宋体"/>
          <w:kern w:val="0"/>
          <w:sz w:val="30"/>
          <w:szCs w:val="30"/>
        </w:rPr>
      </w:pPr>
    </w:p>
    <w:p w14:paraId="1CDBA224">
      <w:pPr>
        <w:spacing w:line="540" w:lineRule="exact"/>
        <w:jc w:val="center"/>
        <w:rPr>
          <w:rFonts w:hAnsi="宋体" w:eastAsia="仿宋_GB2312" w:cs="宋体"/>
          <w:kern w:val="0"/>
          <w:sz w:val="30"/>
          <w:szCs w:val="30"/>
        </w:rPr>
      </w:pPr>
    </w:p>
    <w:p w14:paraId="738479C6">
      <w:pPr>
        <w:spacing w:line="540" w:lineRule="exact"/>
        <w:jc w:val="center"/>
        <w:rPr>
          <w:rFonts w:hAnsi="宋体" w:eastAsia="仿宋_GB2312" w:cs="宋体"/>
          <w:kern w:val="0"/>
          <w:sz w:val="30"/>
          <w:szCs w:val="30"/>
        </w:rPr>
      </w:pPr>
    </w:p>
    <w:p w14:paraId="7CE822A8">
      <w:pPr>
        <w:spacing w:line="540" w:lineRule="exact"/>
        <w:rPr>
          <w:rFonts w:hAnsi="宋体" w:eastAsia="仿宋_GB2312" w:cs="宋体"/>
          <w:kern w:val="0"/>
          <w:sz w:val="30"/>
          <w:szCs w:val="30"/>
        </w:rPr>
      </w:pPr>
    </w:p>
    <w:p w14:paraId="2D03B3B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3DA730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特定类-市区路灯电费</w:t>
      </w:r>
    </w:p>
    <w:p w14:paraId="5260FD9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哈密市伊州区市政养护中心</w:t>
      </w:r>
    </w:p>
    <w:p w14:paraId="6D8826F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哈密市伊州区市政养护中心</w:t>
      </w:r>
    </w:p>
    <w:p w14:paraId="53A7CB7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张传荣</w:t>
      </w:r>
    </w:p>
    <w:p w14:paraId="2B3C2F90">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2025年05月21日</w:t>
      </w:r>
    </w:p>
    <w:p w14:paraId="23C7F250">
      <w:pPr>
        <w:spacing w:line="540" w:lineRule="exact"/>
        <w:rPr>
          <w:rStyle w:val="19"/>
          <w:rFonts w:ascii="黑体" w:hAnsi="黑体" w:eastAsia="黑体"/>
          <w:b w:val="0"/>
          <w:spacing w:val="-4"/>
          <w:sz w:val="32"/>
          <w:szCs w:val="32"/>
        </w:rPr>
      </w:pPr>
    </w:p>
    <w:p w14:paraId="2F3BFA1E">
      <w:pPr>
        <w:spacing w:line="540" w:lineRule="exact"/>
        <w:rPr>
          <w:rStyle w:val="19"/>
          <w:rFonts w:ascii="黑体" w:hAnsi="黑体" w:eastAsia="黑体"/>
          <w:b w:val="0"/>
          <w:spacing w:val="-4"/>
          <w:sz w:val="32"/>
          <w:szCs w:val="32"/>
        </w:rPr>
      </w:pPr>
    </w:p>
    <w:p w14:paraId="6D4E9F7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06D7ED5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5936DB9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166B24C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随着我市经济社会的快速发展和城市化进程的不断深入，市区建成区规模持续扩大，人口集聚度显著提高，居民夜间出行、休闲娱乐活动日益频繁，对城市夜间环境品质、公共安全保障能力提出了更高要求。为切实改善市民夜间生活环境，提升城市整体形象与品位，增强公共安全保障能力，本项目旨在保障市区路灯亮化，消除照明暗区，保障夜间道路通行安全；同步对主要公园、广场、景观带及重要建筑节点进行景观照明提升，此外，项目将配套公安视频监控点位，构建“全域覆盖、全网共享、全时可用、全程可控”的立体化治安防控体系，有效提升城市管理效率和应对突发事件的能力。</w:t>
      </w:r>
    </w:p>
    <w:p w14:paraId="57F0BAE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本项目的实施，是提升城市综合承载能力、改善民生福祉、增强城市吸引力与竞争力的重要举措，对于打造安全、宜居、智慧、美丽的现代化城市具有重大现实意义。</w:t>
      </w:r>
    </w:p>
    <w:p w14:paraId="10276EA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2.主要内容及实施情况</w:t>
      </w:r>
    </w:p>
    <w:p w14:paraId="5927ADC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市区路灯电费项目预算700万元，实际支出700万元，通过项目的实施，有效消除照明盲区，显著提升夜间道路亮度和均匀度，美化城市夜间环境。公安监控方面重点覆盖治安复杂区域、交通要道及公共活动场所，大幅扩展监控覆盖面和清晰度。目前，道路照明改造区域夜间照明度增强，市民出行更安全便利；景观亮化提升了城市夜间形象，带动了夜经济；新建监控系统有效提升了治安防控和城市管理响应效率，初步构建了“点面结合、智能高效”的城市夜间光环境与安防体系。</w:t>
      </w:r>
    </w:p>
    <w:p w14:paraId="7F1E15A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3.资金投入和使用情况</w:t>
      </w:r>
    </w:p>
    <w:p w14:paraId="5B12CE5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市区路灯电费项目计划拨付700万元，截至2024年12月31日，项目用于城市亮化，促进亮化工作顺利开展，美化城市环境，项目资金支付700万元，资金到位率100%，预算执行率为100%。</w:t>
      </w:r>
    </w:p>
    <w:p w14:paraId="3D406C6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D34018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本项目总体目标为：通过为市区提供用电保障，满足行人安全出行，景观美化，公安监控正常使用，促进安防工作顺利开展，美化城市环境。</w:t>
      </w:r>
    </w:p>
    <w:p w14:paraId="7F390D3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cr/>
      </w:r>
      <w:r>
        <w:rPr>
          <w:rFonts w:hint="eastAsia"/>
          <w:lang w:val="en-US" w:eastAsia="zh-CN"/>
        </w:rPr>
        <w:t xml:space="preserve">     </w:t>
      </w:r>
      <w:r>
        <w:rPr>
          <w:rStyle w:val="19"/>
          <w:rFonts w:hint="eastAsia" w:ascii="楷体" w:hAnsi="楷体" w:eastAsia="楷体"/>
          <w:b w:val="0"/>
          <w:bCs w:val="0"/>
          <w:spacing w:val="-4"/>
          <w:sz w:val="32"/>
          <w:szCs w:val="32"/>
        </w:rPr>
        <w:t>1.产出指标</w:t>
      </w:r>
      <w:r>
        <w:cr/>
      </w:r>
      <w:r>
        <w:rPr>
          <w:rStyle w:val="19"/>
          <w:rFonts w:hint="eastAsia" w:ascii="楷体" w:hAnsi="楷体" w:eastAsia="楷体"/>
          <w:b w:val="0"/>
          <w:bCs w:val="0"/>
          <w:spacing w:val="-4"/>
          <w:sz w:val="32"/>
          <w:szCs w:val="32"/>
        </w:rPr>
        <w:t>数量指标：市区亮化月供电量不小于1233551千瓦时；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质量指标：路灯亮灯率不低于98%；</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时效指标：市区路灯电费缴纳及时率达到100%。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经济成本指标：市区路灯电费年成本不高于700万元；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社会效益指标：保障市</w:t>
      </w:r>
      <w:r>
        <w:rPr>
          <w:rStyle w:val="19"/>
          <w:rFonts w:hint="eastAsia" w:ascii="楷体" w:hAnsi="楷体" w:eastAsia="楷体"/>
          <w:b w:val="0"/>
          <w:bCs w:val="0"/>
          <w:spacing w:val="-4"/>
          <w:sz w:val="32"/>
          <w:szCs w:val="32"/>
          <w:lang w:val="en-US" w:eastAsia="zh-CN"/>
        </w:rPr>
        <w:t>市区</w:t>
      </w:r>
      <w:r>
        <w:rPr>
          <w:rStyle w:val="19"/>
          <w:rFonts w:hint="eastAsia" w:ascii="楷体" w:hAnsi="楷体" w:eastAsia="楷体"/>
          <w:b w:val="0"/>
          <w:bCs w:val="0"/>
          <w:spacing w:val="-4"/>
          <w:sz w:val="32"/>
          <w:szCs w:val="32"/>
        </w:rPr>
        <w:t>道路照明及公共亮化设施照明。</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满意度指标：市区居民满意度不低于95%</w:t>
      </w:r>
    </w:p>
    <w:p w14:paraId="6A27B1E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0F577FA2">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46598A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文件精神，对市区路灯电费项目绩效目标实现情况进行自评。</w:t>
      </w:r>
    </w:p>
    <w:p w14:paraId="0488582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2EC0AEB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24496BA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703B7CA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14:paraId="749322F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p>
    <w:p w14:paraId="4E3F863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p>
    <w:p w14:paraId="1686739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p>
    <w:p w14:paraId="17B0CA9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p>
    <w:p w14:paraId="435C5BE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本项目评价指标体系采用项目绩效自评表与决策、过程自定指标相结合方式，其中项目决策17分，项目过程23分，项目产出22分，项目效益20分，项目满意度18分，详细情况见附件2：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数量指标：市区路灯月供电量，权重3分；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质量指标：市区质量指标达标率，权重5分；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时效指标：市区路灯电费缴纳及时率，权重5分。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成本指标：市区路灯电费总成本，权重9分。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社会效益指标：障市区道路照明及公共亮化设施照明，权重20分；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服务对象满意度指标：市区居民满意度，权重18分。</w:t>
      </w:r>
    </w:p>
    <w:p w14:paraId="4CAF61F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3.评价方法</w:t>
      </w:r>
    </w:p>
    <w:p w14:paraId="788E4A1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市区路灯电费项目绩效评价主要通过项目单位自评、主管部门监督、财政部门参评的方式开展绩效评价工作。</w:t>
      </w:r>
    </w:p>
    <w:p w14:paraId="4355F1E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p>
    <w:p w14:paraId="2F90A92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2E144B1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6E50EA2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43ED02A6">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261C7F2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20BFCAB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p>
    <w:p w14:paraId="4A29F35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p>
    <w:p w14:paraId="2047C53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2.组织过程</w:t>
      </w:r>
    </w:p>
    <w:p w14:paraId="6EB63E6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p>
    <w:p w14:paraId="39165F1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p>
    <w:p w14:paraId="403292A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发放调查问卷开展市区居民对城市绿化效果的满意度调查工作。</w:t>
      </w:r>
    </w:p>
    <w:p w14:paraId="3B12037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（3）撰写报告情况</w:t>
      </w:r>
    </w:p>
    <w:p w14:paraId="4D8D12D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0BFDC9F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7BD5AD1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本次项目自评满分100分，自评得分100分，自评结果为“优”，其中项目决策得分17分，项目过程得分23分，项目产出得分22分，项目效益得分20分，项目满意度得分18分。</w:t>
      </w:r>
    </w:p>
    <w:p w14:paraId="32AF717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项目立项符合国家法律法规、自治区和地区行业发展规划和政策要求，属于本部门履职所需；项目过程方面，我单位制定了相关项目管理办法，同时对财政专项资金进行严格管理，基本做到了专款专用，预算资金700万元，实际执行700万元，预算执行率为100%，项目资金支出能够按照预算执行；项目产出方面，通过及时支付市区路灯电费，保障市区路灯、景观灯、公安监控正常使用，保障了亮化生产工作正常开展；项目效益方面，提升城市亮化效果和生活情况，城市亮化效果改善显著，预期达到效果显著，根据本单位年度照明亮化工作开展情况，市政照明设施得到及时维修维护，保障行人安全出行，满足居民生活需求，实际完情况达到预期指标；项目满意度方面，市区居民满意度，提高群众对城市亮化效果满意率，预期达到效果显著，城市路灯亮化工作致力于改善和优化城市环境、保障行人安全出行和公共安全，实际完成情况达成预期指标。</w:t>
      </w:r>
    </w:p>
    <w:p w14:paraId="4AE5B61A">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18AD3A6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339924AC">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569A0A8D">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立项依据充分性，满分2分，得分2分，得分率100%。</w:t>
      </w:r>
    </w:p>
    <w:p w14:paraId="4FED747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2024年我单位根据单位实际生产工作需求组织实施该项目。项目立项符合国家法律法规、自治区和地区行业发展规划和政策要求，属于本部门履职所需。</w:t>
      </w:r>
    </w:p>
    <w:p w14:paraId="18BA45E0">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立项程序规范性，满分2分，得分2分，得分率100%。</w:t>
      </w:r>
    </w:p>
    <w:p w14:paraId="22FBD16D">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项目立项符合规定程序，审批文件等材料合规、完整，有完整的评估程序和集体决策。</w:t>
      </w:r>
    </w:p>
    <w:p w14:paraId="794F956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w:t>
      </w:r>
    </w:p>
    <w:p w14:paraId="62EBF673">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（1）绩效目标明确性，满分4分，得4分，得分率100%。</w:t>
      </w:r>
    </w:p>
    <w:p w14:paraId="4F24CD53">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目标明确性，市区路灯电费项目根据历年项目支出数据，结合当年数据变化情况设定绩效指标，已将项目绩效目标细化分解为具体的绩效指标，并通过清晰、可衡量的指标值予以体现，与项目目标任务数或计划数相对应，满分4分，得分4分，得分率100%。。</w:t>
      </w:r>
    </w:p>
    <w:p w14:paraId="7DE8DA6D">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（2）绩效目标合理性，满分4分，得分4分，得分率100%。</w:t>
      </w:r>
    </w:p>
    <w:p w14:paraId="1320E56C">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制定了项目支出绩效目标，明确了项目总体思路及总目标、并对项目任务进行了详细分解，对目标进行了细化。市区路灯电费项目根据历年项目支出数据，结合当年数据变化情况设定绩效指标，本项目资金分配依据充分，资金分配额度合理，与项目地方实际相适应。</w:t>
      </w:r>
    </w:p>
    <w:p w14:paraId="5EAAD7A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3.预算编制</w:t>
      </w:r>
    </w:p>
    <w:p w14:paraId="535A5D71">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（1）测算标准合理性，满分3分，得分3分，得分率100%。</w:t>
      </w:r>
    </w:p>
    <w:p w14:paraId="1C11BF4F">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算标准合理性，市区路灯电费项目通过用电量等指标评定成本指标,通过提高群众对城市亮化效果满意率和城市亮化效果改善显著评定效益指标，预算编制经过科学论证，内容与项目内容匹配，项目投资额与工作任务相匹配，分3分，得分3分，得分率100%</w:t>
      </w:r>
      <w:r>
        <w:rPr>
          <w:rStyle w:val="19"/>
          <w:rFonts w:hint="eastAsia" w:ascii="楷体" w:hAnsi="楷体" w:eastAsia="楷体"/>
          <w:b w:val="0"/>
          <w:bCs w:val="0"/>
          <w:spacing w:val="-4"/>
          <w:sz w:val="32"/>
          <w:szCs w:val="32"/>
          <w:lang w:eastAsia="zh-CN"/>
        </w:rPr>
        <w:t>。</w:t>
      </w:r>
    </w:p>
    <w:p w14:paraId="7A7F7E8E">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（2）测算过程细化度，满分2分，得分2分，得分率100%。</w:t>
      </w:r>
    </w:p>
    <w:p w14:paraId="07433C83">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测算过程细化度，市区路灯电费项目根据历年项目支出数据，结合当年数据变化情况设定绩效指标，本项目资金分配依据充分，资金分配额度合理，与项目地方实际相适应，满2分，得分2分，得分率100%。</w:t>
      </w:r>
      <w:r>
        <w:rPr>
          <w:rStyle w:val="19"/>
          <w:rFonts w:hint="eastAsia" w:ascii="楷体" w:hAnsi="楷体" w:eastAsia="楷体"/>
          <w:b w:val="0"/>
          <w:bCs w:val="0"/>
          <w:spacing w:val="-4"/>
          <w:sz w:val="32"/>
          <w:szCs w:val="32"/>
          <w:lang w:eastAsia="zh-CN"/>
        </w:rPr>
        <w:tab/>
      </w:r>
    </w:p>
    <w:p w14:paraId="5F51D769">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4E38625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46F76C2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p>
    <w:p w14:paraId="44919CD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该项目所需财政资金能够足额拨付到位，本项目资金分配依据充分，资金分配额度合理，与项目地方实际相适应，满6分，得分6分，得分率100%。</w:t>
      </w:r>
      <w:r>
        <w:cr/>
      </w:r>
      <w:r>
        <w:rPr>
          <w:rStyle w:val="19"/>
          <w:rFonts w:hint="eastAsia" w:ascii="楷体" w:hAnsi="楷体" w:eastAsia="楷体"/>
          <w:b w:val="0"/>
          <w:bCs w:val="0"/>
          <w:spacing w:val="-4"/>
          <w:sz w:val="32"/>
          <w:szCs w:val="32"/>
        </w:rPr>
        <w:t>（2）预算执行率，满分6分，得分6分，得分率100%。</w:t>
      </w:r>
    </w:p>
    <w:p w14:paraId="595CFDD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预算资金700万元，实际执行700万元，预算执行率为100%，项目资金支出能够按照预算执行。</w:t>
      </w:r>
    </w:p>
    <w:p w14:paraId="0E0CE6C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（1）资金使用合规性,满分4分，得分4分,得分率100%。</w:t>
      </w:r>
    </w:p>
    <w:p w14:paraId="53D8E8E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（2）管理制度健全性，满分4分，得分4分，得分率100%。</w:t>
      </w:r>
    </w:p>
    <w:p w14:paraId="7FAE49B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我单位制定了相关项目管理办法，同时对财政专项资金进行严格管理，基本做到了专款专用。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（3）制度执行有效性，满分3分，得分3分，得分率100%。</w:t>
      </w:r>
    </w:p>
    <w:p w14:paraId="7C16BF0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由部门提出经费预算支出可行性方案，报党委会议研究执行，财务对资金的使用合法合规性进行监督，年底对资金使用</w:t>
      </w:r>
      <w:r>
        <w:rPr>
          <w:rStyle w:val="19"/>
          <w:rFonts w:hint="eastAsia" w:ascii="楷体" w:hAnsi="楷体" w:eastAsia="楷体"/>
          <w:b w:val="0"/>
          <w:bCs w:val="0"/>
          <w:spacing w:val="-4"/>
          <w:sz w:val="32"/>
          <w:szCs w:val="32"/>
          <w:lang w:val="en-US" w:eastAsia="zh-CN"/>
        </w:rPr>
        <w:t>效率</w:t>
      </w:r>
      <w:r>
        <w:rPr>
          <w:rStyle w:val="19"/>
          <w:rFonts w:hint="eastAsia" w:ascii="楷体" w:hAnsi="楷体" w:eastAsia="楷体"/>
          <w:b w:val="0"/>
          <w:bCs w:val="0"/>
          <w:spacing w:val="-4"/>
          <w:sz w:val="32"/>
          <w:szCs w:val="32"/>
        </w:rPr>
        <w:t>进行自评。</w:t>
      </w:r>
    </w:p>
    <w:p w14:paraId="706BD76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01CF5A6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市区路灯月供电量，满分3分，得分3分，得分率100%，根据上年数据推断预期供电量大于等于1233551度”，根据24年用电单，供电量为1300000，超过预期目标。</w:t>
      </w:r>
    </w:p>
    <w:p w14:paraId="66B097E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路灯亮灯率，满分5分，得分5分，得分率100%。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灯亮灯率不低于98%，通过验收情况，与预期目标一致，满分5分，得分5分，得分率100%。</w:t>
      </w:r>
    </w:p>
    <w:p w14:paraId="1C1927F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电费缴纳及时率，满分5，得分5，得分率100%。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电费缴纳及时率，预期支付率为100%；根据国库集中支付凭证显示，该项目于每月按时完成市区路灯电费支付，与预期目标指标一致，根据评分标准，满分5，得分5，得分率100%。</w:t>
      </w:r>
    </w:p>
    <w:p w14:paraId="18005FE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市区路灯电费总成本，满分9分，得分9分，得分率100%。市区路灯电费总成本，根据历年用电情况数据测算预期支出为700万元，实际支出700万元。满分3分，得分3分，得分率100%。</w:t>
      </w:r>
    </w:p>
    <w:p w14:paraId="34DE95A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0FF51C6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障市区道路照明及公共亮化设施照明，满分20分，得分20分，得分率100%。</w:t>
      </w:r>
    </w:p>
    <w:p w14:paraId="2098D59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城市亮化效果改善显著，预期达到效果显著，根据本单位年度市政亮化工作开展情况，包含路灯维修，更换及维修灯笼及中国结等工作。满足居民生活需求，实际完情况达到预期指标，满分20分，得分20分，得分率100%。</w:t>
      </w:r>
    </w:p>
    <w:p w14:paraId="5F9532F8">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1A02E46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障市区道路照明及公共亮化设施照明，满分20分，得分20分，得分率100%。</w:t>
      </w:r>
    </w:p>
    <w:p w14:paraId="304D5036">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城市亮化效果改善显著，预期达到效果显著，根据本单位年度市政亮化工作开展情况，包含路灯维修，更换及维修灯笼及中国结等工作。满足居民生活需求，实际完情况达到预期指标， 满分20分，得分20分，得分率100%。</w:t>
      </w:r>
    </w:p>
    <w:p w14:paraId="5F73318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5232588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1.落地落实项目工作</w:t>
      </w:r>
    </w:p>
    <w:p w14:paraId="0AA238A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严格执行财政相关法律法规的同时，严格按照政府采购，国库集中支付等有关规定执行，但在预算执行中预算资金使用计划性有待加强，进一步完善用款计划管理，更科学合理</w:t>
      </w:r>
      <w:r>
        <w:rPr>
          <w:rStyle w:val="19"/>
          <w:rFonts w:hint="eastAsia" w:ascii="楷体" w:hAnsi="楷体" w:eastAsia="楷体"/>
          <w:b w:val="0"/>
          <w:bCs w:val="0"/>
          <w:spacing w:val="-4"/>
          <w:sz w:val="32"/>
          <w:szCs w:val="32"/>
          <w:lang w:val="en-US" w:eastAsia="zh-CN"/>
        </w:rPr>
        <w:t>地</w:t>
      </w:r>
      <w:r>
        <w:rPr>
          <w:rStyle w:val="19"/>
          <w:rFonts w:hint="eastAsia" w:ascii="楷体" w:hAnsi="楷体" w:eastAsia="楷体"/>
          <w:b w:val="0"/>
          <w:bCs w:val="0"/>
          <w:spacing w:val="-4"/>
          <w:sz w:val="32"/>
          <w:szCs w:val="32"/>
        </w:rPr>
        <w:t>编制资金使用计划，进一步细化收支项目，按项目、按时间、按进度支出，提高资金的使用，尽量避免跨年下拨。</w:t>
      </w:r>
    </w:p>
    <w:p w14:paraId="45AAF03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2.加强执行监控，提高资金效益</w:t>
      </w:r>
    </w:p>
    <w:p w14:paraId="117A136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p>
    <w:p w14:paraId="217EF76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3.加强管理</w:t>
      </w:r>
    </w:p>
    <w:p w14:paraId="0D6E8B0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改进管理措施，完善管理办法，调整和优化支出结构，合理配置资源，加强财务管理，规范部门预算收支核算，一是制定和完善基本支出，项目支出等各项支出标准，严格按项目和进度执行预算，增强预算的约束力和严肃性。二是落实预算执行分析，及时了解预算执行差异，合理调整、纠正预算</w:t>
      </w:r>
      <w:r>
        <w:rPr>
          <w:rStyle w:val="19"/>
          <w:rFonts w:hint="eastAsia" w:ascii="楷体" w:hAnsi="楷体" w:eastAsia="楷体"/>
          <w:b w:val="0"/>
          <w:bCs w:val="0"/>
          <w:spacing w:val="-4"/>
          <w:sz w:val="32"/>
          <w:szCs w:val="32"/>
          <w:lang w:val="en-US" w:eastAsia="zh-CN"/>
        </w:rPr>
        <w:t>执行</w:t>
      </w:r>
      <w:r>
        <w:rPr>
          <w:rStyle w:val="19"/>
          <w:rFonts w:hint="eastAsia" w:ascii="楷体" w:hAnsi="楷体" w:eastAsia="楷体"/>
          <w:b w:val="0"/>
          <w:bCs w:val="0"/>
          <w:spacing w:val="-4"/>
          <w:sz w:val="32"/>
          <w:szCs w:val="32"/>
        </w:rPr>
        <w:t>偏差，切实提高部门预算收支管理水平。</w:t>
      </w:r>
    </w:p>
    <w:p w14:paraId="6795F6F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二）存在问题及原因分析</w:t>
      </w:r>
    </w:p>
    <w:p w14:paraId="5E681AA5">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部分指标超过预期值，主要原因为每年数据变化较大，历史数据参考效果减弱，后期我单位会加强前期论证，提高绩效指标准确性。</w:t>
      </w:r>
    </w:p>
    <w:p w14:paraId="45D99A2E">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12EE6F2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 xml:space="preserve">1. </w:t>
      </w:r>
      <w:bookmarkStart w:id="0" w:name="_GoBack"/>
      <w:bookmarkEnd w:id="0"/>
      <w:r>
        <w:rPr>
          <w:rStyle w:val="19"/>
          <w:rFonts w:hint="eastAsia" w:ascii="楷体" w:hAnsi="楷体" w:eastAsia="楷体"/>
          <w:b w:val="0"/>
          <w:bCs w:val="0"/>
          <w:spacing w:val="-4"/>
          <w:sz w:val="32"/>
          <w:szCs w:val="32"/>
        </w:rPr>
        <w:t>预算绩效目标管理工作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明确预算项目绩效目标编制要求，分类别建立科学合理、细化量化、可比可测预算绩效指标体系，突出结果导向，重点考核实绩</w:t>
      </w:r>
    </w:p>
    <w:p w14:paraId="3220E1D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2.加强培训，提高相关人员工作水平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578C4D08">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3. 加强预算执行</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加强与财政部门的沟通交流，积极学习最新财政政策及文件；及时办理支付手续，加强对资金流向的监管，将提高资金使用率和加快预算执行速度充分结合，加快财政预算支出速度，保证预算资金安全性。</w:t>
      </w:r>
    </w:p>
    <w:p w14:paraId="1EE1E31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204FA1D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18005F79">
      <w:pPr>
        <w:spacing w:line="540" w:lineRule="exact"/>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433271C">
        <w:pPr>
          <w:pStyle w:val="12"/>
          <w:jc w:val="center"/>
        </w:pPr>
        <w:r>
          <w:fldChar w:fldCharType="begin"/>
        </w:r>
        <w:r>
          <w:instrText xml:space="preserve">PAGE   \* MERGEFORMAT</w:instrText>
        </w:r>
        <w:r>
          <w:fldChar w:fldCharType="separate"/>
        </w:r>
        <w:r>
          <w:rPr>
            <w:lang w:val="zh-CN"/>
          </w:rPr>
          <w:t>1</w:t>
        </w:r>
        <w:r>
          <w:fldChar w:fldCharType="end"/>
        </w:r>
      </w:p>
    </w:sdtContent>
  </w:sdt>
  <w:p w14:paraId="76254F4C">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92422">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7955623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Properties xmlns="http://schemas.openxmlformats.org/officeDocument/2006/extended-properties" xmlns:vt="http://schemas.openxmlformats.org/officeDocument/2006/docPropsVTypes">
  <Template>Normal.dotm</Template>
  <Pages>13</Pages>
  <Words>5992</Words>
  <Characters>6216</Characters>
  <Lines>5</Lines>
  <Paragraphs>1</Paragraphs>
  <TotalTime>17</TotalTime>
  <ScaleCrop>false</ScaleCrop>
  <LinksUpToDate>false</LinksUpToDate>
  <CharactersWithSpaces>6235</CharactersWithSpaces>
  <Application>WPS Office_11.1.0.12165_F1E327BC-269C-435d-A152-05C5408002CA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2025-11-06T07:34:31Z</dcterms:modified>
  <cp:revision>19</cp:revision>
</cp:coreProperties>
</file>

<file path=customXml/itemProps1.xml><?xml version="1.0" encoding="utf-8"?>
<ds:datastoreItem xmlns:ds="http://schemas.openxmlformats.org/officeDocument/2006/customXml" ds:itemID="{d724ab78-6d13-486a-b623-85ff4ffddad8}">
  <ds:schemaRefs/>
</ds:datastoreItem>
</file>

<file path=customXml/itemProps2.xml><?xml version="1.0" encoding="utf-8"?>
<ds:datastoreItem xmlns:ds="http://schemas.openxmlformats.org/officeDocument/2006/customXml" ds:itemID="{60a5617c-e8e3-4c8b-8e02-35e1482b16a2}">
  <ds:schemaRefs/>
</ds:datastoreItem>
</file>

<file path=customXml/itemProps3.xml><?xml version="1.0" encoding="utf-8"?>
<ds:datastoreItem xmlns:ds="http://schemas.openxmlformats.org/officeDocument/2006/customXml" ds:itemID="{5cbebba7-6af1-49c2-95f3-fd9359d96db1}">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5992</Words>
  <Characters>6216</Characters>
  <Lines>5</Lines>
  <Paragraphs>1</Paragraphs>
  <TotalTime>21</TotalTime>
  <ScaleCrop>false</ScaleCrop>
  <LinksUpToDate>false</LinksUpToDate>
  <CharactersWithSpaces>6233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石头</cp:lastModifiedBy>
  <cp:lastPrinted>2018-12-31T10:56:00Z</cp:lastPrinted>
  <dcterms:modified xsi:type="dcterms:W3CDTF">2025-11-06T11:48:35Z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