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特定类-国开行农发行贷款利息</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哈密市伊州区城市建设投资中心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哈密市伊州区城市建设投资中心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张正山</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2025年05月21日</w:t>
      </w:r>
    </w:p>
    <w:p>
      <w:pPr>
        <w:spacing w:line="700" w:lineRule="exact"/>
        <w:ind w:firstLine="708" w:firstLineChars="236"/>
        <w:jc w:val="left"/>
        <w:rPr>
          <w:rFonts w:hAnsi="宋体" w:eastAsia="仿宋_GB2312" w:cs="宋体"/>
          <w:kern w:val="0"/>
          <w:sz w:val="30"/>
          <w:szCs w:val="30"/>
        </w:rPr>
      </w:pP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一、基本情况</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（一）项目概况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背景：2022年5月前，我中心与哈密市恒安城市建设投资经营有限公司合署办公，属于“一套人马，两块牌子”。哈密市恒安城市建设投资经营有限公司通过向国开行、农发行等国有企业融资用以进行保障性住房、安置房等项目建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主要内容：按照融资还款计划，每年按季度支付国开行、农发行贷款利息，以送达的利息票据为准。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实施情况：因银行利息每年、每季度不定，故年度计划执行数设定为650万元，实际支付金额以利息票据为准。2024年度支付前两季度利息，共计264.96万元，并于9月4日一次性偿还本金，所以三、四季度利息无支付必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资金投入和使用情况：2024年度支付前两季度利息，共计264.96万元，其中国开行前两季度利息分别为91.67万元、92.95万元，农发行前两季度利息分别为39.95万元、40.39万元。</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（二）项目绩效目标</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总体目标：计划投入650万元，用以偿还国开行、农发行融资贷款利息，以保障债权人合法权益。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阶段性目标：按收到的季度利息清单，及时、足额向债权方支付对应利息。</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二、绩效评价工作开展情况</w:t>
      </w:r>
    </w:p>
    <w:p>
      <w:pPr>
        <w:spacing w:line="540" w:lineRule="exact"/>
        <w:ind w:firstLine="567" w:firstLineChars="181"/>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（一）绩效评价目的、对象和范围</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目的、对象和范围：我单位根据《自治区财政支出绩效评价管理暂行办法》（新财预〔2018〕189号）文件精神，对国开行农发行贷款利息项目绩效目标实现情况进行自评。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（二）绩效评价原则、评价指标体系、评价方法、评价标准</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原则:（1）科学公正。绩效评价应当运用科学合理的方法，按照规范的程序，对项目绩效进行客观、公正的反映。（2）统筹兼顾。单位自评、部门评价和财政评价应职责明确，各有侧重，相互衔接。单位自评应由项目单位负责实施，即“谁支出、谁自评”。部门评价和财政评价应在单位自评的基础上开展，必要时可委托第三方机构实施。（3）激励约束。绩效评价结果应与预算安排、政策调整、改进管理实质性挂钩，体现奖优罚劣和激励相容导向，有效要安排、低效要压减、无效要问责。（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指标体系：本项目评价指标体系采用项目绩效自评表与决策、过程自定指标相结合方式，其中项目决策17分，项目过程23分，项目产出30分，项目效益20分，项目满意度10分，详细情况见附件2：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（1）项目决策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项目立项：立项依据充分性，权重4分。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绩效目标：绩效目标明确性，权重4分；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绩效目标合理性，权重4分。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预算编制：测算标准合理性，权重3分；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测算过程细化度，权重2分。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（2）项目过程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资金管理：资金到位率，权重6分；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预算执行率，权重6分。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组织实施：管理制度健全性，权重5分；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制度执行有效性，权重6分。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（3）项目产出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数量指标：支付债务利息企业数，权重5分；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质量指标：债务风险控制率，权重5分；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时效指标：债务利息偿还及时率，权重5分。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成本指标：支付国家发展基金有限公司债务利息，权重5分；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支付中国农发重点建设基金有限公司债务利息，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权重5分；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支付国家开发银行新疆分行债务利息，权重5分；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社会效益指标：保障债权企业权益，权重20分。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服务对象满意度指标：债权人满意度，权重10分。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方法：绩效评价的方法主要包括：成本效益分析法、比较法、因素分析法、最低成本法、公众评判法、核实法等。根据评价指标的具体情况，可采用一种或多种方法:（1）成本效益分析法。是指将投入与产出、效益进行关联性分析的方法。（2）比较法。是指将实施情况与绩效目标、历史情况、不同部门和地区同类支出情况进行比较的方法。（3）因素分析法。是指综合分析影响绩效目标实现、实施效果的内外部因素的方法。（4）最低成本法。是指在绩效目标确定的前提下，成本最小者为优的方法。（5）公众评判法。是指通过专家评估、公众问卷及抽样调查等方式进行评判的方法。（6）核实法。是收集包括书面资料以外的信息以证实书面资料及其所反映经济活动的真实，合法，合理，有效和正确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标准：绩效评价标准通常包括计划标准、行业标准、历史标准等，用于对绩效指标完成情况进行比较。单位自评采用定量与定性评价相结合的比较法，总分由各项指标得分汇总形成。</w:t>
      </w:r>
    </w:p>
    <w:p>
      <w:pPr>
        <w:spacing w:line="540" w:lineRule="exact"/>
        <w:ind w:firstLine="567" w:firstLineChars="181"/>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（三）绩效评价工作过程</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前期准备。（1）整理项目全过程资料建档：资金及项目批复文件、绩效目标申报表、可行性研究报告或实施方案、（招标文件）绩效目标过程监控表、验收报告（或决算）、资金支付或会计凭证、满意度调查问卷。作为评价基础资料。（2）采取“年初绩效目标预定与实施效果比较法”进行评价，评价指标体系以绩效目标申报指标为依据。二.组织过程。（1）项目全过程资料档案复核: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2）检查内容和过程: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3）撰写报告情况:根据所搜集的印证材料，按绩效评价原理和指标体系进行分析、评价和汇总，撰写绩效自评报告，并在规定时间上报。</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三、综合评价情况及评价结论</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本次项目自评满分100分，自评得分</w:t>
      </w:r>
      <w:r>
        <w:rPr>
          <w:rStyle w:val="18"/>
          <w:rFonts w:hint="eastAsia" w:ascii="仿宋" w:hAnsi="仿宋" w:eastAsia="仿宋" w:cs="仿宋"/>
          <w:b w:val="0"/>
          <w:bCs w:val="0"/>
          <w:spacing w:val="-4"/>
          <w:sz w:val="32"/>
          <w:szCs w:val="32"/>
          <w:lang w:val="en-US" w:eastAsia="zh-CN"/>
        </w:rPr>
        <w:t>75.16</w:t>
      </w:r>
      <w:r>
        <w:rPr>
          <w:rStyle w:val="18"/>
          <w:rFonts w:hint="eastAsia" w:ascii="仿宋" w:hAnsi="仿宋" w:eastAsia="仿宋" w:cs="仿宋"/>
          <w:b w:val="0"/>
          <w:bCs w:val="0"/>
          <w:spacing w:val="-4"/>
          <w:sz w:val="32"/>
          <w:szCs w:val="32"/>
        </w:rPr>
        <w:t>分，自评结果为“合格”，项目产出得分41.08分，项目效益得分20分，项目满意度得分10分，预算项目执行率10分。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综合评价结论：项目决策方面，立项依据充分，合理、明确、细致地制定了绩效目标和预算编制；项目过程方面，通过健全制度严格执行资金管理；项目产出方面，按时、合规、足额支付相关债权人工程项目欠款；项目效益方面，按时清偿债务，有效保障了债权人的权益；项目满意度方面，相关债权人满意度为100%。</w:t>
      </w:r>
    </w:p>
    <w:p>
      <w:pPr>
        <w:spacing w:line="540" w:lineRule="exact"/>
        <w:ind w:firstLine="640"/>
        <w:rPr>
          <w:rStyle w:val="18"/>
          <w:rFonts w:hint="eastAsia" w:ascii="仿宋" w:hAnsi="仿宋" w:eastAsia="仿宋" w:cs="仿宋"/>
        </w:rPr>
      </w:pPr>
      <w:r>
        <w:rPr>
          <w:rStyle w:val="18"/>
          <w:rFonts w:hint="eastAsia" w:ascii="仿宋" w:hAnsi="仿宋" w:eastAsia="仿宋" w:cs="仿宋"/>
          <w:b w:val="0"/>
          <w:spacing w:val="-4"/>
          <w:sz w:val="32"/>
          <w:szCs w:val="32"/>
        </w:rPr>
        <w:t>四、绩效评价指标分析</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（一）</w:t>
      </w:r>
      <w:r>
        <w:rPr>
          <w:rStyle w:val="18"/>
          <w:rFonts w:hint="eastAsia" w:ascii="仿宋" w:hAnsi="仿宋" w:eastAsia="仿宋" w:cs="仿宋"/>
          <w:spacing w:val="-4"/>
          <w:sz w:val="32"/>
          <w:szCs w:val="32"/>
        </w:rPr>
        <w:t>项目决策情况</w:t>
      </w:r>
    </w:p>
    <w:p>
      <w:pPr>
        <w:tabs>
          <w:tab w:val="center" w:pos="4295"/>
        </w:tabs>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lang w:eastAsia="zh-CN"/>
        </w:rPr>
        <w:tab/>
      </w:r>
    </w:p>
    <w:p>
      <w:pPr>
        <w:spacing w:line="540" w:lineRule="exact"/>
        <w:ind w:firstLine="567" w:firstLineChars="181"/>
        <w:rPr>
          <w:rStyle w:val="18"/>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二</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项目过程情况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无。</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三</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项目产出情况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支付债务利息企业数，满分15分，得分10分，得分率66.67%。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按照利息的还款计划，包含三个债权企业，分别为国家发展基金有限公司、中国农发重点建设基金有限公司、国家开发银行新疆分行，已按时向前两家债权企业支付利息，支付债务利息企业数的指标得分率为66.67%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债务风险控制率，满分15分，得分15分，得分率100%。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按照财务相关规定，我中心工作人员将该预算资金及时、足额支付至债权方，资金使用合规率为100%。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债务利息偿还及时率，满分10分，得分10分，得分率100%。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收到拨付指标的第一时间，即将该预算资金及时、足额拨付至债权方，资金拨付及时率为100%。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国家发展基金有限公司债务利息，满分6分，得分0分，得分率0%；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计划向国家发展基金有限公司支付年度利息38万元，因每年10月送达年度利息，贷款本金已于9月4日还清，因此未支付该指标费用，得分率0%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中国农发重点建设基金有限公司债务利息184万元，满分7分，得分3.06分，得分率43.66%；</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计划向中国农发重点建设基金有限公司支付四个季度利息，已支付的前两个季度利息分别为39.9</w:t>
      </w:r>
      <w:r>
        <w:rPr>
          <w:rStyle w:val="18"/>
          <w:rFonts w:hint="eastAsia" w:ascii="仿宋" w:hAnsi="仿宋" w:eastAsia="仿宋" w:cs="仿宋"/>
          <w:b w:val="0"/>
          <w:bCs w:val="0"/>
          <w:spacing w:val="-4"/>
          <w:sz w:val="32"/>
          <w:szCs w:val="32"/>
          <w:lang w:val="en-US" w:eastAsia="zh-CN"/>
        </w:rPr>
        <w:t>5</w:t>
      </w:r>
      <w:r>
        <w:rPr>
          <w:rStyle w:val="18"/>
          <w:rFonts w:hint="eastAsia" w:ascii="仿宋" w:hAnsi="仿宋" w:eastAsia="仿宋" w:cs="仿宋"/>
          <w:b w:val="0"/>
          <w:bCs w:val="0"/>
          <w:spacing w:val="-4"/>
          <w:sz w:val="32"/>
          <w:szCs w:val="32"/>
        </w:rPr>
        <w:t>万元、40.3</w:t>
      </w:r>
      <w:r>
        <w:rPr>
          <w:rStyle w:val="18"/>
          <w:rFonts w:hint="eastAsia" w:ascii="仿宋" w:hAnsi="仿宋" w:eastAsia="仿宋" w:cs="仿宋"/>
          <w:b w:val="0"/>
          <w:bCs w:val="0"/>
          <w:spacing w:val="-4"/>
          <w:sz w:val="32"/>
          <w:szCs w:val="32"/>
          <w:lang w:val="en-US" w:eastAsia="zh-CN"/>
        </w:rPr>
        <w:t>9</w:t>
      </w:r>
      <w:r>
        <w:rPr>
          <w:rStyle w:val="18"/>
          <w:rFonts w:hint="eastAsia" w:ascii="仿宋" w:hAnsi="仿宋" w:eastAsia="仿宋" w:cs="仿宋"/>
          <w:b w:val="0"/>
          <w:bCs w:val="0"/>
          <w:spacing w:val="-4"/>
          <w:sz w:val="32"/>
          <w:szCs w:val="32"/>
        </w:rPr>
        <w:t>万元</w:t>
      </w:r>
      <w:r>
        <w:rPr>
          <w:rStyle w:val="18"/>
          <w:rFonts w:hint="eastAsia" w:ascii="仿宋" w:hAnsi="仿宋" w:eastAsia="仿宋" w:cs="仿宋"/>
          <w:b w:val="0"/>
          <w:bCs w:val="0"/>
          <w:spacing w:val="-4"/>
          <w:sz w:val="32"/>
          <w:szCs w:val="32"/>
          <w:lang w:eastAsia="zh-CN"/>
        </w:rPr>
        <w:t>，</w:t>
      </w:r>
      <w:r>
        <w:rPr>
          <w:rStyle w:val="18"/>
          <w:rFonts w:hint="eastAsia" w:ascii="仿宋" w:hAnsi="仿宋" w:eastAsia="仿宋" w:cs="仿宋"/>
          <w:b w:val="0"/>
          <w:bCs w:val="0"/>
          <w:spacing w:val="-4"/>
          <w:sz w:val="32"/>
          <w:szCs w:val="32"/>
        </w:rPr>
        <w:t>共计80.3</w:t>
      </w:r>
      <w:r>
        <w:rPr>
          <w:rStyle w:val="18"/>
          <w:rFonts w:hint="eastAsia" w:ascii="仿宋" w:hAnsi="仿宋" w:eastAsia="仿宋" w:cs="仿宋"/>
          <w:b w:val="0"/>
          <w:bCs w:val="0"/>
          <w:spacing w:val="-4"/>
          <w:sz w:val="32"/>
          <w:szCs w:val="32"/>
          <w:lang w:val="en-US" w:eastAsia="zh-CN"/>
        </w:rPr>
        <w:t>4</w:t>
      </w:r>
      <w:r>
        <w:rPr>
          <w:rStyle w:val="18"/>
          <w:rFonts w:hint="eastAsia" w:ascii="仿宋" w:hAnsi="仿宋" w:eastAsia="仿宋" w:cs="仿宋"/>
          <w:b w:val="0"/>
          <w:bCs w:val="0"/>
          <w:spacing w:val="-4"/>
          <w:sz w:val="32"/>
          <w:szCs w:val="32"/>
        </w:rPr>
        <w:t>万元，三、四季度利息下达之前已还清贷款本金，故未支付，得分率为43.66%；</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国家开发银行新疆分行债务利息428万元，满分7分，得分3.02分，得分率43.14%；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计划向国家开发银行新疆分行支付四个季度利息，已支付的前两个季度利息分别为91.67万元、92.95万元</w:t>
      </w:r>
      <w:r>
        <w:rPr>
          <w:rStyle w:val="18"/>
          <w:rFonts w:hint="eastAsia" w:ascii="仿宋" w:hAnsi="仿宋" w:eastAsia="仿宋" w:cs="仿宋"/>
          <w:b w:val="0"/>
          <w:bCs w:val="0"/>
          <w:spacing w:val="-4"/>
          <w:sz w:val="32"/>
          <w:szCs w:val="32"/>
          <w:lang w:eastAsia="zh-CN"/>
        </w:rPr>
        <w:t>，</w:t>
      </w:r>
      <w:r>
        <w:rPr>
          <w:rStyle w:val="18"/>
          <w:rFonts w:hint="eastAsia" w:ascii="仿宋" w:hAnsi="仿宋" w:eastAsia="仿宋" w:cs="仿宋"/>
          <w:b w:val="0"/>
          <w:bCs w:val="0"/>
          <w:spacing w:val="-4"/>
          <w:sz w:val="32"/>
          <w:szCs w:val="32"/>
        </w:rPr>
        <w:t>共计184.62万元，三、四季度利息下达之前已还清贷款本金，故未支付，得分率为43.14%；</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四</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w:t>
      </w:r>
      <w:r>
        <w:rPr>
          <w:rStyle w:val="18"/>
          <w:rFonts w:hint="eastAsia" w:ascii="仿宋" w:hAnsi="仿宋" w:eastAsia="仿宋" w:cs="仿宋"/>
          <w:spacing w:val="-4"/>
          <w:sz w:val="32"/>
          <w:szCs w:val="32"/>
          <w:lang w:val="en-US" w:eastAsia="zh-CN"/>
        </w:rPr>
        <w:t>成本</w:t>
      </w:r>
      <w:r>
        <w:rPr>
          <w:rStyle w:val="18"/>
          <w:rFonts w:hint="eastAsia" w:ascii="仿宋" w:hAnsi="仿宋" w:eastAsia="仿宋" w:cs="仿宋"/>
          <w:spacing w:val="-4"/>
          <w:sz w:val="32"/>
          <w:szCs w:val="32"/>
        </w:rPr>
        <w:t>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社会效益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保障债券企业合法效益，满分20分，得分20分，得分率100%。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及时、足额支付贷款利息至债权方，有效保障了债权人的合法权益，保障债券企业合法效益指标得分率为100%。</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五</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项目效益情况</w:t>
      </w:r>
    </w:p>
    <w:p>
      <w:pPr>
        <w:spacing w:line="540" w:lineRule="exact"/>
        <w:ind w:firstLine="567" w:firstLineChars="181"/>
        <w:rPr>
          <w:rStyle w:val="18"/>
          <w:rFonts w:hint="eastAsia" w:ascii="仿宋" w:hAnsi="仿宋" w:eastAsia="仿宋" w:cs="仿宋"/>
          <w:b w:val="0"/>
          <w:bCs w:val="0"/>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eastAsia="zh-CN"/>
        </w:rPr>
        <w:t>六</w:t>
      </w:r>
      <w:r>
        <w:rPr>
          <w:rFonts w:hint="eastAsia" w:ascii="仿宋" w:hAnsi="仿宋" w:eastAsia="仿宋" w:cs="仿宋"/>
          <w:b/>
          <w:spacing w:val="-4"/>
          <w:sz w:val="32"/>
          <w:szCs w:val="32"/>
        </w:rPr>
        <w:t>）</w:t>
      </w:r>
      <w:r>
        <w:rPr>
          <w:rFonts w:hint="eastAsia" w:ascii="仿宋" w:hAnsi="仿宋" w:eastAsia="仿宋" w:cs="仿宋"/>
          <w:b/>
          <w:spacing w:val="-4"/>
          <w:sz w:val="32"/>
          <w:szCs w:val="32"/>
          <w:lang w:eastAsia="zh-CN"/>
        </w:rPr>
        <w:t>满意度</w:t>
      </w:r>
      <w:r>
        <w:rPr>
          <w:rStyle w:val="18"/>
          <w:rFonts w:hint="eastAsia" w:ascii="仿宋" w:hAnsi="仿宋" w:eastAsia="仿宋" w:cs="仿宋"/>
          <w:spacing w:val="-4"/>
          <w:sz w:val="32"/>
          <w:szCs w:val="32"/>
        </w:rPr>
        <w:t>情况</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债权企业满意度，满分10分，得分10分，得分率100%。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通过调查问卷的方式进行了满意度测评，发放问卷数量2份，收回问卷数量2份，满意度指标得分率均为100%。</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lang w:val="en-US" w:eastAsia="zh-CN"/>
        </w:rPr>
        <w:t>五</w:t>
      </w:r>
      <w:r>
        <w:rPr>
          <w:rStyle w:val="18"/>
          <w:rFonts w:hint="eastAsia" w:ascii="仿宋" w:hAnsi="仿宋" w:eastAsia="仿宋" w:cs="仿宋"/>
          <w:b w:val="0"/>
          <w:spacing w:val="-4"/>
          <w:sz w:val="32"/>
          <w:szCs w:val="32"/>
        </w:rPr>
        <w:t>、主要经验及做法、存在的问题及原因分析</w:t>
      </w:r>
    </w:p>
    <w:p>
      <w:pPr>
        <w:spacing w:line="540" w:lineRule="exact"/>
        <w:ind w:firstLine="567"/>
        <w:rPr>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（1）财务工作人员必须严格遵守、执行有关</w:t>
      </w:r>
      <w:r>
        <w:rPr>
          <w:rStyle w:val="18"/>
          <w:rFonts w:hint="eastAsia" w:ascii="仿宋" w:hAnsi="仿宋" w:eastAsia="仿宋" w:cs="仿宋"/>
          <w:b w:val="0"/>
          <w:bCs w:val="0"/>
          <w:spacing w:val="-4"/>
          <w:sz w:val="32"/>
          <w:szCs w:val="32"/>
          <w:lang w:eastAsia="zh-CN"/>
        </w:rPr>
        <w:t>行政</w:t>
      </w:r>
      <w:r>
        <w:rPr>
          <w:rStyle w:val="18"/>
          <w:rFonts w:hint="eastAsia" w:ascii="仿宋" w:hAnsi="仿宋" w:eastAsia="仿宋" w:cs="仿宋"/>
          <w:b w:val="0"/>
          <w:bCs w:val="0"/>
          <w:spacing w:val="-4"/>
          <w:sz w:val="32"/>
          <w:szCs w:val="32"/>
        </w:rPr>
        <w:t>法规和单位内部制定的财务规章制度，严格履行资金支出审批程序；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（2）财务人员要根据预算项目实际情况，与项目相关科室人员密切沟通，以便于制定清晰、明确、可量化或易量化的绩效指标，严谨、科学地进行预算项目绩效评价全过程；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（3）与该预算项目类似的工程欠款项目一般包含较多欠款明细，编制预算清单前，宜仔细核对清单中的各项欠款金额；预算资金拨付后，应明确掌握拨付资金的具体流向。</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u w:val="dotted"/>
          <w:lang w:val="en-US" w:eastAsia="zh-CN"/>
        </w:rPr>
        <w:t>六</w:t>
      </w:r>
      <w:r>
        <w:rPr>
          <w:rStyle w:val="18"/>
          <w:rFonts w:hint="eastAsia" w:ascii="仿宋" w:hAnsi="仿宋" w:eastAsia="仿宋" w:cs="仿宋"/>
          <w:b w:val="0"/>
          <w:spacing w:val="-4"/>
          <w:sz w:val="32"/>
          <w:szCs w:val="32"/>
        </w:rPr>
        <w:t>、有关建议</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无。</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lang w:val="en-US" w:eastAsia="zh-CN"/>
        </w:rPr>
        <w:t>七</w:t>
      </w:r>
      <w:r>
        <w:rPr>
          <w:rStyle w:val="18"/>
          <w:rFonts w:hint="eastAsia" w:ascii="仿宋" w:hAnsi="仿宋" w:eastAsia="仿宋" w:cs="仿宋"/>
          <w:b w:val="0"/>
          <w:spacing w:val="-4"/>
          <w:sz w:val="32"/>
          <w:szCs w:val="32"/>
        </w:rPr>
        <w:t>、其他需要说明的问题</w:t>
      </w:r>
    </w:p>
    <w:p>
      <w:pPr>
        <w:spacing w:line="540" w:lineRule="exact"/>
        <w:ind w:firstLine="567"/>
        <w:rPr>
          <w:rStyle w:val="18"/>
          <w:rFonts w:hint="eastAsia" w:ascii="仿宋" w:hAnsi="仿宋" w:eastAsia="仿宋" w:cs="仿宋"/>
          <w:b w:val="0"/>
          <w:spacing w:val="-4"/>
          <w:sz w:val="32"/>
          <w:szCs w:val="32"/>
        </w:rPr>
      </w:pPr>
      <w:r>
        <w:rPr>
          <w:rStyle w:val="18"/>
          <w:rFonts w:hint="eastAsia" w:ascii="仿宋" w:hAnsi="仿宋" w:eastAsia="仿宋" w:cs="仿宋"/>
          <w:b w:val="0"/>
          <w:bCs w:val="0"/>
          <w:spacing w:val="-4"/>
          <w:sz w:val="32"/>
          <w:szCs w:val="32"/>
        </w:rPr>
        <w:t>无。</w:t>
      </w:r>
      <w:bookmarkStart w:id="0" w:name="_GoBack"/>
      <w:bookmarkEnd w:id="0"/>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5520B1A"/>
    <w:rsid w:val="18FE139B"/>
    <w:rsid w:val="29B77B34"/>
    <w:rsid w:val="3029612C"/>
    <w:rsid w:val="32A221C5"/>
    <w:rsid w:val="33F20F2A"/>
    <w:rsid w:val="34C44675"/>
    <w:rsid w:val="36B82B23"/>
    <w:rsid w:val="3B5B5607"/>
    <w:rsid w:val="3CE21B3C"/>
    <w:rsid w:val="4A4F00A9"/>
    <w:rsid w:val="4D2606A1"/>
    <w:rsid w:val="4F8A611E"/>
    <w:rsid w:val="51830480"/>
    <w:rsid w:val="51EB6428"/>
    <w:rsid w:val="53A616BE"/>
    <w:rsid w:val="54662BFB"/>
    <w:rsid w:val="565032A5"/>
    <w:rsid w:val="5DC374E2"/>
    <w:rsid w:val="62051CA5"/>
    <w:rsid w:val="6772621F"/>
    <w:rsid w:val="67D65A96"/>
    <w:rsid w:val="6C33576A"/>
    <w:rsid w:val="6C3A69EF"/>
    <w:rsid w:val="6E413C0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3613</Words>
  <Characters>3800</Characters>
  <Lines>5</Lines>
  <Paragraphs>1</Paragraphs>
  <TotalTime>10</TotalTime>
  <ScaleCrop>false</ScaleCrop>
  <LinksUpToDate>false</LinksUpToDate>
  <CharactersWithSpaces>3814</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guoku</cp:lastModifiedBy>
  <cp:lastPrinted>2018-12-31T10:56:00Z</cp:lastPrinted>
  <dcterms:modified xsi:type="dcterms:W3CDTF">2025-11-06T12:05:48Z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