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特定类-城市绿化用水用电项目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哈密市伊州区园林绿化中心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哈密市伊州区园林绿化中心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张爱国</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哈密市伊州区园林绿化中心隶属于哈密市伊州区住建局，为财政全额拨款的事业单位。绿化建设所投入的绿化材料，在合理的养护下，将不断增加物量，为社会积累财富。在绿化材料物质量积累的同时，发挥着越来越大的环境效益。其优化环境质量，提高人民生活水平的功能，形成提升城市以及社区价值的砝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城市绿化用水用电项目预算1886万元，实际支出1667.39万元，绿化水费1084.33万元，水资源费478.21万元，绿化电费104.85万元，为城市绿化工作提供用水用电保障，满足绿化生产用电、用水需求，促进绿化工作顺利开展，美化城市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绿化用水用电项目计划拨付500.37万元，项目于2024年1月28日批复预算资金500.37万元，截至2024年12月31日，项目用于城市绿化工作提供用水用电保障，满足绿化生产用电、用水需求，促进绿化工作顺利开展，美化城市环境，项目资金支付1667.39万元，资金到位率100%，预算执行率为88.4%。</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本项目总体目标为：通过为39个绿化用电区域提供用电保障，满足绿化生产用电、用水需求，促进绿化工作顺利开展，美化城市环境。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数量指标：城市绿化用电区域数不低于19个；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质量指标：城市绿化用电量不低于1447440度；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时效指标：水电费缴纳及时率达到100%。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经济成本指标：城市绿化用水用电总成本不高于1886万元；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经济成本指标：绿化用电单价不高于0.42元/度。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社会效益指标：提升城市绿化效果和生活情况。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满意度指标：市区居民满意度不低于90%。</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我单位根据《自治区财政支出绩效评价管理暂行办法》（新财预〔2018〕189号）文件精神，对XXX项目绩效目标实现情况进行自评。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本项目评价指标体系采用项目绩效自评表与决策、过程自定指标相结合方式，其中项目决策17分，项目过程23分，项目产出22分，项目效益20分，项目满意度18分，详细情况见附件2：</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项目立项：立项依据充分性，权重4分。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预算编制：测算标准合理性，权重3分；测算过程细化度，权重2分。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组织实施：管理制度健全性，权重5分，制度执行有效性，权重6分。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数量指标：城市绿化用电量，城市绿化用电区域，权重6分；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质量指标：苗木灌溉覆盖率，权重5分；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时效指标：水电费缴纳及时率，权重5分。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成本指标：绿化用电单价，城市绿化用水用电总成本，权重6分。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社会效益指标：提升城市绿化效果和生活情况，权重20分；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服务对象满意度指标：市区居民满意度，权重18分。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城市绿化用水用电项目绩效评价主要通过项目单位自评、主管部门监督、财政部门参评的方式开展绩效评价工作。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发放调查问卷开展市区居民对城市绿化效果的满意度调查工作。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w:t>
      </w:r>
      <w:r>
        <w:rPr>
          <w:rStyle w:val="18"/>
          <w:rFonts w:hint="eastAsia" w:ascii="楷体" w:hAnsi="楷体" w:eastAsia="楷体"/>
          <w:b w:val="0"/>
          <w:bCs w:val="0"/>
          <w:spacing w:val="-4"/>
          <w:sz w:val="32"/>
          <w:szCs w:val="32"/>
          <w:lang w:val="en-US" w:eastAsia="zh-CN"/>
        </w:rPr>
        <w:t>97.68</w:t>
      </w:r>
      <w:r>
        <w:rPr>
          <w:rStyle w:val="18"/>
          <w:rFonts w:hint="eastAsia" w:ascii="楷体" w:hAnsi="楷体" w:eastAsia="楷体"/>
          <w:b w:val="0"/>
          <w:bCs w:val="0"/>
          <w:spacing w:val="-4"/>
          <w:sz w:val="32"/>
          <w:szCs w:val="32"/>
        </w:rPr>
        <w:t>分，自评结果为“优”，其中项目决策得分17分，项目过程得分22.3分，项目产出得分21.6分，项目效益得分20分，项目满意度得分18分。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评价结论：项目决策方面，项目立项符合国家法律法规、自治区和地区行业发展规划和政策要求，属于本部门履职所需；项目过程方面，我单位制定了《园林绿化中心部门单位预算绩效管理办法》等相关项目管理办法，同时对财政专项资金进行严格管理，基本做到了专款专用，预算资金1886万元，实际执行1667.39万元，预算执行率为88.4%，项目资金支出能够按照预算执行；项目产出方面，为39个绿化用电区域提供用电保障，绿化用电标准为0.42元每度，整年用电量为2808636度，保障了绿化生产工作正常开展；项目效益方面，提升城市绿化效果和生活情况，城市绿化效果改善显著，预期达到效果显著，根据本单位年度绿化工作开展情况，市区绿化区域补种补植，公园绿地新建及不断完善，保障绿化灌溉率提高绿化苗木成活率，满足居民生活需求，实际完情况达到预期指标；项目满意度方面，市区居民满意度，提高群众对城市绿化效果满意率，预期达到效果显著，城市绿化工作致力于改善和优化城市环境、提高城市生态可持续性，对居民身心健康有着积极影响，实际完成情况达成预期指标。</w:t>
      </w:r>
    </w:p>
    <w:p>
      <w:pPr>
        <w:spacing w:line="540" w:lineRule="exact"/>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立项依据充分性，满分4分，得分4分，得分率100%。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是由伊州区园林绿化中心单位提出申报，于2024年1月批复设立，2024年我单位根据单位实际生产工作需求组织实施该项目。项目立项符合国家法律法规、自治区和地区行业发展规划和政策要求，属于本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（1）绩效目标明确性，满分4分，得分4分，得分率100%。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城市绿化用水用电项目根据历年项目支出数据，结合当年数据变化情况设定绩效指标，已将项目绩效目标细化分解为具体的绩效指标，并通过清晰、可衡量的指标值予以体现，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（2）绩效目标合理性，满分4分，得分4分，得分率100%。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制定了项目支出绩效目标，明确了项目总体思路及总目标、并对项目任务进行了详细分解，对目标进行了细化。城市绿化用水用电项目根据历年项目支出数据，结合当年数据变化情况设定绩效指标，本项目资金分配依据充分，资金分配额度合理，与项目地方实际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（1）测算标准合理性，满分3分，得分3分，得分率100%。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测算标准合理性，城市绿化用水用电项目通过用电单价和用电量等指标评定成本指标,通过提高群众对城市绿化效果满意率和城市绿化效果改善显著评定效益指标，预算编制经过科学论证，内容与项目内容匹配，项目投资额与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（2）测算过程细化度，满分2分，得分2分，得分率100%。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测算过程细化度，城市绿化用水用电项目根据历年项目支出数据，结合当年数据变化情况设定绩效指标，本项目资金分配依据充分，资金分配额度合理，与项目地方实际相适应。</w:t>
      </w:r>
      <w:r>
        <w:rPr>
          <w:rStyle w:val="18"/>
          <w:rFonts w:hint="eastAsia" w:ascii="楷体" w:hAnsi="楷体" w:eastAsia="楷体"/>
          <w:b w:val="0"/>
          <w:bCs w:val="0"/>
          <w:spacing w:val="-4"/>
          <w:sz w:val="32"/>
          <w:szCs w:val="32"/>
          <w:lang w:eastAsia="zh-CN"/>
        </w:rPr>
        <w:tab/>
      </w:r>
    </w:p>
    <w:p>
      <w:pPr>
        <w:spacing w:line="540" w:lineRule="exact"/>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（1）资金到位率，满分6分，得分6分，得分率100%。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该项目所需财政资金能够足额拨付到位，牵头单位能够及时足额按照合同约定将专项资金拨付给单位，本项目资金分配依据充分，资金分配额度合理，与项目地方实际相适应。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（2）预算执行率，满分6分，得分5.3分，得分率88.4%。</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预算资金1886万元，实际执行1667.39万元，预算执行率为88.4%，项目资金支出未能够按照预算执行，偏差原因是</w:t>
      </w:r>
      <w:bookmarkStart w:id="0" w:name="_GoBack"/>
      <w:bookmarkEnd w:id="0"/>
      <w:r>
        <w:rPr>
          <w:rStyle w:val="18"/>
          <w:rFonts w:hint="eastAsia" w:ascii="楷体" w:hAnsi="楷体" w:eastAsia="楷体"/>
          <w:b w:val="0"/>
          <w:bCs w:val="0"/>
          <w:spacing w:val="-4"/>
          <w:sz w:val="32"/>
          <w:szCs w:val="32"/>
        </w:rPr>
        <w:t>水费未核算准确，部分水费未产生实际支出。。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（1）管理制度健全性，满分5分，得分5分，得分率100%。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我单位制定了《园林绿化中心部门单位预算绩效管理办法》等相关项目管理办法，同时对财政专项资金进行严格管理，基本做到了专款专用。。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满分6分，得分6分，得分率100%。由部门提出经费预算支出可行性方案，经过与市政府分管领导沟通后，报党委会议研究执行，财务对资金的使用合法合规性进行监督，年底对资金使用效果进行自评。</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城市绿化用电区域，满分3分，得分3分，得分率100%。城市绿化用电区域，根据上年数据预期用电区域大于19个，根据园林绿化中心用电明细可知，实际完成城市绿化用电区域39个，与预期目标一致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绿化用电量，满分3分，得分3分，得分率100%。城市绿化用电量，根据上年数据推断预期用电量大于等于1447440度”，根据2024年园林绿化中心电费支出合计以及供电单价可知，实际完成城市绿化用电量2808636度，与预期目标一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绿化苗木灌溉率，满分5分，得分5分，得分率100%。苗木灌溉覆盖率，预期灌溉率为100%，根据园林绿化灌溉开展情况及绿化苗木成活情况可知，城市绿化管护范围内，苗木灌溉覆盖率达100%，与预期目标一致。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水电费缴纳及时率，满分5，得分5，得分率100%。水电费缴纳及时率，预期支付率为100%；根据国库集中支付凭证显示，该项目于每月按时完成绿化电费支付，与预期目标指标一致。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绿化用电单价，满分3分，得分3分，得分率100%。根据历年支付数据测算用电单价大于等于0.42元/度，根据园林绿化中心用电明细，本项目2024年绿化用电单价=0.42元/度。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城市绿化用水用电总成本，满分3分，得分2.6分，得分率86.67%。城市绿化用水用电总成本 ，根据历年用电、用水情况数据测算预期支出为1886万元，实际支出1667.39万元，财政资金紧张</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水费资金未拨付。</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pPr>
        <w:spacing w:line="540" w:lineRule="exact"/>
        <w:rPr>
          <w:rStyle w:val="18"/>
          <w:rFonts w:hint="default"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1.社会效益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升城市绿化效果和生活情况，满分20分，得分20分，得分率100%。城市绿化效果改善显著，预期达到效果显著，根据本单位年度绿化工作开展情况，市区绿化区域补种补植，公园绿地新建及不断完善，保障绿化灌溉率提高绿化苗木成活率，满足居民生活需求，实际完情况达到预期指标。</w:t>
      </w:r>
    </w:p>
    <w:p>
      <w:pPr>
        <w:spacing w:line="540" w:lineRule="exact"/>
        <w:rPr>
          <w:rStyle w:val="18"/>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市区居民满意度，满分18分，得分18分，得分率100%。提高群众对城市绿化效果满意率，预期达到效果显著，城市绿化工作致力于改善和优化城市环境、提高城市生态可持续性，对居民身心健康有着积极影响，实际完成情况达成预期指标。</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1.落地落实项目工作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严格执行财政相关法律法规的同时，严格按照政府采购，国库集中支付等有关规定执行，但在预算执行中预算资金使用计划性有待加强，进一步完善用款计划管理，更科学合理</w:t>
      </w:r>
      <w:r>
        <w:rPr>
          <w:rStyle w:val="18"/>
          <w:rFonts w:hint="eastAsia" w:ascii="楷体" w:hAnsi="楷体" w:eastAsia="楷体"/>
          <w:b w:val="0"/>
          <w:bCs w:val="0"/>
          <w:spacing w:val="-4"/>
          <w:sz w:val="32"/>
          <w:szCs w:val="32"/>
          <w:lang w:val="en-US" w:eastAsia="zh-CN"/>
        </w:rPr>
        <w:t>地</w:t>
      </w:r>
      <w:r>
        <w:rPr>
          <w:rStyle w:val="18"/>
          <w:rFonts w:hint="eastAsia" w:ascii="楷体" w:hAnsi="楷体" w:eastAsia="楷体"/>
          <w:b w:val="0"/>
          <w:bCs w:val="0"/>
          <w:spacing w:val="-4"/>
          <w:sz w:val="32"/>
          <w:szCs w:val="32"/>
        </w:rPr>
        <w:t>编制资金使用计划，进一步细化收支项目，按项目、按时间、按进度支出，提高资金的使用</w:t>
      </w:r>
      <w:r>
        <w:rPr>
          <w:rStyle w:val="18"/>
          <w:rFonts w:hint="eastAsia" w:ascii="楷体" w:hAnsi="楷体" w:eastAsia="楷体"/>
          <w:b w:val="0"/>
          <w:bCs w:val="0"/>
          <w:spacing w:val="-4"/>
          <w:sz w:val="32"/>
          <w:szCs w:val="32"/>
          <w:lang w:val="en-US" w:eastAsia="zh-CN"/>
        </w:rPr>
        <w:t>效率</w:t>
      </w:r>
      <w:r>
        <w:rPr>
          <w:rStyle w:val="18"/>
          <w:rFonts w:hint="eastAsia" w:ascii="楷体" w:hAnsi="楷体" w:eastAsia="楷体"/>
          <w:b w:val="0"/>
          <w:bCs w:val="0"/>
          <w:spacing w:val="-4"/>
          <w:sz w:val="32"/>
          <w:szCs w:val="32"/>
        </w:rPr>
        <w:t>，尽量避免跨年下拨。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8"/>
          <w:rFonts w:hint="eastAsia" w:ascii="楷体" w:hAnsi="楷体" w:eastAsia="楷体"/>
          <w:b w:val="0"/>
          <w:bCs w:val="0"/>
          <w:spacing w:val="-4"/>
          <w:sz w:val="32"/>
          <w:szCs w:val="32"/>
          <w:lang w:val="en-US" w:eastAsia="zh-CN"/>
        </w:rPr>
        <w:t>了</w:t>
      </w:r>
      <w:r>
        <w:rPr>
          <w:rStyle w:val="18"/>
          <w:rFonts w:hint="eastAsia" w:ascii="楷体" w:hAnsi="楷体" w:eastAsia="楷体"/>
          <w:b w:val="0"/>
          <w:bCs w:val="0"/>
          <w:spacing w:val="-4"/>
          <w:sz w:val="32"/>
          <w:szCs w:val="32"/>
        </w:rPr>
        <w:t>资金偏离政策目标的风险，提高了资金使用效益。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管理措施，完善管理办法，调整和优化支出结构，合理配置资源，加强财务管理，规范部门预算收支核算，一是制定和完善基本支出，项目支出等各项支出标准，严格按项目和进度执行预算，增强预算的约束力和严肃性。二是落实预算执行分析，及时了解预算执行差异，合理调整、纠正预算</w:t>
      </w:r>
      <w:r>
        <w:rPr>
          <w:rStyle w:val="18"/>
          <w:rFonts w:hint="eastAsia" w:ascii="楷体" w:hAnsi="楷体" w:eastAsia="楷体"/>
          <w:b w:val="0"/>
          <w:bCs w:val="0"/>
          <w:spacing w:val="-4"/>
          <w:sz w:val="32"/>
          <w:szCs w:val="32"/>
          <w:lang w:val="en-US" w:eastAsia="zh-CN"/>
        </w:rPr>
        <w:t>执行</w:t>
      </w:r>
      <w:r>
        <w:rPr>
          <w:rStyle w:val="18"/>
          <w:rFonts w:hint="eastAsia" w:ascii="楷体" w:hAnsi="楷体" w:eastAsia="楷体"/>
          <w:b w:val="0"/>
          <w:bCs w:val="0"/>
          <w:spacing w:val="-4"/>
          <w:sz w:val="32"/>
          <w:szCs w:val="32"/>
        </w:rPr>
        <w:t>偏差，切实提高部门预算收支管理水平。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部分指标超过预期值，主要原因为每年数据变化较大，历史数据参考效果减弱，后期我单位会加强前期论证，提高绩效指标准确性。</w:t>
      </w:r>
    </w:p>
    <w:p>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 加强预算绩效目标管理工作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明确预算项目绩效目标编制要求，分类别建立科学合理、细化量化、可比可测预算绩效指标体系，突出结果导向，重点考核实绩。</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加强预算执行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加强与财政部门的沟通交流，积极学习最新财政政策及文件；及时办理支付手续，加强对资金流向的监管，将提高资金使用率和加快预算执行速度充分结合，加快财政预算支出速度，保证预算资金安全性。</w:t>
      </w:r>
    </w:p>
    <w:p>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5F4E67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6"/>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7"/>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Calibri" w:hAnsi="Calibri"/>
      <w:b/>
      <w:i/>
      <w:iCs/>
    </w:rPr>
  </w:style>
  <w:style w:type="paragraph" w:customStyle="1" w:styleId="20">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1">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2">
    <w:name w:val="Quote"/>
    <w:basedOn w:val="1"/>
    <w:next w:val="1"/>
    <w:link w:val="36"/>
    <w:qFormat/>
    <w:uiPriority w:val="29"/>
    <w:pPr>
      <w:widowControl/>
      <w:jc w:val="left"/>
    </w:pPr>
    <w:rPr>
      <w:rFonts w:ascii="Calibri" w:hAnsi="Calibri" w:eastAsia="宋体"/>
      <w:i/>
      <w:kern w:val="0"/>
      <w:sz w:val="24"/>
    </w:rPr>
  </w:style>
  <w:style w:type="paragraph" w:customStyle="1" w:styleId="23">
    <w:name w:val="Intense Quote"/>
    <w:basedOn w:val="1"/>
    <w:next w:val="1"/>
    <w:link w:val="37"/>
    <w:qFormat/>
    <w:uiPriority w:val="30"/>
    <w:pPr>
      <w:widowControl/>
      <w:ind w:left="720" w:right="720"/>
      <w:jc w:val="left"/>
    </w:pPr>
    <w:rPr>
      <w:rFonts w:ascii="Calibri" w:hAnsi="Calibri" w:eastAsia="宋体"/>
      <w:b/>
      <w:i/>
      <w:kern w:val="0"/>
      <w:sz w:val="24"/>
      <w:szCs w:val="22"/>
    </w:rPr>
  </w:style>
  <w:style w:type="paragraph" w:customStyle="1" w:styleId="24">
    <w:name w:val="TOC 标题1"/>
    <w:basedOn w:val="2"/>
    <w:next w:val="1"/>
    <w:semiHidden/>
    <w:unhideWhenUsed/>
    <w:qFormat/>
    <w:uiPriority w:val="39"/>
    <w:pPr>
      <w:outlineLvl w:val="9"/>
    </w:pPr>
    <w:rPr>
      <w:lang w:eastAsia="en-US" w:bidi="en-US"/>
    </w:rPr>
  </w:style>
  <w:style w:type="character" w:customStyle="1" w:styleId="25">
    <w:name w:val="标题 1 字符"/>
    <w:basedOn w:val="17"/>
    <w:link w:val="2"/>
    <w:qFormat/>
    <w:uiPriority w:val="9"/>
    <w:rPr>
      <w:rFonts w:ascii="Cambria" w:hAnsi="Cambria" w:eastAsia="宋体"/>
      <w:b/>
      <w:bCs/>
      <w:kern w:val="32"/>
      <w:sz w:val="32"/>
      <w:szCs w:val="32"/>
    </w:rPr>
  </w:style>
  <w:style w:type="character" w:customStyle="1" w:styleId="26">
    <w:name w:val="标题 2 字符"/>
    <w:basedOn w:val="17"/>
    <w:link w:val="3"/>
    <w:semiHidden/>
    <w:qFormat/>
    <w:uiPriority w:val="9"/>
    <w:rPr>
      <w:rFonts w:ascii="Cambria" w:hAnsi="Cambria" w:eastAsia="宋体"/>
      <w:b/>
      <w:bCs/>
      <w:i/>
      <w:iCs/>
      <w:sz w:val="28"/>
      <w:szCs w:val="28"/>
    </w:rPr>
  </w:style>
  <w:style w:type="character" w:customStyle="1" w:styleId="27">
    <w:name w:val="标题 3 字符"/>
    <w:basedOn w:val="17"/>
    <w:link w:val="4"/>
    <w:semiHidden/>
    <w:qFormat/>
    <w:uiPriority w:val="9"/>
    <w:rPr>
      <w:rFonts w:ascii="Cambria" w:hAnsi="Cambria" w:eastAsia="宋体"/>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Cambria" w:hAnsi="Cambria" w:eastAsia="宋体"/>
    </w:rPr>
  </w:style>
  <w:style w:type="character" w:customStyle="1" w:styleId="34">
    <w:name w:val="标题 字符"/>
    <w:basedOn w:val="17"/>
    <w:link w:val="15"/>
    <w:qFormat/>
    <w:uiPriority w:val="10"/>
    <w:rPr>
      <w:rFonts w:ascii="Cambria" w:hAnsi="Cambria" w:eastAsia="宋体"/>
      <w:b/>
      <w:bCs/>
      <w:kern w:val="28"/>
      <w:sz w:val="32"/>
      <w:szCs w:val="32"/>
    </w:rPr>
  </w:style>
  <w:style w:type="character" w:customStyle="1" w:styleId="35">
    <w:name w:val="副标题 字符"/>
    <w:basedOn w:val="17"/>
    <w:link w:val="14"/>
    <w:qFormat/>
    <w:uiPriority w:val="11"/>
    <w:rPr>
      <w:rFonts w:ascii="Cambria" w:hAnsi="Cambria" w:eastAsia="宋体"/>
      <w:sz w:val="24"/>
      <w:szCs w:val="24"/>
    </w:rPr>
  </w:style>
  <w:style w:type="character" w:customStyle="1" w:styleId="36">
    <w:name w:val="引用 字符"/>
    <w:basedOn w:val="17"/>
    <w:link w:val="22"/>
    <w:qFormat/>
    <w:uiPriority w:val="29"/>
    <w:rPr>
      <w:i/>
      <w:sz w:val="24"/>
      <w:szCs w:val="24"/>
    </w:rPr>
  </w:style>
  <w:style w:type="character" w:customStyle="1" w:styleId="37">
    <w:name w:val="明显引用 字符"/>
    <w:basedOn w:val="17"/>
    <w:link w:val="23"/>
    <w:qFormat/>
    <w:uiPriority w:val="30"/>
    <w:rPr>
      <w:b/>
      <w:i/>
      <w:sz w:val="24"/>
    </w:rPr>
  </w:style>
  <w:style w:type="character" w:customStyle="1" w:styleId="38">
    <w:name w:val="不明显强调1"/>
    <w:qFormat/>
    <w:uiPriority w:val="19"/>
    <w:rPr>
      <w:i/>
      <w:color w:val="565656"/>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Cambria" w:hAnsi="Cambria" w:eastAsia="宋体"/>
      <w:b/>
      <w:i/>
      <w:sz w:val="24"/>
      <w:szCs w:val="24"/>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5858</Words>
  <Characters>6160</Characters>
  <Lines>5</Lines>
  <Paragraphs>1</Paragraphs>
  <TotalTime>0</TotalTime>
  <ScaleCrop>false</ScaleCrop>
  <LinksUpToDate>false</LinksUpToDate>
  <CharactersWithSpaces>0</CharactersWithSpaces>
  <Application>WPS Office_11.8.2.12251_F1E327BC-269C-435d-A152-05C5408002CA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2025-11-17T08:46:50Z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2052-11.8.2.12251</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