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全口径项目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哈密市伊州区回城乡人民政府</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哈密市伊州区回城乡人民政府</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巴哈古丽·吾斯曼</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2025年05月20日</w:t>
      </w:r>
    </w:p>
    <w:p>
      <w:pPr>
        <w:spacing w:line="540" w:lineRule="exact"/>
        <w:rPr>
          <w:rStyle w:val="18"/>
          <w:rFonts w:ascii="黑体" w:hAnsi="黑体" w:eastAsia="黑体"/>
          <w:b w:val="0"/>
          <w:spacing w:val="-4"/>
          <w:sz w:val="32"/>
          <w:szCs w:val="32"/>
        </w:rPr>
      </w:pPr>
    </w:p>
    <w:p>
      <w:pPr>
        <w:spacing w:line="540" w:lineRule="exact"/>
        <w:rPr>
          <w:rStyle w:val="18"/>
          <w:rFonts w:ascii="黑体" w:hAnsi="黑体" w:eastAsia="黑体"/>
          <w:b w:val="0"/>
          <w:spacing w:val="-4"/>
          <w:sz w:val="32"/>
          <w:szCs w:val="32"/>
        </w:rPr>
      </w:pPr>
    </w:p>
    <w:p>
      <w:pPr>
        <w:spacing w:line="540" w:lineRule="exact"/>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spacing w:val="-4"/>
          <w:sz w:val="32"/>
          <w:szCs w:val="32"/>
        </w:rPr>
        <w:t>（一）项目概况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1.项目背景</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该项目清欠根据财政局历年清欠全口径项目欠款要求，逐年解决欠款问题，缓解中小微企业压力，帮助实施主体减负轻装上阵，进一步保障债权人权益，树立政府公信力等目地。</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2.主要内容及实施情况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全口径项目主要内容是室外配套给排水、采暖、电气及回城乡伊殿花苑道路建设项目KO+000至K7+163，长约7.163km，公路等级为四级，项目的实施可以有效改善光辉小区基础设施配套条件，进一步改善人居环境，增强其为伊州区回城乡社会发展服务的能力，提升伊州区的城市化水平。</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3.资金投入和使用情况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2024年全口径项目全年预算140.5</w:t>
      </w:r>
      <w:r>
        <w:rPr>
          <w:rStyle w:val="18"/>
          <w:rFonts w:hint="eastAsia" w:ascii="仿宋_GB2312" w:hAnsi="仿宋_GB2312" w:eastAsia="仿宋_GB2312" w:cs="仿宋_GB2312"/>
          <w:b w:val="0"/>
          <w:bCs w:val="0"/>
          <w:spacing w:val="-4"/>
          <w:sz w:val="32"/>
          <w:szCs w:val="32"/>
          <w:lang w:val="en-US" w:eastAsia="zh-CN"/>
        </w:rPr>
        <w:t>5</w:t>
      </w:r>
      <w:r>
        <w:rPr>
          <w:rStyle w:val="18"/>
          <w:rFonts w:hint="eastAsia" w:ascii="仿宋_GB2312" w:hAnsi="仿宋_GB2312" w:eastAsia="仿宋_GB2312" w:cs="仿宋_GB2312"/>
          <w:b w:val="0"/>
          <w:bCs w:val="0"/>
          <w:spacing w:val="-4"/>
          <w:sz w:val="32"/>
          <w:szCs w:val="32"/>
        </w:rPr>
        <w:t>万元，截至2023年12月31日，实际达到140.5</w:t>
      </w:r>
      <w:r>
        <w:rPr>
          <w:rStyle w:val="18"/>
          <w:rFonts w:hint="eastAsia" w:ascii="仿宋_GB2312" w:hAnsi="仿宋_GB2312" w:eastAsia="仿宋_GB2312" w:cs="仿宋_GB2312"/>
          <w:b w:val="0"/>
          <w:bCs w:val="0"/>
          <w:spacing w:val="-4"/>
          <w:sz w:val="32"/>
          <w:szCs w:val="32"/>
          <w:lang w:val="en-US" w:eastAsia="zh-CN"/>
        </w:rPr>
        <w:t>5</w:t>
      </w:r>
      <w:r>
        <w:rPr>
          <w:rStyle w:val="18"/>
          <w:rFonts w:hint="eastAsia" w:ascii="仿宋_GB2312" w:hAnsi="仿宋_GB2312" w:eastAsia="仿宋_GB2312" w:cs="仿宋_GB2312"/>
          <w:b w:val="0"/>
          <w:bCs w:val="0"/>
          <w:spacing w:val="-4"/>
          <w:sz w:val="32"/>
          <w:szCs w:val="32"/>
        </w:rPr>
        <w:t>万元，支出资金140.5</w:t>
      </w:r>
      <w:r>
        <w:rPr>
          <w:rStyle w:val="18"/>
          <w:rFonts w:hint="eastAsia" w:ascii="仿宋_GB2312" w:hAnsi="仿宋_GB2312" w:eastAsia="仿宋_GB2312" w:cs="仿宋_GB2312"/>
          <w:b w:val="0"/>
          <w:bCs w:val="0"/>
          <w:spacing w:val="-4"/>
          <w:sz w:val="32"/>
          <w:szCs w:val="32"/>
          <w:lang w:val="en-US" w:eastAsia="zh-CN"/>
        </w:rPr>
        <w:t>5</w:t>
      </w:r>
      <w:r>
        <w:rPr>
          <w:rStyle w:val="18"/>
          <w:rFonts w:hint="eastAsia" w:ascii="仿宋_GB2312" w:hAnsi="仿宋_GB2312" w:eastAsia="仿宋_GB2312" w:cs="仿宋_GB2312"/>
          <w:b w:val="0"/>
          <w:bCs w:val="0"/>
          <w:spacing w:val="-4"/>
          <w:sz w:val="32"/>
          <w:szCs w:val="32"/>
        </w:rPr>
        <w:t>万元，预算执行率</w:t>
      </w:r>
      <w:r>
        <w:rPr>
          <w:rStyle w:val="18"/>
          <w:rFonts w:hint="eastAsia" w:ascii="仿宋_GB2312" w:hAnsi="仿宋_GB2312" w:eastAsia="仿宋_GB2312" w:cs="仿宋_GB2312"/>
          <w:b w:val="0"/>
          <w:bCs w:val="0"/>
          <w:spacing w:val="-4"/>
          <w:sz w:val="32"/>
          <w:szCs w:val="32"/>
          <w:lang w:val="en-US" w:eastAsia="zh-CN"/>
        </w:rPr>
        <w:t>100</w:t>
      </w:r>
      <w:r>
        <w:rPr>
          <w:rStyle w:val="18"/>
          <w:rFonts w:hint="eastAsia" w:ascii="仿宋_GB2312" w:hAnsi="仿宋_GB2312" w:eastAsia="仿宋_GB2312" w:cs="仿宋_GB2312"/>
          <w:b w:val="0"/>
          <w:bCs w:val="0"/>
          <w:spacing w:val="-4"/>
          <w:sz w:val="32"/>
          <w:szCs w:val="32"/>
        </w:rPr>
        <w:t>%。</w:t>
      </w:r>
    </w:p>
    <w:p>
      <w:p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（二）项目绩效目标</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本项目总体目标为：通过根据项目相关合同，按照规定偿还以前年度项目的欠款，减轻单位负债，保障债权人的权益。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1.产出指标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数量指标：偿还欠款项目数量不低于2个；</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质量指标：还款资金发放准确率达到100%；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时效指标：偿还欠款完成及时率达到100%。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2.成本指标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经济成本指标：偿还欠款项目总金额不高于69万元。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社会效益指标：保障债权人的权益。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4.满意度指标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满意度指标：债权人满意度不低于95%。</w:t>
      </w:r>
    </w:p>
    <w:p>
      <w:pPr>
        <w:spacing w:line="540" w:lineRule="exact"/>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二、绩效评价工作开展情况</w:t>
      </w:r>
    </w:p>
    <w:p>
      <w:pPr>
        <w:spacing w:line="540" w:lineRule="exact"/>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（一）绩效评价目的、对象和范围</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我单位根据《自治区财政支出绩效评价管理暂行办法》（新财预〔2018〕189号）文件精神，对全口径项目绩效目标实现情况进行自评。</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（二）绩效评价原则、评价指标体系、评价方法、评价标准</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1.绩效评价原则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（1）科学公正。绩效评价应当运用科学合理的方法，按照规范的程序，对项目绩效进行客观、公正的反映。</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（4）公开透明。绩效评价结果应依法依规公开，并自觉接受社会监督。</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2.评价指标体系</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本项目评价指标体系采用项目绩效自评表与决策、过程自定指标相结合方式，其中项目决策17分，项目过程23分，项目产出22分，项目效益30分，项目满意度8分，详细情况见附件1：</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（1）项目决策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项目立项：立项依据充分性，权重2分；立项程序规范性，权重2分。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绩效目标：绩效目标明确性，权重4分；绩效目标合理性，权重4分。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预算编制：测算标准科学性，权重3分；资金分配合理性，权重2分。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（2）项目过程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资金管理：资金到位率，权重6分；预算执行率，权重6分。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组织实施：资金使用合规性，权重4分，管理制度健全性，权重4分，制度执行有效性，权重3分。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（3）项目产出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数量指标：偿还欠款项目数量，权重6分；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质量指标：还款资金发放准确率，权重6分；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时效指标：偿还欠款完成及时率，权重5分；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成本指标：偿还欠款项目总金额，权重5分。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（3）效益指标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社会效益指标：保障债权人的权益，权重30分。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（4）满意度指标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服务对象满意度指标：债权人满意度，权重8分。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3.评价方法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全口径项目绩效评价主要通过项目单位自评、主管部门监督、财政部门参评的方式开展绩效评价工作。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（1）成本效益分析法。是指将投入与产出、效益进行关联性分析的方法。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（2）比较法。是指将实施情况与绩效目标、历史情况、不同部门和地区同类支出情况进行比较的方法。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（3）因素分析法。是指综合分析影响绩效目标实现、实施效果的内外部因素的方法。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（4）最低成本法。是指在绩效目标确定的前提下，成本最小者为优的方法。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（5）公众评判法。是指通过专家评估、公众问卷及抽样调查等方式进行评判的方法。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（6）核实法。是收集包括书面资料及以外的信息以证实书面资料及其所反映经济活动的真实，合法，合理，有效和正确的方法。</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4.评价标准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绩效评价标准通常包括计划标准、行业标准、历史标准等，用于对绩效指标完成情况进行比较。</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单位自评采用定量与定性评价相结合的比较法，总分由各项指标得分汇总形成。</w:t>
      </w:r>
    </w:p>
    <w:p>
      <w:pPr>
        <w:spacing w:line="540" w:lineRule="exact"/>
        <w:ind w:firstLine="567" w:firstLineChars="181"/>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（三）绩效评价工作过程</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1.前期准备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（1）整理项目全过程资料建档：资金及项目批复文件、合同、验收报告（或决算）、资金支付或会计凭证、满意度调查问卷。作为评价基础资料。</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（2）采取“年初绩效目标预定与实施效果比较法”进行评价，评价指标体系以绩效目标申报指标为依据。</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2.组织过程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（1）项目全过程资料档案复核</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（2）检查内容和过程</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发放调查问卷开展债权人满意度调查工作。</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（3）撰写报告情况</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根据所搜集的印证材料，按绩效评价原理和指标体系进行分析、评价和汇总，撰写绩效自评报告，并在规定时间上报。</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三、综合评价情况及评价结论</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本次项目自评满分100分，自评得分</w:t>
      </w:r>
      <w:r>
        <w:rPr>
          <w:rStyle w:val="18"/>
          <w:rFonts w:hint="eastAsia" w:ascii="仿宋_GB2312" w:hAnsi="仿宋_GB2312" w:eastAsia="仿宋_GB2312" w:cs="仿宋_GB2312"/>
          <w:b w:val="0"/>
          <w:bCs w:val="0"/>
          <w:spacing w:val="-4"/>
          <w:sz w:val="32"/>
          <w:szCs w:val="32"/>
          <w:lang w:val="en-US" w:eastAsia="zh-CN"/>
        </w:rPr>
        <w:t>100</w:t>
      </w:r>
      <w:r>
        <w:rPr>
          <w:rStyle w:val="18"/>
          <w:rFonts w:hint="eastAsia" w:ascii="仿宋_GB2312" w:hAnsi="仿宋_GB2312" w:eastAsia="仿宋_GB2312" w:cs="仿宋_GB2312"/>
          <w:b w:val="0"/>
          <w:bCs w:val="0"/>
          <w:spacing w:val="-4"/>
          <w:sz w:val="32"/>
          <w:szCs w:val="32"/>
        </w:rPr>
        <w:t>分，自评结果为“优”，其中项目决策得分17分，项目过程得分23分，项目产出得分17分，项目效益得分30分，项目满意度得分8分。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综合评价结论：项目决策方面，项目立项是根据财政局历年清欠全口径项目欠款要求，逐年解决欠款问题，缓解中小微企业压力，帮助实施主体减负轻装上阵，进一步保障债权人权益，树立政府公信力等目地进行偿还欠款，符合相关规定要求，绩效目标设置明确，符合部门履职工作需求；项目过程方面，本项目年初设定预算资金69万元，实际到位资金140.5</w:t>
      </w:r>
      <w:r>
        <w:rPr>
          <w:rStyle w:val="18"/>
          <w:rFonts w:hint="eastAsia" w:ascii="仿宋_GB2312" w:hAnsi="仿宋_GB2312" w:eastAsia="仿宋_GB2312" w:cs="仿宋_GB2312"/>
          <w:b w:val="0"/>
          <w:bCs w:val="0"/>
          <w:spacing w:val="-4"/>
          <w:sz w:val="32"/>
          <w:szCs w:val="32"/>
          <w:lang w:val="en-US" w:eastAsia="zh-CN"/>
        </w:rPr>
        <w:t>5</w:t>
      </w:r>
      <w:r>
        <w:rPr>
          <w:rStyle w:val="18"/>
          <w:rFonts w:hint="eastAsia" w:ascii="仿宋_GB2312" w:hAnsi="仿宋_GB2312" w:eastAsia="仿宋_GB2312" w:cs="仿宋_GB2312"/>
          <w:b w:val="0"/>
          <w:bCs w:val="0"/>
          <w:spacing w:val="-4"/>
          <w:sz w:val="32"/>
          <w:szCs w:val="32"/>
        </w:rPr>
        <w:t>万元，实际支付资金140.5</w:t>
      </w:r>
      <w:r>
        <w:rPr>
          <w:rStyle w:val="18"/>
          <w:rFonts w:hint="eastAsia" w:ascii="仿宋_GB2312" w:hAnsi="仿宋_GB2312" w:eastAsia="仿宋_GB2312" w:cs="仿宋_GB2312"/>
          <w:b w:val="0"/>
          <w:bCs w:val="0"/>
          <w:spacing w:val="-4"/>
          <w:sz w:val="32"/>
          <w:szCs w:val="32"/>
          <w:lang w:val="en-US" w:eastAsia="zh-CN"/>
        </w:rPr>
        <w:t>5</w:t>
      </w:r>
      <w:r>
        <w:rPr>
          <w:rStyle w:val="18"/>
          <w:rFonts w:hint="eastAsia" w:ascii="仿宋_GB2312" w:hAnsi="仿宋_GB2312" w:eastAsia="仿宋_GB2312" w:cs="仿宋_GB2312"/>
          <w:b w:val="0"/>
          <w:bCs w:val="0"/>
          <w:spacing w:val="-4"/>
          <w:sz w:val="32"/>
          <w:szCs w:val="32"/>
        </w:rPr>
        <w:t>万元，资金到位率203%</w:t>
      </w:r>
      <w:r>
        <w:rPr>
          <w:rStyle w:val="18"/>
          <w:rFonts w:hint="eastAsia" w:ascii="仿宋_GB2312" w:hAnsi="仿宋_GB2312" w:eastAsia="仿宋_GB2312" w:cs="仿宋_GB2312"/>
          <w:b w:val="0"/>
          <w:bCs w:val="0"/>
          <w:spacing w:val="-4"/>
          <w:sz w:val="32"/>
          <w:szCs w:val="32"/>
          <w:lang w:eastAsia="zh-CN"/>
        </w:rPr>
        <w:t>，</w:t>
      </w:r>
      <w:r>
        <w:rPr>
          <w:rStyle w:val="18"/>
          <w:rFonts w:hint="eastAsia" w:ascii="仿宋_GB2312" w:hAnsi="仿宋_GB2312" w:eastAsia="仿宋_GB2312" w:cs="仿宋_GB2312"/>
          <w:b w:val="0"/>
          <w:bCs w:val="0"/>
          <w:spacing w:val="-4"/>
          <w:sz w:val="32"/>
          <w:szCs w:val="32"/>
        </w:rPr>
        <w:t>预算执行率</w:t>
      </w:r>
      <w:r>
        <w:rPr>
          <w:rStyle w:val="18"/>
          <w:rFonts w:hint="eastAsia" w:ascii="仿宋_GB2312" w:hAnsi="仿宋_GB2312" w:eastAsia="仿宋_GB2312" w:cs="仿宋_GB2312"/>
          <w:b w:val="0"/>
          <w:bCs w:val="0"/>
          <w:spacing w:val="-4"/>
          <w:sz w:val="32"/>
          <w:szCs w:val="32"/>
          <w:lang w:val="en-US" w:eastAsia="zh-CN"/>
        </w:rPr>
        <w:t>100</w:t>
      </w:r>
      <w:r>
        <w:rPr>
          <w:rStyle w:val="18"/>
          <w:rFonts w:hint="eastAsia" w:ascii="仿宋_GB2312" w:hAnsi="仿宋_GB2312" w:eastAsia="仿宋_GB2312" w:cs="仿宋_GB2312"/>
          <w:b w:val="0"/>
          <w:bCs w:val="0"/>
          <w:spacing w:val="-4"/>
          <w:sz w:val="32"/>
          <w:szCs w:val="32"/>
        </w:rPr>
        <w:t>%；项目产出方面，偿还项目2个，还款资金发放准确率及偿还欠款完成及时率均达标，拨付资金140.5</w:t>
      </w:r>
      <w:r>
        <w:rPr>
          <w:rStyle w:val="18"/>
          <w:rFonts w:hint="eastAsia" w:ascii="仿宋_GB2312" w:hAnsi="仿宋_GB2312" w:eastAsia="仿宋_GB2312" w:cs="仿宋_GB2312"/>
          <w:b w:val="0"/>
          <w:bCs w:val="0"/>
          <w:spacing w:val="-4"/>
          <w:sz w:val="32"/>
          <w:szCs w:val="32"/>
          <w:lang w:val="en-US" w:eastAsia="zh-CN"/>
        </w:rPr>
        <w:t>5</w:t>
      </w:r>
      <w:r>
        <w:rPr>
          <w:rStyle w:val="18"/>
          <w:rFonts w:hint="eastAsia" w:ascii="仿宋_GB2312" w:hAnsi="仿宋_GB2312" w:eastAsia="仿宋_GB2312" w:cs="仿宋_GB2312"/>
          <w:b w:val="0"/>
          <w:bCs w:val="0"/>
          <w:spacing w:val="-4"/>
          <w:sz w:val="32"/>
          <w:szCs w:val="32"/>
        </w:rPr>
        <w:t>万元超出预期计划标准；项目效益方面，有效保障债权人的权益；项目满意度方面，根据对债权人调查卷收集情况，对项目实施进度、项目实施政策等均表现为满意，满意度达95%。</w:t>
      </w:r>
    </w:p>
    <w:p>
      <w:pPr>
        <w:spacing w:line="540" w:lineRule="exact"/>
        <w:ind w:firstLine="640"/>
        <w:rPr>
          <w:rStyle w:val="18"/>
          <w:rFonts w:hint="eastAsia" w:ascii="仿宋_GB2312" w:hAnsi="仿宋_GB2312" w:eastAsia="仿宋_GB2312" w:cs="仿宋_GB2312"/>
          <w:sz w:val="32"/>
          <w:szCs w:val="32"/>
        </w:rPr>
      </w:pPr>
      <w:r>
        <w:rPr>
          <w:rStyle w:val="18"/>
          <w:rFonts w:hint="eastAsia" w:ascii="仿宋_GB2312" w:hAnsi="仿宋_GB2312" w:eastAsia="仿宋_GB2312" w:cs="仿宋_GB2312"/>
          <w:b w:val="0"/>
          <w:spacing w:val="-4"/>
          <w:sz w:val="32"/>
          <w:szCs w:val="32"/>
        </w:rPr>
        <w:t>四、绩效评价指标分析</w:t>
      </w:r>
      <w:r>
        <w:rPr>
          <w:rStyle w:val="18"/>
          <w:rFonts w:hint="eastAsia" w:ascii="仿宋_GB2312" w:hAnsi="仿宋_GB2312" w:eastAsia="仿宋_GB2312" w:cs="仿宋_GB2312"/>
          <w:sz w:val="32"/>
          <w:szCs w:val="32"/>
        </w:rPr>
        <w:t xml:space="preserve"> </w:t>
      </w:r>
    </w:p>
    <w:p>
      <w:pPr>
        <w:spacing w:line="540" w:lineRule="exact"/>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w:t>
      </w:r>
      <w:r>
        <w:rPr>
          <w:rStyle w:val="18"/>
          <w:rFonts w:hint="eastAsia" w:ascii="仿宋_GB2312" w:hAnsi="仿宋_GB2312" w:eastAsia="仿宋_GB2312" w:cs="仿宋_GB2312"/>
          <w:spacing w:val="-4"/>
          <w:sz w:val="32"/>
          <w:szCs w:val="32"/>
        </w:rPr>
        <w:t>项目决策情况</w:t>
      </w:r>
    </w:p>
    <w:p>
      <w:pPr>
        <w:tabs>
          <w:tab w:val="center" w:pos="4295"/>
        </w:tabs>
        <w:spacing w:line="540" w:lineRule="exact"/>
        <w:rPr>
          <w:rStyle w:val="18"/>
          <w:rFonts w:hint="eastAsia" w:ascii="仿宋_GB2312" w:hAnsi="仿宋_GB2312" w:eastAsia="仿宋_GB2312" w:cs="仿宋_GB2312"/>
          <w:b w:val="0"/>
          <w:bCs w:val="0"/>
          <w:spacing w:val="-4"/>
          <w:sz w:val="32"/>
          <w:szCs w:val="32"/>
          <w:lang w:eastAsia="zh-CN"/>
        </w:rPr>
      </w:pPr>
      <w:r>
        <w:rPr>
          <w:rStyle w:val="18"/>
          <w:rFonts w:hint="eastAsia" w:ascii="仿宋_GB2312" w:hAnsi="仿宋_GB2312" w:eastAsia="仿宋_GB2312" w:cs="仿宋_GB2312"/>
          <w:b w:val="0"/>
          <w:bCs w:val="0"/>
          <w:spacing w:val="-4"/>
          <w:sz w:val="32"/>
          <w:szCs w:val="32"/>
        </w:rPr>
        <w:t>1.项目立项</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立项依据充分性，满分2分，得分2分，得分率100%。项目立项是根据财政局历年清欠全口径项目欠款要求，逐年解决欠款问题，缓解中小微企业压力，帮助实施主体减负轻装上阵，进一步保障债权人权益，树立政府公信力等目地进行立项，立项依据充分，符合发展规划要求，属于部门履职所需。</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（2）立项程序规范性，满分2分，得分2分，得分率100%。项目立项符合规定程序，审批文件等材料合规、完整，有完整的评估程序和集体决策。</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2.绩效目标</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绩效目标明确性，满分4分，得分2分，得分率50%。项目绩效目标为“通过根据项目相关合同，按照规定偿还以前年度项目的欠款，减轻单位负债，保障债权人的权益。”，绩效目标包含了偿还目标及保障债权人权益予以体现，符合部门工作任务要求。</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（2）绩效目标合理性，满分4分，得分4分，得分率100%。项目绩效目标细化分解为具体指标，绩效目标内容与项目相关，产出和效益符合正常业绩水平，资金投入与预算资金相匹配。绩效目标设置合理可行。</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3.预算编制</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（1）测算标准合理性，满分3分，得分3分，得分率100%。年初设定还款69万元，经财政局下达全口径项目全部偿还欠款要求，实际支付140.5</w:t>
      </w:r>
      <w:r>
        <w:rPr>
          <w:rStyle w:val="18"/>
          <w:rFonts w:hint="eastAsia" w:ascii="仿宋_GB2312" w:hAnsi="仿宋_GB2312" w:eastAsia="仿宋_GB2312" w:cs="仿宋_GB2312"/>
          <w:b w:val="0"/>
          <w:bCs w:val="0"/>
          <w:spacing w:val="-4"/>
          <w:sz w:val="32"/>
          <w:szCs w:val="32"/>
          <w:lang w:val="en-US" w:eastAsia="zh-CN"/>
        </w:rPr>
        <w:t>5</w:t>
      </w:r>
      <w:r>
        <w:rPr>
          <w:rStyle w:val="18"/>
          <w:rFonts w:hint="eastAsia" w:ascii="仿宋_GB2312" w:hAnsi="仿宋_GB2312" w:eastAsia="仿宋_GB2312" w:cs="仿宋_GB2312"/>
          <w:b w:val="0"/>
          <w:bCs w:val="0"/>
          <w:spacing w:val="-4"/>
          <w:sz w:val="32"/>
          <w:szCs w:val="32"/>
        </w:rPr>
        <w:t>万元，测算标准合理。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（2）测算过程细化度，满分2分，得分2分，得分率100%。项目资金测算主要依据项目工程概算，概算内容中明确了各分项工程费用，费用明细详细，测算过程细化清晰。</w:t>
      </w:r>
      <w:r>
        <w:rPr>
          <w:rStyle w:val="18"/>
          <w:rFonts w:hint="eastAsia" w:ascii="仿宋_GB2312" w:hAnsi="仿宋_GB2312" w:eastAsia="仿宋_GB2312" w:cs="仿宋_GB2312"/>
          <w:b w:val="0"/>
          <w:bCs w:val="0"/>
          <w:spacing w:val="-4"/>
          <w:sz w:val="32"/>
          <w:szCs w:val="32"/>
          <w:lang w:eastAsia="zh-CN"/>
        </w:rPr>
        <w:tab/>
      </w:r>
    </w:p>
    <w:p>
      <w:pPr>
        <w:spacing w:line="540" w:lineRule="exact"/>
        <w:ind w:firstLine="567" w:firstLineChars="181"/>
        <w:rPr>
          <w:rStyle w:val="18"/>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二</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项目过程情况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1.资金管理</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（1）资金到位率，满分6分，得分6分，得分率100%。年初项目预算69万元，2024年到位资金共计140.5</w:t>
      </w:r>
      <w:r>
        <w:rPr>
          <w:rStyle w:val="18"/>
          <w:rFonts w:hint="eastAsia" w:ascii="仿宋_GB2312" w:hAnsi="仿宋_GB2312" w:eastAsia="仿宋_GB2312" w:cs="仿宋_GB2312"/>
          <w:b w:val="0"/>
          <w:bCs w:val="0"/>
          <w:spacing w:val="-4"/>
          <w:sz w:val="32"/>
          <w:szCs w:val="32"/>
          <w:lang w:val="en-US" w:eastAsia="zh-CN"/>
        </w:rPr>
        <w:t>5</w:t>
      </w:r>
      <w:r>
        <w:rPr>
          <w:rStyle w:val="18"/>
          <w:rFonts w:hint="eastAsia" w:ascii="仿宋_GB2312" w:hAnsi="仿宋_GB2312" w:eastAsia="仿宋_GB2312" w:cs="仿宋_GB2312"/>
          <w:b w:val="0"/>
          <w:bCs w:val="0"/>
          <w:spacing w:val="-4"/>
          <w:sz w:val="32"/>
          <w:szCs w:val="32"/>
        </w:rPr>
        <w:t>万元，资金到位率203%。</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（2）预算执行率，满分6分，得分6分，得分率100%。项目实际到位资金140.5</w:t>
      </w:r>
      <w:r>
        <w:rPr>
          <w:rStyle w:val="18"/>
          <w:rFonts w:hint="eastAsia" w:ascii="仿宋_GB2312" w:hAnsi="仿宋_GB2312" w:eastAsia="仿宋_GB2312" w:cs="仿宋_GB2312"/>
          <w:b w:val="0"/>
          <w:bCs w:val="0"/>
          <w:spacing w:val="-4"/>
          <w:sz w:val="32"/>
          <w:szCs w:val="32"/>
          <w:lang w:val="en-US" w:eastAsia="zh-CN"/>
        </w:rPr>
        <w:t>5</w:t>
      </w:r>
      <w:r>
        <w:rPr>
          <w:rStyle w:val="18"/>
          <w:rFonts w:hint="eastAsia" w:ascii="仿宋_GB2312" w:hAnsi="仿宋_GB2312" w:eastAsia="仿宋_GB2312" w:cs="仿宋_GB2312"/>
          <w:b w:val="0"/>
          <w:bCs w:val="0"/>
          <w:spacing w:val="-4"/>
          <w:sz w:val="32"/>
          <w:szCs w:val="32"/>
        </w:rPr>
        <w:t>万元，截至2024年底共计支出金额140.5</w:t>
      </w:r>
      <w:r>
        <w:rPr>
          <w:rStyle w:val="18"/>
          <w:rFonts w:hint="eastAsia" w:ascii="仿宋_GB2312" w:hAnsi="仿宋_GB2312" w:eastAsia="仿宋_GB2312" w:cs="仿宋_GB2312"/>
          <w:b w:val="0"/>
          <w:bCs w:val="0"/>
          <w:spacing w:val="-4"/>
          <w:sz w:val="32"/>
          <w:szCs w:val="32"/>
          <w:lang w:val="en-US" w:eastAsia="zh-CN"/>
        </w:rPr>
        <w:t>5</w:t>
      </w:r>
      <w:r>
        <w:rPr>
          <w:rStyle w:val="18"/>
          <w:rFonts w:hint="eastAsia" w:ascii="仿宋_GB2312" w:hAnsi="仿宋_GB2312" w:eastAsia="仿宋_GB2312" w:cs="仿宋_GB2312"/>
          <w:b w:val="0"/>
          <w:bCs w:val="0"/>
          <w:spacing w:val="-4"/>
          <w:sz w:val="32"/>
          <w:szCs w:val="32"/>
        </w:rPr>
        <w:t>万元，预算执行率为</w:t>
      </w:r>
      <w:r>
        <w:rPr>
          <w:rStyle w:val="18"/>
          <w:rFonts w:hint="eastAsia" w:ascii="仿宋_GB2312" w:hAnsi="仿宋_GB2312" w:eastAsia="仿宋_GB2312" w:cs="仿宋_GB2312"/>
          <w:b w:val="0"/>
          <w:bCs w:val="0"/>
          <w:spacing w:val="-4"/>
          <w:sz w:val="32"/>
          <w:szCs w:val="32"/>
          <w:lang w:val="en-US" w:eastAsia="zh-CN"/>
        </w:rPr>
        <w:t>100</w:t>
      </w:r>
      <w:r>
        <w:rPr>
          <w:rStyle w:val="18"/>
          <w:rFonts w:hint="eastAsia" w:ascii="仿宋_GB2312" w:hAnsi="仿宋_GB2312" w:eastAsia="仿宋_GB2312" w:cs="仿宋_GB2312"/>
          <w:b w:val="0"/>
          <w:bCs w:val="0"/>
          <w:spacing w:val="-4"/>
          <w:sz w:val="32"/>
          <w:szCs w:val="32"/>
        </w:rPr>
        <w:t>%。</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2.组织实施</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（1）资金使用合规性，满分4分，得分4分，得分率100%。项目资金使用符合政府会计制度的相关规定，各项拨付</w:t>
      </w:r>
      <w:r>
        <w:rPr>
          <w:rStyle w:val="18"/>
          <w:rFonts w:hint="eastAsia" w:ascii="仿宋_GB2312" w:hAnsi="仿宋_GB2312" w:eastAsia="仿宋_GB2312" w:cs="仿宋_GB2312"/>
          <w:b w:val="0"/>
          <w:bCs w:val="0"/>
          <w:spacing w:val="-4"/>
          <w:sz w:val="32"/>
          <w:szCs w:val="32"/>
          <w:lang w:eastAsia="zh-CN"/>
        </w:rPr>
        <w:t>经</w:t>
      </w:r>
      <w:r>
        <w:rPr>
          <w:rStyle w:val="18"/>
          <w:rFonts w:hint="eastAsia" w:ascii="仿宋_GB2312" w:hAnsi="仿宋_GB2312" w:eastAsia="仿宋_GB2312" w:cs="仿宋_GB2312"/>
          <w:b w:val="0"/>
          <w:bCs w:val="0"/>
          <w:spacing w:val="-4"/>
          <w:sz w:val="32"/>
          <w:szCs w:val="32"/>
        </w:rPr>
        <w:t>领导审批，有完整的审批手续，项目支出不存在截留、挤占、挪用、虚列支出等情况，本年度审计、巡视、财政巡察未发现违规问题。</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（2）管理制度健全性，满分4分，得分4分，得分率100%。财务制度方面，我局为保障项目资金合理支出，制定《预算管理内部控制制度》，规定项目支出的合理流程，制度制定合法、合规。</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（3）制度执行有效性，满分3分，得分3分，得分率100%。项目支出遵守财务法律法规和自治区项目管理要求的各项规定，支出凭证、收据等相关资料齐全，项目实施所需的人员齐备，符合制度工作要求。</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三</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项目产出情况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1.产出数量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（1）偿还欠款项目数量，满分6分，得分6分，得分率100%。根据年初计划要求，预计偿还欠款项目数量2个，根据资金拨付情况显示，实际偿还欠款项目2个，符合计划要求。</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2.产出质量</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（1）还款资金发放准确率，满分6分，得分6分，得分率100%。项目全年支出140.5</w:t>
      </w:r>
      <w:r>
        <w:rPr>
          <w:rStyle w:val="18"/>
          <w:rFonts w:hint="eastAsia" w:ascii="仿宋_GB2312" w:hAnsi="仿宋_GB2312" w:eastAsia="仿宋_GB2312" w:cs="仿宋_GB2312"/>
          <w:b w:val="0"/>
          <w:bCs w:val="0"/>
          <w:spacing w:val="-4"/>
          <w:sz w:val="32"/>
          <w:szCs w:val="32"/>
          <w:lang w:val="en-US" w:eastAsia="zh-CN"/>
        </w:rPr>
        <w:t>5</w:t>
      </w:r>
      <w:r>
        <w:rPr>
          <w:rStyle w:val="18"/>
          <w:rFonts w:hint="eastAsia" w:ascii="仿宋_GB2312" w:hAnsi="仿宋_GB2312" w:eastAsia="仿宋_GB2312" w:cs="仿宋_GB2312"/>
          <w:b w:val="0"/>
          <w:bCs w:val="0"/>
          <w:spacing w:val="-4"/>
          <w:sz w:val="32"/>
          <w:szCs w:val="32"/>
        </w:rPr>
        <w:t>万元，资金支出申请前经过单位领导审批集体决策，按照单位内部财务管理制度的相关流程进行拨付，各项财务支出手续齐全，符合资金使用规定，还款资金发放准确率达100%。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3.产出时效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偿还欠款完成及时率，满分5分，得分5分，得分率100%。根据年初偿还欠款设定指标，计划年底之前偿还欠款，该全口径项目年底之前实际已偿还欠款，该项目偿还欠款完成及时率为100%。</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4.产出成本</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（1）偿还欠款项目总金额，满分5分，得分5分，得分率0%。根据年初绩效设定指标，项目计划支付欠款项目金额69万元，根据项目支出凭证及相关收据，项目实际支付140.5</w:t>
      </w:r>
      <w:r>
        <w:rPr>
          <w:rStyle w:val="18"/>
          <w:rFonts w:hint="eastAsia" w:ascii="仿宋_GB2312" w:hAnsi="仿宋_GB2312" w:eastAsia="仿宋_GB2312" w:cs="仿宋_GB2312"/>
          <w:b w:val="0"/>
          <w:bCs w:val="0"/>
          <w:spacing w:val="-4"/>
          <w:sz w:val="32"/>
          <w:szCs w:val="32"/>
          <w:lang w:val="en-US" w:eastAsia="zh-CN"/>
        </w:rPr>
        <w:t>5</w:t>
      </w:r>
      <w:r>
        <w:rPr>
          <w:rStyle w:val="18"/>
          <w:rFonts w:hint="eastAsia" w:ascii="仿宋_GB2312" w:hAnsi="仿宋_GB2312" w:eastAsia="仿宋_GB2312" w:cs="仿宋_GB2312"/>
          <w:b w:val="0"/>
          <w:bCs w:val="0"/>
          <w:spacing w:val="-4"/>
          <w:sz w:val="32"/>
          <w:szCs w:val="32"/>
        </w:rPr>
        <w:t>万元，不符合成本控制要求。</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四</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w:t>
      </w:r>
      <w:r>
        <w:rPr>
          <w:rStyle w:val="18"/>
          <w:rFonts w:hint="eastAsia" w:ascii="仿宋_GB2312" w:hAnsi="仿宋_GB2312" w:eastAsia="仿宋_GB2312" w:cs="仿宋_GB2312"/>
          <w:spacing w:val="-4"/>
          <w:sz w:val="32"/>
          <w:szCs w:val="32"/>
          <w:lang w:val="en-US" w:eastAsia="zh-CN"/>
        </w:rPr>
        <w:t>成本</w:t>
      </w:r>
      <w:r>
        <w:rPr>
          <w:rStyle w:val="18"/>
          <w:rFonts w:hint="eastAsia" w:ascii="仿宋_GB2312" w:hAnsi="仿宋_GB2312" w:eastAsia="仿宋_GB2312" w:cs="仿宋_GB2312"/>
          <w:spacing w:val="-4"/>
          <w:sz w:val="32"/>
          <w:szCs w:val="32"/>
        </w:rPr>
        <w:t>情况</w:t>
      </w:r>
    </w:p>
    <w:p>
      <w:pPr>
        <w:spacing w:line="540" w:lineRule="exact"/>
        <w:ind w:firstLine="567"/>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1.社会效益</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（1）保障债权人的权益，满分30分，得分30分，得分率100%。根据年初设定指标及后期财政局全部清欠全口径项目的通知，全口径项目实际偿还欠款金额已保障债权人的权益。</w:t>
      </w:r>
    </w:p>
    <w:p>
      <w:pPr>
        <w:spacing w:line="540" w:lineRule="exact"/>
        <w:ind w:firstLine="567" w:firstLineChars="181"/>
        <w:rPr>
          <w:rStyle w:val="18"/>
          <w:rFonts w:hint="eastAsia" w:ascii="仿宋_GB2312" w:hAnsi="仿宋_GB2312" w:eastAsia="仿宋_GB2312" w:cs="仿宋_GB2312"/>
          <w:b w:val="0"/>
          <w:bCs w:val="0"/>
          <w:spacing w:val="-4"/>
          <w:sz w:val="32"/>
          <w:szCs w:val="32"/>
          <w:lang w:val="en-US" w:eastAsia="zh-CN"/>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五</w:t>
      </w:r>
      <w:r>
        <w:rPr>
          <w:rFonts w:hint="eastAsia" w:ascii="仿宋_GB2312" w:hAnsi="仿宋_GB2312" w:eastAsia="仿宋_GB2312" w:cs="仿宋_GB2312"/>
          <w:b/>
          <w:spacing w:val="-4"/>
          <w:sz w:val="32"/>
          <w:szCs w:val="32"/>
        </w:rPr>
        <w:t>）</w:t>
      </w:r>
      <w:r>
        <w:rPr>
          <w:rStyle w:val="18"/>
          <w:rFonts w:hint="eastAsia" w:ascii="仿宋_GB2312" w:hAnsi="仿宋_GB2312" w:eastAsia="仿宋_GB2312" w:cs="仿宋_GB2312"/>
          <w:spacing w:val="-4"/>
          <w:sz w:val="32"/>
          <w:szCs w:val="32"/>
        </w:rPr>
        <w:t>项目效益情况</w:t>
      </w:r>
    </w:p>
    <w:p>
      <w:pPr>
        <w:spacing w:line="540" w:lineRule="exact"/>
        <w:ind w:firstLine="567" w:firstLineChars="181"/>
        <w:rPr>
          <w:rStyle w:val="18"/>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val="en-US" w:eastAsia="zh-CN"/>
        </w:rPr>
        <w:t>六</w:t>
      </w:r>
      <w:r>
        <w:rPr>
          <w:rFonts w:hint="eastAsia" w:ascii="仿宋_GB2312" w:hAnsi="仿宋_GB2312" w:eastAsia="仿宋_GB2312" w:cs="仿宋_GB2312"/>
          <w:b/>
          <w:spacing w:val="-4"/>
          <w:sz w:val="32"/>
          <w:szCs w:val="32"/>
        </w:rPr>
        <w:t>）</w:t>
      </w:r>
      <w:r>
        <w:rPr>
          <w:rFonts w:hint="eastAsia" w:ascii="仿宋_GB2312" w:hAnsi="仿宋_GB2312" w:eastAsia="仿宋_GB2312" w:cs="仿宋_GB2312"/>
          <w:b/>
          <w:spacing w:val="-4"/>
          <w:sz w:val="32"/>
          <w:szCs w:val="32"/>
          <w:lang w:eastAsia="zh-CN"/>
        </w:rPr>
        <w:t>满意度</w:t>
      </w:r>
      <w:r>
        <w:rPr>
          <w:rStyle w:val="18"/>
          <w:rFonts w:hint="eastAsia" w:ascii="仿宋_GB2312" w:hAnsi="仿宋_GB2312" w:eastAsia="仿宋_GB2312" w:cs="仿宋_GB2312"/>
          <w:spacing w:val="-4"/>
          <w:sz w:val="32"/>
          <w:szCs w:val="32"/>
        </w:rPr>
        <w:t>情况</w:t>
      </w:r>
    </w:p>
    <w:p>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债权人满意度，满分8分，得分8分，得分率100%。本项目向债权人发放满意度问卷2份，问卷内容主要包括改造工程进度满意度、政策满意度等，实际回收满意度问卷2份，满意度情况为满意，债权人满意度为95%。</w:t>
      </w:r>
    </w:p>
    <w:p>
      <w:pPr>
        <w:spacing w:line="540" w:lineRule="exact"/>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五</w:t>
      </w:r>
      <w:r>
        <w:rPr>
          <w:rStyle w:val="18"/>
          <w:rFonts w:hint="eastAsia" w:ascii="仿宋_GB2312" w:hAnsi="仿宋_GB2312" w:eastAsia="仿宋_GB2312" w:cs="仿宋_GB2312"/>
          <w:b w:val="0"/>
          <w:spacing w:val="-4"/>
          <w:sz w:val="32"/>
          <w:szCs w:val="32"/>
        </w:rPr>
        <w:t>、主要经验及做法、存在的问题及原因分析</w:t>
      </w:r>
    </w:p>
    <w:p>
      <w:pPr>
        <w:spacing w:line="540" w:lineRule="exact"/>
        <w:rPr>
          <w:rStyle w:val="18"/>
          <w:rFonts w:hint="eastAsia" w:ascii="仿宋_GB2312" w:hAnsi="仿宋_GB2312" w:eastAsia="仿宋_GB2312" w:cs="仿宋_GB2312"/>
          <w:b w:val="0"/>
          <w:bCs w:val="0"/>
          <w:spacing w:val="-4"/>
          <w:sz w:val="32"/>
          <w:szCs w:val="32"/>
        </w:rPr>
      </w:pPr>
      <w:r>
        <w:rPr>
          <w:rStyle w:val="18"/>
          <w:rFonts w:hint="eastAsia" w:ascii="仿宋_GB2312" w:hAnsi="仿宋_GB2312" w:eastAsia="仿宋_GB2312" w:cs="仿宋_GB2312"/>
          <w:b w:val="0"/>
          <w:bCs w:val="0"/>
          <w:spacing w:val="-4"/>
          <w:sz w:val="32"/>
          <w:szCs w:val="32"/>
        </w:rPr>
        <w:t>（一）主要经验及做法</w:t>
      </w:r>
    </w:p>
    <w:p>
      <w:pPr>
        <w:spacing w:line="540" w:lineRule="exact"/>
        <w:ind w:firstLine="624" w:firstLineChars="200"/>
        <w:rPr>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一是建立高效决策机制，明确决策责任与权限，明确相关人员的决策责任与权限，确保决策能够快速、准确地做出，避免决策拖延或责任不清。设立项目管理小组，根据项目规模和复杂性，设立专门的项目管理小组，负责项目的重大决策，确保决策的专业性和高效性。</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二是强化决策分析与评估。开展决策前分析，在做出决策前，对项目现状、风险等进行全面分析，收集相关信息和数据，为决策提供科学依据。建立决策评估体系，制定决策评估标准和流程，对决策方案进行量化评估，确保选择最优方案。</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三是加强决策沟通与协调。促进信息共享，建立有效的信息共享机制，确保决策所需的信息能够及时、准确地传递给相关人员。强化跨部门沟通，加强项目实施部门内部及与其他部门之间的沟通，确保决策过程中各方意见得到充分表达和讨论。</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rPr>
        <w:t>（二）存在问题及原因分析</w:t>
      </w:r>
      <w:r>
        <w:rPr>
          <w:rStyle w:val="18"/>
          <w:rFonts w:hint="eastAsia" w:ascii="仿宋_GB2312" w:hAnsi="仿宋_GB2312" w:eastAsia="仿宋_GB2312" w:cs="仿宋_GB2312"/>
          <w:b w:val="0"/>
          <w:bCs w:val="0"/>
          <w:spacing w:val="-4"/>
          <w:sz w:val="32"/>
          <w:szCs w:val="32"/>
        </w:rPr>
        <w:br w:type="textWrapping"/>
      </w:r>
      <w:r>
        <w:rPr>
          <w:rStyle w:val="18"/>
          <w:rFonts w:hint="eastAsia" w:ascii="仿宋_GB2312" w:hAnsi="仿宋_GB2312" w:eastAsia="仿宋_GB2312" w:cs="仿宋_GB2312"/>
          <w:b w:val="0"/>
          <w:bCs w:val="0"/>
          <w:spacing w:val="-4"/>
          <w:sz w:val="32"/>
          <w:szCs w:val="32"/>
          <w:lang w:val="en-US" w:eastAsia="zh-CN"/>
        </w:rPr>
        <w:t xml:space="preserve">  </w:t>
      </w:r>
      <w:r>
        <w:rPr>
          <w:rStyle w:val="18"/>
          <w:rFonts w:hint="eastAsia" w:ascii="仿宋_GB2312" w:hAnsi="仿宋_GB2312" w:eastAsia="仿宋_GB2312" w:cs="仿宋_GB2312"/>
          <w:b w:val="0"/>
          <w:bCs w:val="0"/>
          <w:spacing w:val="-4"/>
          <w:sz w:val="32"/>
          <w:szCs w:val="32"/>
        </w:rPr>
        <w:t>主要问题是偿还欠款项目总金额与年初设定偿还金额不一致，年初偿还欠款项目总金额目标设置为“偿还69万元”与实际偿还140.5</w:t>
      </w:r>
      <w:r>
        <w:rPr>
          <w:rStyle w:val="18"/>
          <w:rFonts w:hint="eastAsia" w:ascii="仿宋_GB2312" w:hAnsi="仿宋_GB2312" w:eastAsia="仿宋_GB2312" w:cs="仿宋_GB2312"/>
          <w:b w:val="0"/>
          <w:bCs w:val="0"/>
          <w:spacing w:val="-4"/>
          <w:sz w:val="32"/>
          <w:szCs w:val="32"/>
          <w:lang w:val="en-US" w:eastAsia="zh-CN"/>
        </w:rPr>
        <w:t>5</w:t>
      </w:r>
      <w:r>
        <w:rPr>
          <w:rStyle w:val="18"/>
          <w:rFonts w:hint="eastAsia" w:ascii="仿宋_GB2312" w:hAnsi="仿宋_GB2312" w:eastAsia="仿宋_GB2312" w:cs="仿宋_GB2312"/>
          <w:b w:val="0"/>
          <w:bCs w:val="0"/>
          <w:spacing w:val="-4"/>
          <w:sz w:val="32"/>
          <w:szCs w:val="32"/>
        </w:rPr>
        <w:t>万元有较大差距，主要原因</w:t>
      </w:r>
      <w:bookmarkStart w:id="0" w:name="_GoBack"/>
      <w:r>
        <w:rPr>
          <w:rStyle w:val="18"/>
          <w:rFonts w:hint="eastAsia" w:ascii="仿宋_GB2312" w:hAnsi="仿宋_GB2312" w:eastAsia="仿宋_GB2312" w:cs="仿宋_GB2312"/>
          <w:b w:val="0"/>
          <w:bCs w:val="0"/>
          <w:spacing w:val="-4"/>
          <w:sz w:val="32"/>
          <w:szCs w:val="32"/>
        </w:rPr>
        <w:t>在于回城乡</w:t>
      </w:r>
      <w:bookmarkEnd w:id="0"/>
      <w:r>
        <w:rPr>
          <w:rStyle w:val="18"/>
          <w:rFonts w:hint="eastAsia" w:ascii="仿宋_GB2312" w:hAnsi="仿宋_GB2312" w:eastAsia="仿宋_GB2312" w:cs="仿宋_GB2312"/>
          <w:b w:val="0"/>
          <w:bCs w:val="0"/>
          <w:spacing w:val="-4"/>
          <w:sz w:val="32"/>
          <w:szCs w:val="32"/>
        </w:rPr>
        <w:t>预算绩效管理意识仍有待提高。</w:t>
      </w:r>
    </w:p>
    <w:p>
      <w:pPr>
        <w:spacing w:line="540" w:lineRule="exact"/>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u w:val="dotted"/>
          <w:lang w:val="en-US" w:eastAsia="zh-CN"/>
        </w:rPr>
        <w:t>六</w:t>
      </w:r>
      <w:r>
        <w:rPr>
          <w:rStyle w:val="18"/>
          <w:rFonts w:hint="eastAsia" w:ascii="黑体" w:hAnsi="黑体" w:eastAsia="黑体" w:cs="黑体"/>
          <w:b w:val="0"/>
          <w:spacing w:val="-4"/>
          <w:sz w:val="32"/>
          <w:szCs w:val="32"/>
        </w:rPr>
        <w:t>、有关建议</w:t>
      </w:r>
    </w:p>
    <w:p>
      <w:pPr>
        <w:spacing w:line="540" w:lineRule="exact"/>
        <w:ind w:firstLine="567"/>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rPr>
        <w:t>建议提升预算绩效管理水平，首先回城乡人民政府按照全面实施预算绩效管理的要求，及时、准确填报项目支出，合理设定绩效目标，绩效指标表述规范、符合项目实际且可衡量。其次回城乡人民政府在后续工作中将加强对部门科室的绩效培训力度，推动科室业务工作开展的同时重视绩效管理，理解绩效基本概念，提高单位绩效工作质量。</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七</w:t>
      </w:r>
      <w:r>
        <w:rPr>
          <w:rStyle w:val="18"/>
          <w:rFonts w:hint="eastAsia" w:ascii="仿宋_GB2312" w:hAnsi="仿宋_GB2312" w:eastAsia="仿宋_GB2312" w:cs="仿宋_GB2312"/>
          <w:b w:val="0"/>
          <w:spacing w:val="-4"/>
          <w:sz w:val="32"/>
          <w:szCs w:val="32"/>
        </w:rPr>
        <w:t>、其他需要说明的问题</w:t>
      </w:r>
    </w:p>
    <w:p>
      <w:pPr>
        <w:spacing w:line="540" w:lineRule="exact"/>
        <w:ind w:firstLine="567"/>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bCs w:val="0"/>
          <w:spacing w:val="-4"/>
          <w:sz w:val="32"/>
          <w:szCs w:val="32"/>
        </w:rPr>
        <w:t>无</w:t>
      </w:r>
    </w:p>
    <w:p>
      <w:pPr>
        <w:spacing w:line="540" w:lineRule="exact"/>
        <w:rPr>
          <w:rStyle w:val="18"/>
          <w:rFonts w:hint="eastAsia" w:ascii="仿宋_GB2312" w:hAnsi="仿宋_GB2312" w:eastAsia="仿宋_GB2312" w:cs="仿宋_GB2312"/>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5520B1A"/>
    <w:rsid w:val="17BE549E"/>
    <w:rsid w:val="18FE139B"/>
    <w:rsid w:val="3029612C"/>
    <w:rsid w:val="32A221C5"/>
    <w:rsid w:val="33F20F2A"/>
    <w:rsid w:val="34C44675"/>
    <w:rsid w:val="36B82B23"/>
    <w:rsid w:val="3B5B5607"/>
    <w:rsid w:val="3CE21B3C"/>
    <w:rsid w:val="3D94137C"/>
    <w:rsid w:val="4D2606A1"/>
    <w:rsid w:val="4F8A611E"/>
    <w:rsid w:val="4FD10341"/>
    <w:rsid w:val="51830480"/>
    <w:rsid w:val="51EB6428"/>
    <w:rsid w:val="53A616BE"/>
    <w:rsid w:val="54662BFB"/>
    <w:rsid w:val="55D16E70"/>
    <w:rsid w:val="62051CA5"/>
    <w:rsid w:val="636D6F73"/>
    <w:rsid w:val="6772621F"/>
    <w:rsid w:val="67D65A96"/>
    <w:rsid w:val="6C33576A"/>
    <w:rsid w:val="6C3A69EF"/>
    <w:rsid w:val="6E413C07"/>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5065</Words>
  <Characters>5295</Characters>
  <Lines>5</Lines>
  <Paragraphs>1</Paragraphs>
  <TotalTime>10</TotalTime>
  <ScaleCrop>false</ScaleCrop>
  <LinksUpToDate>false</LinksUpToDate>
  <CharactersWithSpaces>5310</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guoku</cp:lastModifiedBy>
  <cp:lastPrinted>2018-12-31T10:56:00Z</cp:lastPrinted>
  <dcterms:modified xsi:type="dcterms:W3CDTF">2025-11-06T14:45:12Z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