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2F9C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9E1D48E">
      <w:pPr>
        <w:spacing w:line="540" w:lineRule="exact"/>
        <w:jc w:val="center"/>
        <w:rPr>
          <w:rFonts w:ascii="华文中宋" w:hAnsi="华文中宋" w:eastAsia="华文中宋" w:cs="宋体"/>
          <w:b/>
          <w:kern w:val="0"/>
          <w:sz w:val="52"/>
          <w:szCs w:val="52"/>
        </w:rPr>
      </w:pPr>
    </w:p>
    <w:p w14:paraId="011DCC54">
      <w:pPr>
        <w:spacing w:line="540" w:lineRule="exact"/>
        <w:jc w:val="center"/>
        <w:rPr>
          <w:rFonts w:ascii="华文中宋" w:hAnsi="华文中宋" w:eastAsia="华文中宋" w:cs="宋体"/>
          <w:b/>
          <w:kern w:val="0"/>
          <w:sz w:val="52"/>
          <w:szCs w:val="52"/>
        </w:rPr>
      </w:pPr>
    </w:p>
    <w:p w14:paraId="69A07A03">
      <w:pPr>
        <w:spacing w:line="540" w:lineRule="exact"/>
        <w:jc w:val="center"/>
        <w:rPr>
          <w:rFonts w:ascii="华文中宋" w:hAnsi="华文中宋" w:eastAsia="华文中宋" w:cs="宋体"/>
          <w:b/>
          <w:kern w:val="0"/>
          <w:sz w:val="52"/>
          <w:szCs w:val="52"/>
        </w:rPr>
      </w:pPr>
    </w:p>
    <w:p w14:paraId="7B5F9CF9">
      <w:pPr>
        <w:spacing w:line="540" w:lineRule="exact"/>
        <w:jc w:val="center"/>
        <w:rPr>
          <w:rFonts w:hint="eastAsia" w:ascii="华文中宋" w:hAnsi="华文中宋" w:eastAsia="华文中宋" w:cs="宋体"/>
          <w:b/>
          <w:kern w:val="0"/>
          <w:sz w:val="52"/>
          <w:szCs w:val="52"/>
          <w:lang w:eastAsia="zh-CN"/>
        </w:rPr>
      </w:pPr>
    </w:p>
    <w:p w14:paraId="147B03B7">
      <w:pPr>
        <w:spacing w:line="540" w:lineRule="exact"/>
        <w:jc w:val="center"/>
        <w:rPr>
          <w:rFonts w:ascii="华文中宋" w:hAnsi="华文中宋" w:eastAsia="华文中宋" w:cs="宋体"/>
          <w:b/>
          <w:kern w:val="0"/>
          <w:sz w:val="52"/>
          <w:szCs w:val="52"/>
        </w:rPr>
      </w:pPr>
    </w:p>
    <w:p w14:paraId="3087DCE8">
      <w:pPr>
        <w:spacing w:line="540" w:lineRule="exact"/>
        <w:jc w:val="center"/>
        <w:rPr>
          <w:rFonts w:ascii="华文中宋" w:hAnsi="华文中宋" w:eastAsia="华文中宋" w:cs="宋体"/>
          <w:b/>
          <w:kern w:val="0"/>
          <w:sz w:val="52"/>
          <w:szCs w:val="52"/>
        </w:rPr>
      </w:pPr>
    </w:p>
    <w:p w14:paraId="1DAAC9B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6E619B3">
      <w:pPr>
        <w:spacing w:line="540" w:lineRule="exact"/>
        <w:jc w:val="center"/>
        <w:rPr>
          <w:rFonts w:ascii="华文中宋" w:hAnsi="华文中宋" w:eastAsia="华文中宋" w:cs="宋体"/>
          <w:b/>
          <w:kern w:val="0"/>
          <w:sz w:val="52"/>
          <w:szCs w:val="52"/>
        </w:rPr>
      </w:pPr>
    </w:p>
    <w:p w14:paraId="6293A87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D6EB83">
      <w:pPr>
        <w:spacing w:line="540" w:lineRule="exact"/>
        <w:jc w:val="center"/>
        <w:rPr>
          <w:rFonts w:hAnsi="宋体" w:eastAsia="仿宋_GB2312" w:cs="宋体"/>
          <w:kern w:val="0"/>
          <w:sz w:val="30"/>
          <w:szCs w:val="30"/>
        </w:rPr>
      </w:pPr>
    </w:p>
    <w:p w14:paraId="5AB94547">
      <w:pPr>
        <w:spacing w:line="540" w:lineRule="exact"/>
        <w:jc w:val="center"/>
        <w:rPr>
          <w:rFonts w:hAnsi="宋体" w:eastAsia="仿宋_GB2312" w:cs="宋体"/>
          <w:kern w:val="0"/>
          <w:sz w:val="30"/>
          <w:szCs w:val="30"/>
        </w:rPr>
      </w:pPr>
    </w:p>
    <w:p w14:paraId="7A51D10D">
      <w:pPr>
        <w:spacing w:line="540" w:lineRule="exact"/>
        <w:jc w:val="center"/>
        <w:rPr>
          <w:rFonts w:hAnsi="宋体" w:eastAsia="仿宋_GB2312" w:cs="宋体"/>
          <w:kern w:val="0"/>
          <w:sz w:val="30"/>
          <w:szCs w:val="30"/>
        </w:rPr>
      </w:pPr>
    </w:p>
    <w:p w14:paraId="64C65B6A">
      <w:pPr>
        <w:spacing w:line="540" w:lineRule="exact"/>
        <w:jc w:val="center"/>
        <w:rPr>
          <w:rFonts w:hAnsi="宋体" w:eastAsia="仿宋_GB2312" w:cs="宋体"/>
          <w:kern w:val="0"/>
          <w:sz w:val="30"/>
          <w:szCs w:val="30"/>
        </w:rPr>
      </w:pPr>
    </w:p>
    <w:p w14:paraId="1EB56D07">
      <w:pPr>
        <w:spacing w:line="540" w:lineRule="exact"/>
        <w:jc w:val="center"/>
        <w:rPr>
          <w:rFonts w:hAnsi="宋体" w:eastAsia="仿宋_GB2312" w:cs="宋体"/>
          <w:kern w:val="0"/>
          <w:sz w:val="30"/>
          <w:szCs w:val="30"/>
        </w:rPr>
      </w:pPr>
    </w:p>
    <w:p w14:paraId="3E3AB9CB">
      <w:pPr>
        <w:spacing w:line="540" w:lineRule="exact"/>
        <w:jc w:val="center"/>
        <w:rPr>
          <w:rFonts w:hAnsi="宋体" w:eastAsia="仿宋_GB2312" w:cs="宋体"/>
          <w:kern w:val="0"/>
          <w:sz w:val="30"/>
          <w:szCs w:val="30"/>
        </w:rPr>
      </w:pPr>
    </w:p>
    <w:p w14:paraId="4942809B">
      <w:pPr>
        <w:spacing w:line="540" w:lineRule="exact"/>
        <w:rPr>
          <w:rFonts w:hAnsi="宋体" w:eastAsia="仿宋_GB2312" w:cs="宋体"/>
          <w:kern w:val="0"/>
          <w:sz w:val="30"/>
          <w:szCs w:val="30"/>
        </w:rPr>
      </w:pPr>
    </w:p>
    <w:p w14:paraId="70CEC47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60C7A2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招商引资经费</w:t>
      </w:r>
    </w:p>
    <w:p w14:paraId="065849D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哈密市伊州区商务局</w:t>
      </w:r>
    </w:p>
    <w:p w14:paraId="277CE9D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哈密市伊州区商务局</w:t>
      </w:r>
    </w:p>
    <w:p w14:paraId="3D470F9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刘晓强</w:t>
      </w:r>
    </w:p>
    <w:p w14:paraId="23EEED6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14:paraId="294ECE7C">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1F6DD1C">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479EB254">
      <w:pPr>
        <w:spacing w:line="240" w:lineRule="auto"/>
        <w:ind w:left="0" w:firstLine="0"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14:paraId="69EF7993">
      <w:pPr>
        <w:spacing w:line="240" w:lineRule="auto"/>
        <w:ind w:left="0" w:firstLine="0"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贯彻执行国家、自治区有关内外贸、外资、对外经济技术合作和招商引资的法律、法规、规章和方针、政策；负责和协调伊州区内外贸、外资、对外经济技术合作和招商引资管理工作；制定伊州区商务发展、招商引资年度计划并组织实施；负责伊州区商务发展、招商引资运行情况的监测、调研、考核评价和综合分析，并向区政府提出建议；及时研究和解决商务工作、招商引资工作中的重大问题。</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cr/>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负责组织、协调、推进伊州区区域对外招商、项目发布、洽谈联络等重大招商引资交流活动；承办有关重要会展招商、贸易、推介和洽谈活动；负责伊州区举办的商务领域交易会、洽谈会、博览会、展览会和有关招商活动等；指导和管理伊州区贸易投资促进工作；完善招商引资服务体系，建立健全外来投资企业投诉受理网络平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负责编制伊州区招商引资项目库和招商信息库，协调伊州区有关部门做好招商引资项目的筛选、论证、推介和服务工作；协调解决项目洽谈和实施中的问题；负责伊州区招商引资统计工作；负责招商引资项目的代理、委托和管理，提供招商中介服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项目经费紧紧围绕项目任务及内容，绩效报告认为：项目目标明确、具有明确的服务对象；项目制定有明确的实施方案、绩效指标体系具体、量化，预算安排较为合理；项目财务管理制度较为健全，各级管理者及参与者责任主体较为明确，项目的管理能够确保项目的顺利完成；项目基本按计划实现了预期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招商经费计划拨付98万元，项目于2024年2月19日批复预算资金98万元，截至2024年12月31日，项目用于招商费用，项目资金支付87.26万元，资金到位率100%，预算执行率为89.0%。</w:t>
      </w:r>
    </w:p>
    <w:p w14:paraId="35D719DE">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14:paraId="2ED7B8F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本项目总体目标为：项目计划投入98万元，计划赴内地招商约10次，赴内地招商人数约56人次，进行招商引资工作，以</w:t>
      </w:r>
      <w:r>
        <w:rPr>
          <w:rStyle w:val="18"/>
          <w:rFonts w:hint="eastAsia" w:ascii="仿宋_GB2312" w:hAnsi="仿宋_GB2312" w:eastAsia="仿宋_GB2312" w:cs="仿宋_GB2312"/>
          <w:b w:val="0"/>
          <w:bCs w:val="0"/>
          <w:spacing w:val="-4"/>
          <w:sz w:val="32"/>
          <w:szCs w:val="32"/>
          <w:lang w:val="en-US" w:eastAsia="zh-CN"/>
        </w:rPr>
        <w:t>此来</w:t>
      </w:r>
      <w:r>
        <w:rPr>
          <w:rStyle w:val="18"/>
          <w:rFonts w:hint="eastAsia" w:ascii="仿宋_GB2312" w:hAnsi="仿宋_GB2312" w:eastAsia="仿宋_GB2312" w:cs="仿宋_GB2312"/>
          <w:b w:val="0"/>
          <w:bCs w:val="0"/>
          <w:spacing w:val="-4"/>
          <w:sz w:val="32"/>
          <w:szCs w:val="32"/>
        </w:rPr>
        <w:t>促进伊州区经济发展，预计带动本地就业840人次，使服务企业满意度达到95%。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数量指标1：开展推介招商次数不低于2次；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数量指标2：投资额亿元以上项目不低于5个；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数量指标3: 内地招商次数不低于10次；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质量指标：招商引资签约项目达成率达到95%；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时效指标：开展招商推介率达到95%。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时效指标：开展外出招商活动及时率达到95%；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经济成本指标：招商引资工作费用不高于98万元。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经济效益指标：展会招商促成签约不低于9亿元。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社会效益指标：提升哈密知名度发放资料数不低于500份。</w:t>
      </w:r>
    </w:p>
    <w:p w14:paraId="4EA3B4E1">
      <w:pPr>
        <w:numPr>
          <w:ilvl w:val="0"/>
          <w:numId w:val="1"/>
        </w:num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绩效评价工作开展情况</w:t>
      </w:r>
    </w:p>
    <w:p w14:paraId="516BAFA1">
      <w:pPr>
        <w:numPr>
          <w:ilvl w:val="0"/>
          <w:numId w:val="0"/>
        </w:num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14:paraId="47239FE5">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我单位根据《自治区财政支出绩效评价管理暂行办法》（新财预〔2018〕189号）文件精神，对招商经费项目绩效目标实现情况进行自评。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70B2190E">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14:paraId="3297C797">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本项目评价指标体系采用项目绩效自评表与决策、过程自定指标相结合方式，其中项目决策17分，项目过程23分，项目产出22分，项目效益38分，详细情况见附件2：</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0"/>
          <w:sz w:val="32"/>
          <w:szCs w:val="32"/>
        </w:rPr>
        <w:t>项目立项：立项依据充分性，权重2分；立项程序规范性，权重2分。</w:t>
      </w:r>
      <w:r>
        <w:rPr>
          <w:rStyle w:val="18"/>
          <w:rFonts w:hint="eastAsia" w:ascii="仿宋_GB2312" w:hAnsi="仿宋_GB2312" w:eastAsia="仿宋_GB2312" w:cs="仿宋_GB2312"/>
          <w:b w:val="0"/>
          <w:bCs w:val="0"/>
          <w:spacing w:val="0"/>
          <w:sz w:val="32"/>
          <w:szCs w:val="32"/>
        </w:rPr>
        <w:br w:type="textWrapping"/>
      </w:r>
      <w:r>
        <w:rPr>
          <w:rStyle w:val="18"/>
          <w:rFonts w:hint="eastAsia" w:ascii="仿宋_GB2312" w:hAnsi="仿宋_GB2312" w:eastAsia="仿宋_GB2312" w:cs="仿宋_GB2312"/>
          <w:b w:val="0"/>
          <w:bCs w:val="0"/>
          <w:spacing w:val="0"/>
          <w:sz w:val="32"/>
          <w:szCs w:val="32"/>
        </w:rPr>
        <w:t>绩效目标：绩效目标明确性，权重4分；绩效目标合理性，权重4分。</w:t>
      </w:r>
      <w:r>
        <w:rPr>
          <w:rStyle w:val="18"/>
          <w:rFonts w:hint="eastAsia" w:ascii="仿宋_GB2312" w:hAnsi="仿宋_GB2312" w:eastAsia="仿宋_GB2312" w:cs="仿宋_GB2312"/>
          <w:b w:val="0"/>
          <w:bCs w:val="0"/>
          <w:spacing w:val="0"/>
          <w:sz w:val="32"/>
          <w:szCs w:val="32"/>
        </w:rPr>
        <w:br w:type="textWrapping"/>
      </w:r>
      <w:r>
        <w:rPr>
          <w:rStyle w:val="18"/>
          <w:rFonts w:hint="eastAsia" w:ascii="仿宋_GB2312" w:hAnsi="仿宋_GB2312" w:eastAsia="仿宋_GB2312" w:cs="仿宋_GB2312"/>
          <w:b w:val="0"/>
          <w:bCs w:val="0"/>
          <w:spacing w:val="0"/>
          <w:sz w:val="32"/>
          <w:szCs w:val="32"/>
        </w:rPr>
        <w:t>预算编制：测算标准合理性，权重3分；测算过程细化度，权重2分。</w:t>
      </w:r>
      <w:r>
        <w:rPr>
          <w:rStyle w:val="18"/>
          <w:rFonts w:hint="eastAsia" w:ascii="仿宋_GB2312" w:hAnsi="仿宋_GB2312" w:eastAsia="仿宋_GB2312" w:cs="仿宋_GB2312"/>
          <w:b w:val="0"/>
          <w:bCs w:val="0"/>
          <w:spacing w:val="0"/>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数量指标1：开展招商推介次数不少于2次；权重2分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数量指标2：引进投资额亿元以上项目不低于5个；权重2分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数量指标3：内地招商次数不低于10次；权重2分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质量指标：招商引资签约项目达成率达到95%；权重5分；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时效指标1：开展招商推介及时率达到95%。权重3分。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时效指标2：开展外出招商活动及时率</w:t>
      </w:r>
      <w:r>
        <w:rPr>
          <w:rStyle w:val="18"/>
          <w:rFonts w:hint="eastAsia" w:ascii="仿宋_GB2312" w:hAnsi="仿宋_GB2312" w:eastAsia="仿宋_GB2312" w:cs="仿宋_GB2312"/>
          <w:b w:val="0"/>
          <w:bCs w:val="0"/>
          <w:spacing w:val="-4"/>
          <w:sz w:val="32"/>
          <w:szCs w:val="32"/>
          <w:lang w:eastAsia="zh-CN"/>
        </w:rPr>
        <w:t>达</w:t>
      </w:r>
      <w:r>
        <w:rPr>
          <w:rStyle w:val="18"/>
          <w:rFonts w:hint="eastAsia" w:ascii="仿宋_GB2312" w:hAnsi="仿宋_GB2312" w:eastAsia="仿宋_GB2312" w:cs="仿宋_GB2312"/>
          <w:b w:val="0"/>
          <w:bCs w:val="0"/>
          <w:spacing w:val="-4"/>
          <w:sz w:val="32"/>
          <w:szCs w:val="32"/>
        </w:rPr>
        <w:t>到95%，权重2分。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成本指标：招商引资工作费用不高于98万元。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经济效益指标：展会招商促成签约额不低于9亿元，权重19分；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0"/>
          <w:sz w:val="32"/>
          <w:szCs w:val="32"/>
        </w:rPr>
        <w:t>社会效益指标：提升哈密知名度发放资料数等于500份，权重19分。</w:t>
      </w:r>
      <w:r>
        <w:rPr>
          <w:rStyle w:val="18"/>
          <w:rFonts w:hint="eastAsia" w:ascii="仿宋_GB2312" w:hAnsi="仿宋_GB2312" w:eastAsia="仿宋_GB2312" w:cs="仿宋_GB2312"/>
          <w:b w:val="0"/>
          <w:bCs w:val="0"/>
          <w:spacing w:val="0"/>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招商经费项目绩效评价主要通过项目单位自评、主管部门监督、财政部门参评的方式开展绩效评价工作。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14:paraId="06B4FA52">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14:paraId="14380174">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发放调查问卷开展服务企业及客商满意度调查工作。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14:paraId="274D87F0">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14:paraId="4E1A179C">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次项目自评满分100分，自评得分9</w:t>
      </w:r>
      <w:r>
        <w:rPr>
          <w:rStyle w:val="18"/>
          <w:rFonts w:hint="eastAsia" w:ascii="仿宋_GB2312" w:hAnsi="仿宋_GB2312" w:eastAsia="仿宋_GB2312" w:cs="仿宋_GB2312"/>
          <w:b w:val="0"/>
          <w:bCs w:val="0"/>
          <w:spacing w:val="-4"/>
          <w:sz w:val="32"/>
          <w:szCs w:val="32"/>
          <w:lang w:val="en-US" w:eastAsia="zh-CN"/>
        </w:rPr>
        <w:t>8.9</w:t>
      </w:r>
      <w:r>
        <w:rPr>
          <w:rStyle w:val="18"/>
          <w:rFonts w:hint="eastAsia" w:ascii="仿宋_GB2312" w:hAnsi="仿宋_GB2312" w:eastAsia="仿宋_GB2312" w:cs="仿宋_GB2312"/>
          <w:b w:val="0"/>
          <w:bCs w:val="0"/>
          <w:spacing w:val="-4"/>
          <w:sz w:val="32"/>
          <w:szCs w:val="32"/>
        </w:rPr>
        <w:t>分，自评结果为“优”，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决策方面：招商引资项目是伊州区招商领导小组根据国家、自治区有关内外贸、外资、对外经济技术合作和招商引资的法律、法规、规章和方针、政策；负责和协调伊州区内外贸、外资、对外经济技术合作和招商引资管理工作；制定伊州区招商引资年度计划并组织实施；负责伊州区招商引资综合分析，并向区政府提出建议；及时研究招商引资工作中工作及根据招商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项目过程方面：本项目资金的到位率100%，预算执行率89.04%，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招商引资目标任务完成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产出方面：链式招商，布全局。1-12月，各产业链有效发挥引领作用，累计召开项目座谈会23场，陪同客商办理前期手续40余次，协调解决企业注册、选址等问题23起。钛基、镁基、硅基、氢能、装备制造产业链赴北京、河南、安徽、陕西等地开展外出招商工作，共计新签约项目3个，投资总额达1.05亿元。特色农业产业链积极组织参加交易活动11场次，对接招商引资项目7个，投资额5.9亿元，引进蛋鸡、肉牛、番茄加工等3个亿元以上投资规模的项目。文化旅游产业链赴郑州、洛阳、鹤壁等地举办文旅推介会及哈密瓜节系列活动，尤其是落地实施阿勒屯古街特色文化街区、哈密大海道国际探险公园、哈密方特文化科技创新示范园等项目。现代物流产业链先后3次召开工作联席会议，吸引现代物流企业及相关配套服务企业入驻，先后与蓝帽子商贸物流、江苏速豹动力等企业进行精准对接洽谈，与哈密普发新能源、中吉通快递等公司签订项目首谈表，投资总额2.08亿元。现代服务产业链制定了《伊州区推动生产性服务业高质量发展工作方案》《伊州区招商引资项目帮办</w:t>
      </w:r>
      <w:r>
        <w:rPr>
          <w:rStyle w:val="18"/>
          <w:rFonts w:hint="eastAsia" w:ascii="仿宋_GB2312" w:hAnsi="仿宋_GB2312" w:eastAsia="仿宋_GB2312" w:cs="仿宋_GB2312"/>
          <w:b w:val="0"/>
          <w:bCs w:val="0"/>
          <w:spacing w:val="-4"/>
          <w:sz w:val="32"/>
          <w:szCs w:val="32"/>
          <w:lang w:val="en-US" w:eastAsia="zh-CN"/>
        </w:rPr>
        <w:t>代</w:t>
      </w:r>
      <w:r>
        <w:rPr>
          <w:rStyle w:val="18"/>
          <w:rFonts w:hint="eastAsia" w:ascii="仿宋_GB2312" w:hAnsi="仿宋_GB2312" w:eastAsia="仿宋_GB2312" w:cs="仿宋_GB2312"/>
          <w:b w:val="0"/>
          <w:bCs w:val="0"/>
          <w:spacing w:val="-4"/>
          <w:sz w:val="32"/>
          <w:szCs w:val="32"/>
        </w:rPr>
        <w:t>办工作方案》等工作机制，先后赴广东、郑州、西安、成都等地，就数字经济、低空经济、商贸流通等领域进行考察，接待客商40余家，促成一批星级酒店项目转化落地，投资总额达7.48亿元。三是头雁引领，带队出征。区委、区政府领导亲自挂帅，以“产业招商地图”为指引，先后赴北京、安徽、河南、深圳、广东、陕西等地开展招商考察推介活动，实地走访涉及矿山装备制造、新能源、新材料、现代农业、数字经济等47家企业，并与16家达成了初步合作意向；9月份，伊州区党政代表团前往河南，与郑州、鹤壁、洛阳共商交流合作事宜，期间考察了海一云商平台集团有限公司等20余家企业；10月份，领导分批次赴杭州、北京等地，开展高效精准外出考察活动，吸引客商来我区投资兴业。伊州区代表团参加第八届中国—亚欧博览会，成功签约项目5个，金额达125.7亿元。四是深化培训，强实效。10月份，区商务局牵头在西安交通大学举办“发挥招商引资作用助力区域经济高质量发展”专题培训班，招商引资工作领导小组成员单位、产业链牵头单位、部分乡镇等部门39名优秀干部，通过涵盖理论知识与实践案例，进一步提升学员专业素养，为招商引资提供新思路。以“甜美哈密 魅力伊州”为主题的哈密市伊州区招商引资推介会10月份在西安举办，吸引与伊州区产业契合度较高的150多家企业参会，80余家企业与伊州区建立联系。五是存量挖潜，强动能。为应对我区招引企业落地难的窘境，伊州区正加快推动伊州区沙尔湖工业园区（化工园区）、火石泉工业园区和土屋-延东有色金属加工园区等工业园区的功能定位、产业特色和循环特征的明确，以解决工业类项目落地承载平台受限的问题。同时，将存量资产作为招商引资的关键，成功盘活康泰纺织闲置厂房资源，召开推进会，梳理出17处可投资闲置资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效益方面：本项目开展有效促进了哈密经济发展，年初制定指标促进哈密经济发展目标值显著，大大提高了哈密的知名度，达到了年初制定的指标展会招商促成额和提升哈密知名度资料发放数目标值均已完成。</w:t>
      </w:r>
    </w:p>
    <w:p w14:paraId="2343EC94">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14:paraId="02909AAC">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14:paraId="2CC150BC">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由商务局组织招商领导小组成员按照伊州区招商引资2023年工作总结及2024年招商工作计划，及结合商务局工作职责进行讨论和分析后进行项目立项。项目立项符合国家法律法规、</w:t>
      </w:r>
      <w:r>
        <w:rPr>
          <w:rStyle w:val="18"/>
          <w:rFonts w:hint="eastAsia" w:ascii="仿宋_GB2312" w:hAnsi="仿宋_GB2312" w:eastAsia="仿宋_GB2312" w:cs="仿宋_GB2312"/>
          <w:b w:val="0"/>
          <w:bCs w:val="0"/>
          <w:spacing w:val="-4"/>
          <w:sz w:val="32"/>
          <w:szCs w:val="32"/>
          <w:lang w:val="en-US" w:eastAsia="zh-CN"/>
        </w:rPr>
        <w:t>国</w:t>
      </w:r>
      <w:r>
        <w:rPr>
          <w:rStyle w:val="18"/>
          <w:rFonts w:hint="eastAsia" w:ascii="仿宋_GB2312" w:hAnsi="仿宋_GB2312" w:eastAsia="仿宋_GB2312" w:cs="仿宋_GB2312"/>
          <w:b w:val="0"/>
          <w:bCs w:val="0"/>
          <w:spacing w:val="-4"/>
          <w:sz w:val="32"/>
          <w:szCs w:val="32"/>
        </w:rPr>
        <w:t>民经济和社会发展规划和相关政策；符合行业发展规划和政策要求；与部门职责范围相符，属于部门履职所需；属于公共财政支持范围，符合市、区两级政府事权</w:t>
      </w:r>
      <w:r>
        <w:rPr>
          <w:rStyle w:val="18"/>
          <w:rFonts w:hint="eastAsia" w:ascii="仿宋_GB2312" w:hAnsi="仿宋_GB2312" w:eastAsia="仿宋_GB2312" w:cs="仿宋_GB2312"/>
          <w:b w:val="0"/>
          <w:bCs w:val="0"/>
          <w:spacing w:val="-4"/>
          <w:sz w:val="32"/>
          <w:szCs w:val="32"/>
          <w:lang w:eastAsia="zh-CN"/>
        </w:rPr>
        <w:t>和</w:t>
      </w:r>
      <w:r>
        <w:rPr>
          <w:rStyle w:val="18"/>
          <w:rFonts w:hint="eastAsia" w:ascii="仿宋_GB2312" w:hAnsi="仿宋_GB2312" w:eastAsia="仿宋_GB2312" w:cs="仿宋_GB2312"/>
          <w:b w:val="0"/>
          <w:bCs w:val="0"/>
          <w:spacing w:val="-4"/>
          <w:sz w:val="32"/>
          <w:szCs w:val="32"/>
        </w:rPr>
        <w:t>支出责任划分原则；与相关部门同类项目或部门内部相关项目存在政策交叉重复。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组织招商领导小组成员对招商经费项目依据绩效目标设定的绩效指标是否清晰、细化、可衡量等，进行认真研究讨论并</w:t>
      </w:r>
      <w:r>
        <w:rPr>
          <w:rStyle w:val="18"/>
          <w:rFonts w:hint="eastAsia" w:ascii="仿宋_GB2312" w:hAnsi="仿宋_GB2312" w:eastAsia="仿宋_GB2312" w:cs="仿宋_GB2312"/>
          <w:b w:val="0"/>
          <w:bCs w:val="0"/>
          <w:spacing w:val="-4"/>
          <w:sz w:val="32"/>
          <w:szCs w:val="32"/>
          <w:lang w:eastAsia="zh-CN"/>
        </w:rPr>
        <w:t>结</w:t>
      </w:r>
      <w:r>
        <w:rPr>
          <w:rStyle w:val="18"/>
          <w:rFonts w:hint="eastAsia" w:ascii="仿宋_GB2312" w:hAnsi="仿宋_GB2312" w:eastAsia="仿宋_GB2312" w:cs="仿宋_GB2312"/>
          <w:b w:val="0"/>
          <w:bCs w:val="0"/>
          <w:spacing w:val="-4"/>
          <w:sz w:val="32"/>
          <w:szCs w:val="32"/>
        </w:rPr>
        <w:t>合实际工作情况确定绩效目标明确性，绩效目标通过清晰、可衡量的指标值予以体现；与项目目标任务数或计划数相对应。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领导小组成员对项目所设定的绩效目标是否依据充分，是否符合客观实际，进行了考察确定了绩效目标合理性，将项目绩效目标细化分解为具体的绩效指标；项目绩效目标与实际工作内容具有相关性；项目预期产出效益和效果符合正常的业绩水平；但项目预算确定的项目投资额或资金量不匹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伊州区招商领导小组成员及伊州区商务局招商科、财务室人员结合实际工作情况及本级财政实际资金情况多方测算项目细化，预算按照项目内容，包括人力、商品和服务、资本性等各类支出，分别测算成本；预算根据事权划分准确核定本级财政支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领导小组成员对项目预算测算项目支出标准是否符合相关政策制度或行业、领域规定测算标准合理性进行了多方讨论、实地调查、测算等，预算测算内容符合相关政策文件规定和相关行业、领域管理标准；预算测算使用部门自行制定的支出标准，符合上级管理部门的标准或社会实际支出水平。</w:t>
      </w:r>
      <w:r>
        <w:rPr>
          <w:rStyle w:val="18"/>
          <w:rFonts w:hint="eastAsia" w:ascii="仿宋_GB2312" w:hAnsi="仿宋_GB2312" w:eastAsia="仿宋_GB2312" w:cs="仿宋_GB2312"/>
          <w:b w:val="0"/>
          <w:bCs w:val="0"/>
          <w:spacing w:val="-4"/>
          <w:sz w:val="32"/>
          <w:szCs w:val="32"/>
          <w:lang w:eastAsia="zh-CN"/>
        </w:rPr>
        <w:tab/>
      </w:r>
    </w:p>
    <w:p w14:paraId="55B16CEA">
      <w:pPr>
        <w:spacing w:line="540" w:lineRule="exact"/>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14:paraId="076AA0F7">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（1）资金到位率，满分6分，得分6分，得分率100%。招商经费计划申请98万元，项目于2024年2月19日批复预算资金98万元，资金到位率100%。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（2）预算执行率，满分6分，得分6分，得分率100%。招商经费项目于2024年2月19日批复预算资金98万元，截至2024年12月31日，项目用于招商费用，项目资金支付87.26万元，预算执行率为89.0%。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为严格组织项目实施，伊州区商务局制定了财务管理制度、财务核算制度、项目管理制度等相关制度用以反映和考核财务和业务管理制度对项目顺利实施的保障情况管理制度健全性，制定或具有相应的财务和业务管理制度，与上位法要求相符，侧重点明晰；财务和业务管理制度合法、合规、完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领导小组成员主要从项目申报、项目实施、项目结项、项目后续等4个环节并结合相关管理规定进行评价，项目执行遵守相关法律法规和相关管理规定；调整及支出调整手续完备；项目合同书、验收报告、技术鉴定等资料齐全并及时归档；项目实施的人员条件、场地设备、信息支撑等落实到位。</w:t>
      </w:r>
    </w:p>
    <w:p w14:paraId="61824116">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14:paraId="2446CA6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开展招商推介次数不少于2次；满分2分，得分2分，得分率100%。依据伊州区招商引资2023年度工作总结及2024年工作计划制定了招商推介次数指标，根据招商推介请示、方案、计划等佐证材料证明完成了4次的招商推介次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（2）投资额亿元以上项目，满分2分，得分2分，得分率100%。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依据伊州区招商引资2023年度工作总结及2024年工作计划制定了投资额亿元以上项目指标，根据2024年1-11月伊州区招商引资项目统计表佐证材料证明完成了5个投资额亿元以上项目。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（3）内地招商次数，满分2分，得分2分，得分率100%。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指标值不低于10次，实际完成10次；依据伊州区招商引资2023年度工作总结及2024年工作计划制定了内地招商次数指标，根据招商外出考察请示、方案、计划等佐证材料证明完成了10次的内地招商次数；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招商引资签约项目达成率，满分5分，得分5分，得分率100%。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伊州区招商引资2023年度工作总结及2024年工作计划制定了招商引资签约项目指标，根据2024年招商签约统计表，招商说明、2024年招商经费使用明细、伊州区商务局财务管理制度佐证材料证明完成了招商引资签约项目率达到95%以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（1）开展招商推介及时率，满分3分，得分3分，得分率100%。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伊州区招商引资2023年度工作总结及2024年工作计划制定了开展招商推介及时率指标，根据2024年招商推介会方案及推介报告，2024年招商经费使用明细，伊州区商务局财务管理制度佐证材料证明完成了招商推介及时率达到95%以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（2）开展外出招商活动及时率，满分2分，得分2分，得分率100%。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伊州区招商引资2023年度工作总结及2024年工作计划制定了开展外出招商活动及时指标，根据2024年10次外出招商考察报告，2024年招商经费使用明细，伊州区商务局财务管理制度佐证材料证明完成了开展外出招商活动及时率，完成及时率达到95%以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招商引资工作费用，满分6分，得分5分，得分率83.33%。</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依据关于印发《伊州区招商引资工作经费使用规范》的通知（伊区政办发[2023]36号）制定了招商引资工作费用指标，根据招商说明、2024年招商经费使用明细、伊州区商务局财务管理制度佐证材料证明完成了87.26万元项目经费。</w:t>
      </w:r>
    </w:p>
    <w:p w14:paraId="555F40E4">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14:paraId="3E24208D">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1.经济效益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展会招商促成签约，满分19分，得分19分，得分率100%。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通过展会招商促成签约额：伊州区代表团参加第八届中国—亚欧博览会，成功签约项目5个，金额达125.7亿元；圆满完成了年初9亿元的目标。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提升哈密知名度资料发放数，满分19分，得分19分，得分率100%。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外出招商、推介会等各种形式发放资料871份，2024年度伊州区累计招商引资项目（非能源类项目）37个，计划投资164.59亿元，其中：已开工项目14个，总投资23.78亿元，实际完成投资4.15亿元，项目开工率为63.64%。提升了哈密在全国知名度。</w:t>
      </w:r>
    </w:p>
    <w:p w14:paraId="465F5C2F">
      <w:pPr>
        <w:spacing w:line="540" w:lineRule="exact"/>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14:paraId="565B67DC">
      <w:pPr>
        <w:spacing w:line="540" w:lineRule="exact"/>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14:paraId="3E275222">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无满意度指标</w:t>
      </w:r>
    </w:p>
    <w:p w14:paraId="278413A4">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14:paraId="357016C0">
      <w:pPr>
        <w:spacing w:line="540" w:lineRule="exact"/>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一是压实责任，明</w:t>
      </w:r>
      <w:r>
        <w:rPr>
          <w:rStyle w:val="18"/>
          <w:rFonts w:hint="eastAsia" w:ascii="仿宋_GB2312" w:hAnsi="仿宋_GB2312" w:eastAsia="仿宋_GB2312" w:cs="仿宋_GB2312"/>
          <w:b w:val="0"/>
          <w:bCs w:val="0"/>
          <w:spacing w:val="-4"/>
          <w:sz w:val="32"/>
          <w:szCs w:val="32"/>
          <w:lang w:eastAsia="zh-CN"/>
        </w:rPr>
        <w:t>确</w:t>
      </w:r>
      <w:r>
        <w:rPr>
          <w:rStyle w:val="18"/>
          <w:rFonts w:hint="eastAsia" w:ascii="仿宋_GB2312" w:hAnsi="仿宋_GB2312" w:eastAsia="仿宋_GB2312" w:cs="仿宋_GB2312"/>
          <w:b w:val="0"/>
          <w:bCs w:val="0"/>
          <w:spacing w:val="-4"/>
          <w:sz w:val="32"/>
          <w:szCs w:val="32"/>
        </w:rPr>
        <w:t>目标。调整充实伊州区招商引资工作领导小组，明确招商引资工作责任，建立招商工作任务清单式管理机制，对项目推进、资金到位等工作任务做到条目式呈现、清单式管理。制定并下发了《伊州区2024年度招商引资工作实施方案》，进一步明确了我区招商引资思路与方向，形成了符合我区产业发展的九</w:t>
      </w:r>
      <w:r>
        <w:rPr>
          <w:rStyle w:val="18"/>
          <w:rFonts w:hint="eastAsia" w:ascii="仿宋_GB2312" w:hAnsi="仿宋_GB2312" w:eastAsia="仿宋_GB2312" w:cs="仿宋_GB2312"/>
          <w:b w:val="0"/>
          <w:bCs w:val="0"/>
          <w:spacing w:val="-4"/>
          <w:sz w:val="32"/>
          <w:szCs w:val="32"/>
          <w:lang w:eastAsia="zh-CN"/>
        </w:rPr>
        <w:t>条</w:t>
      </w:r>
      <w:r>
        <w:rPr>
          <w:rStyle w:val="18"/>
          <w:rFonts w:hint="eastAsia" w:ascii="仿宋_GB2312" w:hAnsi="仿宋_GB2312" w:eastAsia="仿宋_GB2312" w:cs="仿宋_GB2312"/>
          <w:b w:val="0"/>
          <w:bCs w:val="0"/>
          <w:spacing w:val="-4"/>
          <w:sz w:val="32"/>
          <w:szCs w:val="32"/>
        </w:rPr>
        <w:t>产业链条，将全年目标任务分解到区四套班子领导及各有关部门，以全员招商引资行动为抓手，强化领导带头、部门“一把手”招商，不断压实招商引资主体责任。二是链式招商，布全局。1-10月，各产业链有效发挥引领作用，累计召开项目座谈会23场，陪同客商办理前期手续40余次，协调解决企业注册、选址等问题23起。钛基、镁基、硅基、氢能、装备制造产业链赴北京、河南、安徽、陕西等地开展外出招商工作，共计新签约项目3个，投资总额达1.05亿元。特色农业产业链积极组织参加交易活动11场次，对接招商引资项目7个，投资额5.9亿元，引进蛋鸡、肉牛、番茄加工等3个亿元以上投资规模的项目。文化旅游产业链赴郑州、洛阳、鹤壁等地举办文旅推介会及哈密瓜节系列活动，尤其是落地实施阿勒屯古街特色文化街区、哈密大海道国际探险公园、哈密方特文化科技创新示范园等项目。现代物流产业链先后3次召开工作联席会议，吸引现代物流企业及相关配套服务企业入驻，先后与蓝帽子商贸物流、江苏速豹动力等企业进行精准对接洽谈，与哈密普发新能源、中吉通快递等公司签订项目首谈表，投资总额2.08亿元。现代服务产业链制定了《伊州区推动生产性服务业高质量发展工作方案》《伊州区招商引资项目帮办</w:t>
      </w:r>
      <w:r>
        <w:rPr>
          <w:rStyle w:val="18"/>
          <w:rFonts w:hint="eastAsia" w:ascii="仿宋_GB2312" w:hAnsi="仿宋_GB2312" w:eastAsia="仿宋_GB2312" w:cs="仿宋_GB2312"/>
          <w:b w:val="0"/>
          <w:bCs w:val="0"/>
          <w:spacing w:val="-4"/>
          <w:sz w:val="32"/>
          <w:szCs w:val="32"/>
          <w:lang w:val="en-US" w:eastAsia="zh-CN"/>
        </w:rPr>
        <w:t>代</w:t>
      </w:r>
      <w:bookmarkStart w:id="0" w:name="_GoBack"/>
      <w:bookmarkEnd w:id="0"/>
      <w:r>
        <w:rPr>
          <w:rStyle w:val="18"/>
          <w:rFonts w:hint="eastAsia" w:ascii="仿宋_GB2312" w:hAnsi="仿宋_GB2312" w:eastAsia="仿宋_GB2312" w:cs="仿宋_GB2312"/>
          <w:b w:val="0"/>
          <w:bCs w:val="0"/>
          <w:spacing w:val="-4"/>
          <w:sz w:val="32"/>
          <w:szCs w:val="32"/>
        </w:rPr>
        <w:t>办工作方案》等工作机制，先后赴广东、郑州、西安、成都等地，就数字经济、低空经济、商贸流通等领域进行考察，接待客商40余家，促成一批星级酒店项目转化落地，投资总额达7.48亿元。三是头雁引领，带队出征。区委、区政府领导亲自挂帅，以“产业招商地图”为指引，先后赴北京、安徽、河南、深圳、广东、陕西等地开展招商考察推介活动，实地走访涉及矿山装备制造、新能源、新材料、现代农业、数字经济等47家企业，并与16家达成了初步合作意向；9月份，伊州区党政代表团前往河南，与郑州、鹤壁、洛阳共商交流合作事宜，期间考察了海一云商平台集团有限公司等20余家企业；10月份，领导分批次赴杭州、北京等地，开展高效精准外出考察活动，吸引客商来我区投资兴业。伊州区代表团参加第八届中国—亚欧博览会，成功签约项目5个，金额达125.7亿元。四是深化培训，强实效。10月份，区商务局牵头在西安交通大学举办“发挥招商引资作用助力区域经济高质量发展”专题培训班，招商引资工作领导小组成员单位、产业链牵头单位、部分乡镇等部门39名优秀干部，通过涵盖理论知识与实践案例，进一步提升学员专业素养，为招商引资提供新思路。以“甜美哈密 魅力伊州”为主题的哈密市伊州区招商引资推介会10月份在西安举办，吸引与伊州区产业契合度较高的150多家企业参会，80余家企业与伊州区建立联系。五是存量挖潜，强动能。为应对我区招引企业落地难的窘境，伊州区正加快推动伊州区沙尔湖工业园区（化工园区）、火石泉工业园区和土屋-延东有色金属加工园区等工业园区的功能定位、产业特色和循环特征的明确，以解决工业类项目落地承载平台受限的问题。同时，将存量资产作为招商引资的关键，成功盘活康泰纺织闲置厂房资源，召开推进会，梳理出17处可投资闲置资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1.绩效目标合理性中与预算确定的项目投资额或资金量不相匹配。本项目年初预算为98万元，实际执行为87.26万元，因在2024年实际招商中未完全按年初计划执行，部分招商活动未及时开展等其</w:t>
      </w:r>
      <w:r>
        <w:rPr>
          <w:rStyle w:val="18"/>
          <w:rFonts w:hint="eastAsia" w:ascii="仿宋_GB2312" w:hAnsi="仿宋_GB2312" w:eastAsia="仿宋_GB2312" w:cs="仿宋_GB2312"/>
          <w:b w:val="0"/>
          <w:bCs w:val="0"/>
          <w:spacing w:val="-4"/>
          <w:sz w:val="32"/>
          <w:szCs w:val="32"/>
          <w:lang w:eastAsia="zh-CN"/>
        </w:rPr>
        <w:t>他</w:t>
      </w:r>
      <w:r>
        <w:rPr>
          <w:rStyle w:val="18"/>
          <w:rFonts w:hint="eastAsia" w:ascii="仿宋_GB2312" w:hAnsi="仿宋_GB2312" w:eastAsia="仿宋_GB2312" w:cs="仿宋_GB2312"/>
          <w:b w:val="0"/>
          <w:bCs w:val="0"/>
          <w:spacing w:val="-4"/>
          <w:sz w:val="32"/>
          <w:szCs w:val="32"/>
        </w:rPr>
        <w:t>不可避免客观原因造成。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未完成。本项目年初预算为98万元，实际执行为87.26万元，执行率为89.04%，本项目年初预算为98万元，实际执行为87.26万元，因在2024年实际招商中未完全按年初计划执行，部分招商活动未及时开展等其它不可避免客观原因造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成本指标中招商引资工作费用未完成年初目标值。年初目标值为98万元，实际完成87.26万元，本项目年初预算为98万元，实际执行为87.26万元，因在2024年实际招商中未完全按年初计划执行，部分招商活动未及时开展等其它不可避免客观原因造成。</w:t>
      </w:r>
    </w:p>
    <w:p w14:paraId="76232A22">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u w:val="dotted"/>
          <w:lang w:val="en-US" w:eastAsia="zh-CN"/>
        </w:rPr>
        <w:t>六</w:t>
      </w:r>
      <w:r>
        <w:rPr>
          <w:rStyle w:val="18"/>
          <w:rFonts w:hint="eastAsia" w:ascii="仿宋_GB2312" w:hAnsi="仿宋_GB2312" w:eastAsia="仿宋_GB2312" w:cs="仿宋_GB2312"/>
          <w:b w:val="0"/>
          <w:spacing w:val="-4"/>
          <w:sz w:val="32"/>
          <w:szCs w:val="32"/>
        </w:rPr>
        <w:t>、有关建议</w:t>
      </w:r>
    </w:p>
    <w:p w14:paraId="7AFD949B">
      <w:pPr>
        <w:spacing w:line="540" w:lineRule="exact"/>
        <w:ind w:firstLine="312" w:firstLineChars="1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1.多方考察研究，精准谋划招商项目，合理制定预算项目投资额度。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2.积极与财政对接，确保资金及时到位。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3.加大资金的执行力度，确保年初资金计划执行，多措并举开展招商引资活动，提高项目资金支付力度。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加强区级统筹，区招商引资领导小组要发挥好抓总抓大的作用，统筹重大招商项目布局，一体化推进伊州区招商工作，分产业绘制招商地图，提出需引入的配套或互补性产业环节，锁定潜在目标企业或重点招商项目，按图索骥，挂图作战，</w:t>
      </w:r>
      <w:r>
        <w:rPr>
          <w:rStyle w:val="18"/>
          <w:rFonts w:hint="eastAsia" w:ascii="仿宋_GB2312" w:hAnsi="仿宋_GB2312" w:eastAsia="仿宋_GB2312" w:cs="仿宋_GB2312"/>
          <w:b w:val="0"/>
          <w:bCs w:val="0"/>
          <w:spacing w:val="-4"/>
          <w:sz w:val="32"/>
          <w:szCs w:val="32"/>
          <w:lang w:eastAsia="zh-CN"/>
        </w:rPr>
        <w:t>招</w:t>
      </w:r>
      <w:r>
        <w:rPr>
          <w:rStyle w:val="18"/>
          <w:rFonts w:hint="eastAsia" w:ascii="仿宋_GB2312" w:hAnsi="仿宋_GB2312" w:eastAsia="仿宋_GB2312" w:cs="仿宋_GB2312"/>
          <w:b w:val="0"/>
          <w:bCs w:val="0"/>
          <w:spacing w:val="-4"/>
          <w:sz w:val="32"/>
          <w:szCs w:val="32"/>
        </w:rPr>
        <w:t>商引资工作从“地毯式招商”向“地图式招商”转变。积极开展多地招商工作。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5.精心策划，精准核算成本，细化项目成本，避免资金浪费，尽量保证项目资金合理合规合法使用。</w:t>
      </w:r>
    </w:p>
    <w:p w14:paraId="4B0EB2F6">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14:paraId="14C3E281">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w:t>
      </w:r>
    </w:p>
    <w:p w14:paraId="7AEF1BB2">
      <w:pPr>
        <w:spacing w:line="540" w:lineRule="exact"/>
        <w:rPr>
          <w:rStyle w:val="18"/>
          <w:rFonts w:hint="eastAsia" w:ascii="仿宋_GB2312" w:hAnsi="仿宋_GB2312" w:eastAsia="仿宋_GB2312" w:cs="仿宋_GB2312"/>
          <w:b w:val="0"/>
          <w:spacing w:val="-4"/>
          <w:sz w:val="32"/>
          <w:szCs w:val="32"/>
        </w:rPr>
      </w:pPr>
    </w:p>
    <w:sectPr>
      <w:headerReference r:id="rId3" w:type="default"/>
      <w:footerReference r:id="rId4"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68628CD">
        <w:pPr>
          <w:pStyle w:val="12"/>
          <w:jc w:val="center"/>
        </w:pPr>
        <w:r>
          <w:fldChar w:fldCharType="begin"/>
        </w:r>
        <w:r>
          <w:instrText xml:space="preserve">PAGE   \* MERGEFORMAT</w:instrText>
        </w:r>
        <w:r>
          <w:fldChar w:fldCharType="separate"/>
        </w:r>
        <w:r>
          <w:rPr>
            <w:lang w:val="zh-CN"/>
          </w:rPr>
          <w:t>1</w:t>
        </w:r>
        <w:r>
          <w:fldChar w:fldCharType="end"/>
        </w:r>
      </w:p>
    </w:sdtContent>
  </w:sdt>
  <w:p w14:paraId="4314E950">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D30A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483C32"/>
    <w:multiLevelType w:val="singleLevel"/>
    <w:tmpl w:val="78483C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7E3231"/>
    <w:rsid w:val="0BFB189F"/>
    <w:rsid w:val="0E953F9A"/>
    <w:rsid w:val="11BD75F7"/>
    <w:rsid w:val="13BE561A"/>
    <w:rsid w:val="15392994"/>
    <w:rsid w:val="15520B1A"/>
    <w:rsid w:val="18FE139B"/>
    <w:rsid w:val="3029612C"/>
    <w:rsid w:val="32A221C5"/>
    <w:rsid w:val="33F20F2A"/>
    <w:rsid w:val="34C44675"/>
    <w:rsid w:val="36B82B23"/>
    <w:rsid w:val="3B5B5607"/>
    <w:rsid w:val="3CE21B3C"/>
    <w:rsid w:val="497E2B57"/>
    <w:rsid w:val="4D2606A1"/>
    <w:rsid w:val="4F8A611E"/>
    <w:rsid w:val="51830480"/>
    <w:rsid w:val="51EB6428"/>
    <w:rsid w:val="53A616BE"/>
    <w:rsid w:val="54662BFB"/>
    <w:rsid w:val="62051CA5"/>
    <w:rsid w:val="63A8023B"/>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9419</Words>
  <Characters>9859</Characters>
  <Lines>5</Lines>
  <Paragraphs>1</Paragraphs>
  <TotalTime>25</TotalTime>
  <ScaleCrop>false</ScaleCrop>
  <LinksUpToDate>false</LinksUpToDate>
  <CharactersWithSpaces>9884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2025-11-08T07:38:15Z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