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华文中宋" w:hAnsi="华文中宋" w:eastAsia="华文中宋" w:cs="宋体"/>
          <w:b/>
          <w:kern w:val="0"/>
          <w:sz w:val="52"/>
          <w:szCs w:val="52"/>
          <w:lang w:eastAsia="zh-CN"/>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伊州区谷源粮油储备有限责任公司土地转让出让金</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哈密市伊州区发展和改革委员会</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哈密市伊州区发展和改革委员会</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杨斌</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2025年05月19日</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一、基本情况</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（一）项目概况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全区大部分国有粮食企业生产经营用地为划拨土地，企业存在有效资产少，融资难度大等问题。为进一步加快国有粮食企业土地</w:t>
      </w:r>
      <w:r>
        <w:rPr>
          <w:rStyle w:val="18"/>
          <w:rFonts w:hint="eastAsia" w:ascii="仿宋" w:hAnsi="仿宋" w:eastAsia="仿宋" w:cs="仿宋"/>
          <w:b w:val="0"/>
          <w:bCs w:val="0"/>
          <w:spacing w:val="-11"/>
          <w:sz w:val="32"/>
          <w:szCs w:val="32"/>
        </w:rPr>
        <w:t>变性确权，推动国有粮食企业改革发展，根据</w:t>
      </w:r>
      <w:r>
        <w:rPr>
          <w:rStyle w:val="18"/>
          <w:rFonts w:hint="eastAsia" w:ascii="仿宋" w:hAnsi="仿宋" w:eastAsia="仿宋" w:cs="仿宋"/>
          <w:b w:val="0"/>
          <w:bCs w:val="0"/>
          <w:spacing w:val="-11"/>
          <w:sz w:val="32"/>
          <w:szCs w:val="32"/>
          <w:lang w:eastAsia="zh-CN"/>
        </w:rPr>
        <w:t>相关</w:t>
      </w:r>
      <w:r>
        <w:rPr>
          <w:rStyle w:val="18"/>
          <w:rFonts w:hint="eastAsia" w:ascii="仿宋" w:hAnsi="仿宋" w:eastAsia="仿宋" w:cs="仿宋"/>
          <w:b w:val="0"/>
          <w:bCs w:val="0"/>
          <w:spacing w:val="-11"/>
          <w:sz w:val="32"/>
          <w:szCs w:val="32"/>
        </w:rPr>
        <w:t>文件精神，哈密市伊州区谷源粮油储备有限责任公司对划拨土地转为出让土地</w:t>
      </w:r>
      <w:r>
        <w:rPr>
          <w:rStyle w:val="18"/>
          <w:rFonts w:hint="eastAsia" w:ascii="仿宋" w:hAnsi="仿宋" w:eastAsia="仿宋" w:cs="仿宋"/>
          <w:b w:val="0"/>
          <w:bCs w:val="0"/>
          <w:spacing w:val="-4"/>
          <w:sz w:val="32"/>
          <w:szCs w:val="32"/>
        </w:rPr>
        <w:t>。</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公司国有土地转性需资金2515.73万元，由于我公司资金缺乏，国有土地转性困难，财政将此项资金纳入财政预算，拨付我公司2515.73万元，用作划拨土地转出让土地。</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2025年计划拨付2515.73万元，项目于2024年1月28日批复预算资金2515.73万元，截至2024年12月31日，项目用于土地转让出让金，项目资金支付2515.73万元，资金到位率100%，预算执行率为100%。</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（二）项目绩效目标</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11"/>
          <w:sz w:val="32"/>
          <w:szCs w:val="32"/>
        </w:rPr>
        <w:t>本项目总体目标为：推进国有粮食企业划拨土地转出让土地。</w:t>
      </w:r>
      <w:r>
        <w:rPr>
          <w:rStyle w:val="18"/>
          <w:rFonts w:hint="eastAsia" w:ascii="仿宋" w:hAnsi="仿宋" w:eastAsia="仿宋" w:cs="仿宋"/>
          <w:b w:val="0"/>
          <w:bCs w:val="0"/>
          <w:spacing w:val="-11"/>
          <w:sz w:val="32"/>
          <w:szCs w:val="32"/>
        </w:rPr>
        <w:cr/>
      </w:r>
      <w:r>
        <w:rPr>
          <w:rStyle w:val="18"/>
          <w:rFonts w:hint="eastAsia" w:ascii="仿宋" w:hAnsi="仿宋" w:eastAsia="仿宋" w:cs="仿宋"/>
          <w:b w:val="0"/>
          <w:bCs w:val="0"/>
          <w:spacing w:val="-4"/>
          <w:sz w:val="32"/>
          <w:szCs w:val="32"/>
        </w:rPr>
        <w:t>根据《自治区财政支出绩效评价管理暂行办法》（新财预〔2018〕189号）等文件精神，结合项目相关信息，将年度目标细化分解，最终确定该项目阶段性目标如下：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1.产出指标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数量指标：国有粮食企业数量不低于个；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数量指标：下属粮站数量不低于5个。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质量指标：国有土地覆盖率达到90%；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时效指标：资金拨付及时率达到95%。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经济成本指标：出让金不高于2515.73万元。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社会效益指标：增强企业融资能力。</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满意度指标：国有粮食企业满意度不低于95%。</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二、绩效评价工作开展情况</w:t>
      </w:r>
    </w:p>
    <w:p>
      <w:pPr>
        <w:spacing w:line="540" w:lineRule="exact"/>
        <w:ind w:firstLine="567" w:firstLineChars="181"/>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（一）绩效评价目的、对象和范围</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我单位根据《自治区财政支出绩效评价管理暂行办法》（新财预〔2018〕189号）文件精神，对伊州区谷源粮油储备有限责任公司土地转让出让金项目绩效目标实现情况进行自评。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通过对本项目开展绩效自评，全面分析该项目资金使用、管理和项目实施等情况，规范项目申报、公示、审批、实施、监管、验收及资金发放等程序，对项目主管单位和实施单位的资金分配、管理等制度进行自查，加强项目实施管理，强化财政支出绩效理念，提高资金使用效益。</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（二）绩效评价原则、评价指标体系、评价方法、评价标准</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负责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本项目评价指标体系采用项目绩效自评表与决策、过程自定指标相结合方式，其中项目决策17分，项目过程23分，项目产出22分，项目效益30分，项目满意度8分，详细情况见附件2：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（1）项目决策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17"/>
          <w:sz w:val="32"/>
          <w:szCs w:val="32"/>
        </w:rPr>
        <w:t>项目立项：立项依据充分性，权重2分；立项程序规范性，权重2分。</w:t>
      </w:r>
      <w:r>
        <w:rPr>
          <w:rStyle w:val="18"/>
          <w:rFonts w:hint="eastAsia" w:ascii="仿宋" w:hAnsi="仿宋" w:eastAsia="仿宋" w:cs="仿宋"/>
          <w:b w:val="0"/>
          <w:bCs w:val="0"/>
          <w:spacing w:val="-17"/>
          <w:sz w:val="32"/>
          <w:szCs w:val="32"/>
        </w:rPr>
        <w:cr/>
      </w:r>
      <w:r>
        <w:rPr>
          <w:rStyle w:val="18"/>
          <w:rFonts w:hint="eastAsia" w:ascii="仿宋" w:hAnsi="仿宋" w:eastAsia="仿宋" w:cs="仿宋"/>
          <w:b w:val="0"/>
          <w:bCs w:val="0"/>
          <w:spacing w:val="-17"/>
          <w:sz w:val="32"/>
          <w:szCs w:val="32"/>
        </w:rPr>
        <w:t>绩效目标：绩效目标明确性，权重4分；绩效目标合理性，权重4分。</w:t>
      </w:r>
      <w:r>
        <w:rPr>
          <w:rStyle w:val="18"/>
          <w:rFonts w:hint="eastAsia" w:ascii="仿宋" w:hAnsi="仿宋" w:eastAsia="仿宋" w:cs="仿宋"/>
          <w:b w:val="0"/>
          <w:bCs w:val="0"/>
          <w:spacing w:val="-17"/>
          <w:sz w:val="32"/>
          <w:szCs w:val="32"/>
        </w:rPr>
        <w:cr/>
      </w:r>
      <w:r>
        <w:rPr>
          <w:rStyle w:val="18"/>
          <w:rFonts w:hint="eastAsia" w:ascii="仿宋" w:hAnsi="仿宋" w:eastAsia="仿宋" w:cs="仿宋"/>
          <w:b w:val="0"/>
          <w:bCs w:val="0"/>
          <w:spacing w:val="-17"/>
          <w:sz w:val="32"/>
          <w:szCs w:val="32"/>
        </w:rPr>
        <w:t>预算编制：测算标准合理性，权重3分；测算过程细化度，权重2分。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（2）项目过程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资金管理：资金到位率，权重6分；预算执行率，权重6分。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组织实施：资金使用合规性，权重4分，管理制度健全性，权重4分，制度执行有效性，权重3分。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（3）项目产出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数量指标：国有粮食企业数量，权重3分；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数量指标：下属粮站数量，权重3分。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质量指标：国有土地覆盖率，权重5分；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时效指标：资金拨付率，权重5分。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成本指标：经济成本，权重6分。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社会效益指标：增强企业融资能力，权重30分。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服务对象满意度指标：国有粮食企业满意度，权重8分。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伊州区谷源粮油储备有限责任公司土地转让出让金项目绩效评价主要通过项目单位自评、主管部门监督、财政部门参评的方式开展绩效评价工作。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绩效评价的方法主要包括：成本效益分析法、比较法、因素分析法、最低成本法、公众评判法、核实法等。根据评价指标的具体情况，可采用一种或多种方法。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（1）成本效益分析法。是指将投入与产出、效益进行关联性分析的方法。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（2）比较法。是指将实施情况与绩效目标、历史情况、不同部门和地区同类支出情况进行比较的方法。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（3）因素分析法。是指综合分析影响绩效目标实现、实施效果的内外部因素的方法。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（4）最低成本法。是指在绩效目标确定的前提下，成本最小者为优的方法。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（5）公众评判法。是指通过专家评估、公众问卷及抽样调查等方式进行评判的方法。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（6）核实法。是收集包括书面资料及以外的信息以证实书面资料及其所反映经济活动的真实，合法，合理，有效和正确的方法。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绩效评价标准通常包括计划标准、行业标准、历史标准等，用于对绩效指标完成情况进行比较。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单位自评采用定量与定性评价相结合的比较法，总分由各项指标得分汇总形成。</w:t>
      </w:r>
    </w:p>
    <w:p>
      <w:pPr>
        <w:spacing w:line="540" w:lineRule="exact"/>
        <w:ind w:firstLine="567" w:firstLineChars="181"/>
        <w:rPr>
          <w:rStyle w:val="18"/>
          <w:rFonts w:hint="eastAsia" w:ascii="仿宋" w:hAnsi="仿宋" w:eastAsia="仿宋" w:cs="仿宋"/>
          <w:spacing w:val="-4"/>
          <w:sz w:val="32"/>
          <w:szCs w:val="32"/>
        </w:rPr>
      </w:pPr>
      <w:r>
        <w:rPr>
          <w:rStyle w:val="18"/>
          <w:rFonts w:hint="eastAsia" w:ascii="仿宋" w:hAnsi="仿宋" w:eastAsia="仿宋" w:cs="仿宋"/>
          <w:spacing w:val="-4"/>
          <w:sz w:val="32"/>
          <w:szCs w:val="32"/>
        </w:rPr>
        <w:t>（三）绩效评价工作过程</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整理项目全过程资料建档：资金及项目批复文件、绩效目标申报表、可行性研究报告或实施方案、（招标文件）绩效目标过程监控表、验收报告（或决算）、资金支付或会计凭证、满意度调查问卷。作为评价基础资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（2）采取“年初绩效目标预定与实施效果比较法”进行评价，评价指标体系以绩效目标申报指标为依据。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2.组织过程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（1）项目全过程资料档案复核</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采取现场和非现场评价相结合的方式实施评价，核查核实评价基础资料，主要是：相关政策文件、项目实施情况、资金支出情况、项目完成情况。对缺少的印证资料进行补充，对由资金下发不及时和跨年度等原因导致未完成项目，提供相关说明和批复文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（2）检查内容和过程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一是专项资金是否存在截留、挪用，支付审批是否合规、是否存在用途改变、范围超支和虚列项目支出等情况；二是项目实施是否符合专项管理办法，流程和管理制度是否合规；三是项目完成情况的真实性和绩效目标完成情况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发放调查问卷开展国有粮食企业满意度满意度调查工作。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（3）撰写报告情况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根据所搜集的印证材料，按绩效评价原理和指标体系进行分析、评价和汇总，撰写绩效自评报告，并在规定时间上报。</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rPr>
        <w:t>三、综合评价情况及评价结论</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本次项目自评满分100分，自评得分100分，自评结果为“优”，其中项目决策得分17分，项目过程得分23分，项目产出得分22分，项目效益得分30分，项目满意度得分8分。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综合评价结论：项目决策方面，符合法律法规、相关政策、发展规划；项目过程方面，资金到位，预算执行率100%，管理制度健全，制度执行有效；项目产出方面，资金拨付到位，拨付资金2515.73万元；项目效益方面，增加国有粮食企业融资能力；项目满意度方面，国有粮食企业满意度100%。</w:t>
      </w:r>
    </w:p>
    <w:p>
      <w:pPr>
        <w:spacing w:line="540" w:lineRule="exact"/>
        <w:ind w:firstLine="640"/>
        <w:rPr>
          <w:rStyle w:val="18"/>
          <w:rFonts w:hint="eastAsia" w:ascii="仿宋" w:hAnsi="仿宋" w:eastAsia="仿宋" w:cs="仿宋"/>
        </w:rPr>
      </w:pPr>
      <w:r>
        <w:rPr>
          <w:rStyle w:val="18"/>
          <w:rFonts w:hint="eastAsia" w:ascii="仿宋" w:hAnsi="仿宋" w:eastAsia="仿宋" w:cs="仿宋"/>
          <w:b w:val="0"/>
          <w:spacing w:val="-4"/>
          <w:sz w:val="32"/>
          <w:szCs w:val="32"/>
        </w:rPr>
        <w:t>四、绩效评价指标分析</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（一）</w:t>
      </w:r>
      <w:r>
        <w:rPr>
          <w:rStyle w:val="18"/>
          <w:rFonts w:hint="eastAsia" w:ascii="仿宋" w:hAnsi="仿宋" w:eastAsia="仿宋" w:cs="仿宋"/>
          <w:spacing w:val="-4"/>
          <w:sz w:val="32"/>
          <w:szCs w:val="32"/>
        </w:rPr>
        <w:t>项目决策情况</w:t>
      </w:r>
    </w:p>
    <w:p>
      <w:pPr>
        <w:tabs>
          <w:tab w:val="center" w:pos="4295"/>
        </w:tabs>
        <w:spacing w:line="540" w:lineRule="exact"/>
        <w:ind w:firstLine="567"/>
        <w:rPr>
          <w:rStyle w:val="18"/>
          <w:rFonts w:hint="eastAsia" w:ascii="仿宋" w:hAnsi="仿宋" w:eastAsia="仿宋" w:cs="仿宋"/>
          <w:b w:val="0"/>
          <w:bCs w:val="0"/>
          <w:spacing w:val="-4"/>
          <w:sz w:val="32"/>
          <w:szCs w:val="32"/>
          <w:lang w:eastAsia="zh-CN"/>
        </w:rPr>
      </w:pPr>
      <w:r>
        <w:rPr>
          <w:rStyle w:val="18"/>
          <w:rFonts w:hint="eastAsia" w:ascii="仿宋" w:hAnsi="仿宋" w:eastAsia="仿宋" w:cs="仿宋"/>
          <w:b w:val="0"/>
          <w:bCs w:val="0"/>
          <w:spacing w:val="-4"/>
          <w:sz w:val="32"/>
          <w:szCs w:val="32"/>
        </w:rPr>
        <w:t>1.项目立项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（1）立项依据充分性，满分2分，得分2分，得分率100%。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w:t>
      </w:r>
      <w:r>
        <w:rPr>
          <w:rStyle w:val="18"/>
          <w:rFonts w:hint="eastAsia" w:ascii="仿宋" w:hAnsi="仿宋" w:eastAsia="仿宋" w:cs="仿宋"/>
          <w:b w:val="0"/>
          <w:bCs w:val="0"/>
          <w:spacing w:val="-4"/>
          <w:sz w:val="32"/>
          <w:szCs w:val="32"/>
          <w:lang w:eastAsia="zh-CN"/>
        </w:rPr>
        <w:t>相关</w:t>
      </w:r>
      <w:r>
        <w:rPr>
          <w:rStyle w:val="18"/>
          <w:rFonts w:hint="eastAsia" w:ascii="仿宋" w:hAnsi="仿宋" w:eastAsia="仿宋" w:cs="仿宋"/>
          <w:b w:val="0"/>
          <w:bCs w:val="0"/>
          <w:spacing w:val="-4"/>
          <w:sz w:val="32"/>
          <w:szCs w:val="32"/>
        </w:rPr>
        <w:t>文件精神。立项依据符合法律法规，以及相关政策。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（2）立项程序规范性，满分2分，得分2分，得分率100%。项目立项符合规定程序，审批文件等材料合规、完整，有完整的评估程序和集体决策。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2.绩效目标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（1）绩效目标明确性，满分4分，得分4分，得分率100%。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w:t>
      </w:r>
      <w:r>
        <w:rPr>
          <w:rStyle w:val="18"/>
          <w:rFonts w:hint="eastAsia" w:ascii="仿宋" w:hAnsi="仿宋" w:eastAsia="仿宋" w:cs="仿宋"/>
          <w:b w:val="0"/>
          <w:bCs w:val="0"/>
          <w:spacing w:val="-4"/>
          <w:sz w:val="32"/>
          <w:szCs w:val="32"/>
          <w:lang w:eastAsia="zh-CN"/>
        </w:rPr>
        <w:t>相关</w:t>
      </w:r>
      <w:r>
        <w:rPr>
          <w:rStyle w:val="18"/>
          <w:rFonts w:hint="eastAsia" w:ascii="仿宋" w:hAnsi="仿宋" w:eastAsia="仿宋" w:cs="仿宋"/>
          <w:b w:val="0"/>
          <w:bCs w:val="0"/>
          <w:spacing w:val="-4"/>
          <w:sz w:val="32"/>
          <w:szCs w:val="32"/>
        </w:rPr>
        <w:t>文件精神，通过清晰、可衡量的指标值予以体现；与项目目标任务数或计划数相对应。</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（2）绩效目标合理性，满分4分，得分4分，得分率100%。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w:t>
      </w:r>
      <w:r>
        <w:rPr>
          <w:rStyle w:val="18"/>
          <w:rFonts w:hint="eastAsia" w:ascii="仿宋" w:hAnsi="仿宋" w:eastAsia="仿宋" w:cs="仿宋"/>
          <w:b w:val="0"/>
          <w:bCs w:val="0"/>
          <w:spacing w:val="-4"/>
          <w:sz w:val="32"/>
          <w:szCs w:val="32"/>
          <w:lang w:eastAsia="zh-CN"/>
        </w:rPr>
        <w:t>相关</w:t>
      </w:r>
      <w:r>
        <w:rPr>
          <w:rStyle w:val="18"/>
          <w:rFonts w:hint="eastAsia" w:ascii="仿宋" w:hAnsi="仿宋" w:eastAsia="仿宋" w:cs="仿宋"/>
          <w:b w:val="0"/>
          <w:bCs w:val="0"/>
          <w:spacing w:val="-4"/>
          <w:sz w:val="32"/>
          <w:szCs w:val="32"/>
        </w:rPr>
        <w:t>文件精神，进行项目绩效目标与实际工作内容是否具有相关性；项目预期产出效益和效果是否符合正常的业绩水平；与预算确定的项目投资额或资金量相匹配。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3.预算编制</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（1）测算标准合理性，满分3分，得分3分，得分率100%。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预算测算符合实行支付水平，预算测算过程根据实际测算成本2515.73万元。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（2）测算过程细化度，满分2分，得分2分，得分率100%。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预算测算过程根据实际测算成本2515.73万元。</w:t>
      </w:r>
      <w:r>
        <w:rPr>
          <w:rStyle w:val="18"/>
          <w:rFonts w:hint="eastAsia" w:ascii="仿宋" w:hAnsi="仿宋" w:eastAsia="仿宋" w:cs="仿宋"/>
          <w:b w:val="0"/>
          <w:bCs w:val="0"/>
          <w:spacing w:val="-4"/>
          <w:sz w:val="32"/>
          <w:szCs w:val="32"/>
          <w:lang w:eastAsia="zh-CN"/>
        </w:rPr>
        <w:tab/>
      </w:r>
    </w:p>
    <w:p>
      <w:pPr>
        <w:spacing w:line="540" w:lineRule="exact"/>
        <w:ind w:firstLine="567" w:firstLineChars="181"/>
        <w:rPr>
          <w:rStyle w:val="18"/>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二</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项目过程情况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1.资金管理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（1）资金到位率，满分6分，得分6分，得分率100%。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该项目2024年预算资金2515.73万元，下达资金2515.73万元，计划资金到位率100%。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（2）预算执行率，满分6分，得分6分，得分率100%。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2024年实际支付2515.73万元，项目预算资金能按照计划执行，实际到位资金与预算资金的比率100%，预算资金项目已开展完成。2.组织实施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（1）资金使用合规性，满分4分，得分4分，得分率100%。项目资金使用符合政府会计制度的相关规定，各项拨付</w:t>
      </w:r>
      <w:r>
        <w:rPr>
          <w:rStyle w:val="18"/>
          <w:rFonts w:hint="eastAsia" w:ascii="仿宋" w:hAnsi="仿宋" w:eastAsia="仿宋" w:cs="仿宋"/>
          <w:b w:val="0"/>
          <w:bCs w:val="0"/>
          <w:spacing w:val="-4"/>
          <w:sz w:val="32"/>
          <w:szCs w:val="32"/>
          <w:lang w:eastAsia="zh-CN"/>
        </w:rPr>
        <w:t>经</w:t>
      </w:r>
      <w:r>
        <w:rPr>
          <w:rStyle w:val="18"/>
          <w:rFonts w:hint="eastAsia" w:ascii="仿宋" w:hAnsi="仿宋" w:eastAsia="仿宋" w:cs="仿宋"/>
          <w:b w:val="0"/>
          <w:bCs w:val="0"/>
          <w:spacing w:val="-4"/>
          <w:sz w:val="32"/>
          <w:szCs w:val="32"/>
        </w:rPr>
        <w:t>领导审批，有完整的审批手续，项目支出不存在截留、挤占、挪用、虚列支出等情况，本年度审计、巡视、财政巡察未发现违规问题。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（1）管理制度健全性，满分4分，得分4分，得分率100%。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国有粮食企业财务、业务制度健全。</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（2）制度执行有效性，满分3分，得分3分，得分率100%。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能够遵守法律、法规以及相关规定，根据</w:t>
      </w:r>
      <w:r>
        <w:rPr>
          <w:rStyle w:val="18"/>
          <w:rFonts w:hint="eastAsia" w:ascii="仿宋" w:hAnsi="仿宋" w:eastAsia="仿宋" w:cs="仿宋"/>
          <w:b w:val="0"/>
          <w:bCs w:val="0"/>
          <w:spacing w:val="-4"/>
          <w:sz w:val="32"/>
          <w:szCs w:val="32"/>
          <w:lang w:eastAsia="zh-CN"/>
        </w:rPr>
        <w:t>相</w:t>
      </w:r>
      <w:bookmarkStart w:id="0" w:name="_GoBack"/>
      <w:bookmarkEnd w:id="0"/>
      <w:r>
        <w:rPr>
          <w:rStyle w:val="18"/>
          <w:rFonts w:hint="eastAsia" w:ascii="仿宋" w:hAnsi="仿宋" w:eastAsia="仿宋" w:cs="仿宋"/>
          <w:b w:val="0"/>
          <w:bCs w:val="0"/>
          <w:spacing w:val="-4"/>
          <w:sz w:val="32"/>
          <w:szCs w:val="32"/>
          <w:lang w:eastAsia="zh-CN"/>
        </w:rPr>
        <w:t>关</w:t>
      </w:r>
      <w:r>
        <w:rPr>
          <w:rStyle w:val="18"/>
          <w:rFonts w:hint="eastAsia" w:ascii="仿宋" w:hAnsi="仿宋" w:eastAsia="仿宋" w:cs="仿宋"/>
          <w:b w:val="0"/>
          <w:bCs w:val="0"/>
          <w:spacing w:val="-4"/>
          <w:sz w:val="32"/>
          <w:szCs w:val="32"/>
        </w:rPr>
        <w:t>文件精神，开展对国有粮食企业划拨土地转出让土地的工作。</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三</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项目产出情况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（1）国有粮食企业数量1家，满分3分，得分3分，得分率100%。根据</w:t>
      </w:r>
      <w:r>
        <w:rPr>
          <w:rStyle w:val="18"/>
          <w:rFonts w:hint="eastAsia" w:ascii="仿宋" w:hAnsi="仿宋" w:eastAsia="仿宋" w:cs="仿宋"/>
          <w:b w:val="0"/>
          <w:bCs w:val="0"/>
          <w:spacing w:val="-4"/>
          <w:sz w:val="32"/>
          <w:szCs w:val="32"/>
          <w:lang w:eastAsia="zh-CN"/>
        </w:rPr>
        <w:t>相关</w:t>
      </w:r>
      <w:r>
        <w:rPr>
          <w:rStyle w:val="18"/>
          <w:rFonts w:hint="eastAsia" w:ascii="仿宋" w:hAnsi="仿宋" w:eastAsia="仿宋" w:cs="仿宋"/>
          <w:b w:val="0"/>
          <w:bCs w:val="0"/>
          <w:spacing w:val="-4"/>
          <w:sz w:val="32"/>
          <w:szCs w:val="32"/>
        </w:rPr>
        <w:t>文件精神，全年已完成土地出让工作，国有粮食企业数量完成数量为1个。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（2）下属粮站数量5个，满分，满分3分，得分3分，得分率100%。根据</w:t>
      </w:r>
      <w:r>
        <w:rPr>
          <w:rStyle w:val="18"/>
          <w:rFonts w:hint="eastAsia" w:ascii="仿宋" w:hAnsi="仿宋" w:eastAsia="仿宋" w:cs="仿宋"/>
          <w:b w:val="0"/>
          <w:bCs w:val="0"/>
          <w:spacing w:val="-4"/>
          <w:sz w:val="32"/>
          <w:szCs w:val="32"/>
          <w:lang w:eastAsia="zh-CN"/>
        </w:rPr>
        <w:t>相关</w:t>
      </w:r>
      <w:r>
        <w:rPr>
          <w:rStyle w:val="18"/>
          <w:rFonts w:hint="eastAsia" w:ascii="仿宋" w:hAnsi="仿宋" w:eastAsia="仿宋" w:cs="仿宋"/>
          <w:b w:val="0"/>
          <w:bCs w:val="0"/>
          <w:spacing w:val="-4"/>
          <w:sz w:val="32"/>
          <w:szCs w:val="32"/>
        </w:rPr>
        <w:t>文件精神，全年已完成土地出让工作，国有粮食企业数量完成数量为5个。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2.产出质量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国有土地覆盖率95%，满分5分，得分0分，得分率0%。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根据</w:t>
      </w:r>
      <w:r>
        <w:rPr>
          <w:rStyle w:val="18"/>
          <w:rFonts w:hint="eastAsia" w:ascii="仿宋" w:hAnsi="仿宋" w:eastAsia="仿宋" w:cs="仿宋"/>
          <w:b w:val="0"/>
          <w:bCs w:val="0"/>
          <w:spacing w:val="-4"/>
          <w:sz w:val="32"/>
          <w:szCs w:val="32"/>
          <w:lang w:eastAsia="zh-CN"/>
        </w:rPr>
        <w:t>相关</w:t>
      </w:r>
      <w:r>
        <w:rPr>
          <w:rStyle w:val="18"/>
          <w:rFonts w:hint="eastAsia" w:ascii="仿宋" w:hAnsi="仿宋" w:eastAsia="仿宋" w:cs="仿宋"/>
          <w:b w:val="0"/>
          <w:bCs w:val="0"/>
          <w:spacing w:val="-4"/>
          <w:sz w:val="32"/>
          <w:szCs w:val="32"/>
        </w:rPr>
        <w:t>文件精神，全年已完成土地出让工作，国有土地覆盖率达到了100%.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3.产出时效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资金拨付及时率95%，满分5分，得分5分，得分率100%。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本年度伊州区发改委根据区政府的统一安排进行；项目全部开展，资金拨付及时完成。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4.产出成本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产出成本出让金2515.73万元，满分6分，得分6分，得分率100%。2024年实际支付2515.73万元，项目预算资金能按照计划执行，实际到位资金与预算资金的比率100%，预算资金项目已开展完成。</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四</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w:t>
      </w:r>
      <w:r>
        <w:rPr>
          <w:rStyle w:val="18"/>
          <w:rFonts w:hint="eastAsia" w:ascii="仿宋" w:hAnsi="仿宋" w:eastAsia="仿宋" w:cs="仿宋"/>
          <w:spacing w:val="-4"/>
          <w:sz w:val="32"/>
          <w:szCs w:val="32"/>
          <w:lang w:val="en-US" w:eastAsia="zh-CN"/>
        </w:rPr>
        <w:t>成本</w:t>
      </w:r>
      <w:r>
        <w:rPr>
          <w:rStyle w:val="18"/>
          <w:rFonts w:hint="eastAsia" w:ascii="仿宋" w:hAnsi="仿宋" w:eastAsia="仿宋" w:cs="仿宋"/>
          <w:spacing w:val="-4"/>
          <w:sz w:val="32"/>
          <w:szCs w:val="32"/>
        </w:rPr>
        <w:t>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社会效益，满分30分，得分30分，得分率100%。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通过将国有粮食企业划拨土地转为出让土地，增强国有粮食企业融资能力。</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val="en-US" w:eastAsia="zh-CN"/>
        </w:rPr>
        <w:t>五</w:t>
      </w:r>
      <w:r>
        <w:rPr>
          <w:rFonts w:hint="eastAsia" w:ascii="仿宋" w:hAnsi="仿宋" w:eastAsia="仿宋" w:cs="仿宋"/>
          <w:b/>
          <w:spacing w:val="-4"/>
          <w:sz w:val="32"/>
          <w:szCs w:val="32"/>
        </w:rPr>
        <w:t>）</w:t>
      </w:r>
      <w:r>
        <w:rPr>
          <w:rStyle w:val="18"/>
          <w:rFonts w:hint="eastAsia" w:ascii="仿宋" w:hAnsi="仿宋" w:eastAsia="仿宋" w:cs="仿宋"/>
          <w:spacing w:val="-4"/>
          <w:sz w:val="32"/>
          <w:szCs w:val="32"/>
        </w:rPr>
        <w:t>项目效益情况</w:t>
      </w:r>
    </w:p>
    <w:p>
      <w:pPr>
        <w:spacing w:line="540" w:lineRule="exact"/>
        <w:ind w:firstLine="567" w:firstLineChars="181"/>
        <w:rPr>
          <w:rFonts w:hint="eastAsia" w:ascii="仿宋" w:hAnsi="仿宋" w:eastAsia="仿宋" w:cs="仿宋"/>
          <w:b/>
          <w:spacing w:val="-4"/>
          <w:sz w:val="32"/>
          <w:szCs w:val="32"/>
        </w:rPr>
      </w:pPr>
      <w:r>
        <w:rPr>
          <w:rFonts w:hint="eastAsia" w:ascii="仿宋" w:hAnsi="仿宋" w:eastAsia="仿宋" w:cs="仿宋"/>
          <w:b/>
          <w:spacing w:val="-4"/>
          <w:sz w:val="32"/>
          <w:szCs w:val="32"/>
        </w:rPr>
        <w:t>（</w:t>
      </w:r>
      <w:r>
        <w:rPr>
          <w:rFonts w:hint="eastAsia" w:ascii="仿宋" w:hAnsi="仿宋" w:eastAsia="仿宋" w:cs="仿宋"/>
          <w:b/>
          <w:spacing w:val="-4"/>
          <w:sz w:val="32"/>
          <w:szCs w:val="32"/>
          <w:lang w:eastAsia="zh-CN"/>
        </w:rPr>
        <w:t>六</w:t>
      </w:r>
      <w:r>
        <w:rPr>
          <w:rFonts w:hint="eastAsia" w:ascii="仿宋" w:hAnsi="仿宋" w:eastAsia="仿宋" w:cs="仿宋"/>
          <w:b/>
          <w:spacing w:val="-4"/>
          <w:sz w:val="32"/>
          <w:szCs w:val="32"/>
        </w:rPr>
        <w:t>）</w:t>
      </w:r>
      <w:r>
        <w:rPr>
          <w:rFonts w:hint="eastAsia" w:ascii="仿宋" w:hAnsi="仿宋" w:eastAsia="仿宋" w:cs="仿宋"/>
          <w:b/>
          <w:spacing w:val="-4"/>
          <w:sz w:val="32"/>
          <w:szCs w:val="32"/>
          <w:lang w:eastAsia="zh-CN"/>
        </w:rPr>
        <w:t>满意度</w:t>
      </w:r>
      <w:r>
        <w:rPr>
          <w:rStyle w:val="18"/>
          <w:rFonts w:hint="eastAsia" w:ascii="仿宋" w:hAnsi="仿宋" w:eastAsia="仿宋" w:cs="仿宋"/>
          <w:spacing w:val="-4"/>
          <w:sz w:val="32"/>
          <w:szCs w:val="32"/>
        </w:rPr>
        <w:t>情况</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国有粮食企业满意度，满分8分，得分8分，得分率100%。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t>国有粮食企业满意度95%。</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lang w:val="en-US" w:eastAsia="zh-CN"/>
        </w:rPr>
        <w:t>五</w:t>
      </w:r>
      <w:r>
        <w:rPr>
          <w:rStyle w:val="18"/>
          <w:rFonts w:hint="eastAsia" w:ascii="仿宋" w:hAnsi="仿宋" w:eastAsia="仿宋" w:cs="仿宋"/>
          <w:b w:val="0"/>
          <w:spacing w:val="-4"/>
          <w:sz w:val="32"/>
          <w:szCs w:val="32"/>
        </w:rPr>
        <w:t>、主要经验及做法、存在的问题及原因分析</w:t>
      </w:r>
    </w:p>
    <w:p>
      <w:pPr>
        <w:spacing w:line="540" w:lineRule="exact"/>
        <w:ind w:firstLine="567"/>
        <w:rPr>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无</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u w:val="dotted"/>
          <w:lang w:val="en-US" w:eastAsia="zh-CN"/>
        </w:rPr>
        <w:t>六</w:t>
      </w:r>
      <w:r>
        <w:rPr>
          <w:rStyle w:val="18"/>
          <w:rFonts w:hint="eastAsia" w:ascii="仿宋" w:hAnsi="仿宋" w:eastAsia="仿宋" w:cs="仿宋"/>
          <w:b w:val="0"/>
          <w:spacing w:val="-4"/>
          <w:sz w:val="32"/>
          <w:szCs w:val="32"/>
        </w:rPr>
        <w:t>、有关建议</w:t>
      </w:r>
    </w:p>
    <w:p>
      <w:pPr>
        <w:spacing w:line="540" w:lineRule="exact"/>
        <w:ind w:firstLine="567"/>
        <w:rPr>
          <w:rStyle w:val="18"/>
          <w:rFonts w:hint="eastAsia" w:ascii="仿宋" w:hAnsi="仿宋" w:eastAsia="仿宋" w:cs="仿宋"/>
          <w:spacing w:val="-4"/>
          <w:sz w:val="32"/>
          <w:szCs w:val="32"/>
        </w:rPr>
      </w:pPr>
      <w:r>
        <w:rPr>
          <w:rStyle w:val="18"/>
          <w:rFonts w:hint="eastAsia" w:ascii="仿宋" w:hAnsi="仿宋" w:eastAsia="仿宋" w:cs="仿宋"/>
          <w:b w:val="0"/>
          <w:bCs w:val="0"/>
          <w:spacing w:val="-4"/>
          <w:sz w:val="32"/>
          <w:szCs w:val="32"/>
        </w:rPr>
        <w:t>无</w:t>
      </w:r>
    </w:p>
    <w:p>
      <w:pPr>
        <w:spacing w:line="540" w:lineRule="exact"/>
        <w:ind w:firstLine="640"/>
        <w:rPr>
          <w:rStyle w:val="18"/>
          <w:rFonts w:hint="eastAsia" w:ascii="仿宋" w:hAnsi="仿宋" w:eastAsia="仿宋" w:cs="仿宋"/>
          <w:b w:val="0"/>
          <w:spacing w:val="-4"/>
          <w:sz w:val="32"/>
          <w:szCs w:val="32"/>
        </w:rPr>
      </w:pPr>
      <w:r>
        <w:rPr>
          <w:rStyle w:val="18"/>
          <w:rFonts w:hint="eastAsia" w:ascii="仿宋" w:hAnsi="仿宋" w:eastAsia="仿宋" w:cs="仿宋"/>
          <w:b w:val="0"/>
          <w:spacing w:val="-4"/>
          <w:sz w:val="32"/>
          <w:szCs w:val="32"/>
          <w:lang w:val="en-US" w:eastAsia="zh-CN"/>
        </w:rPr>
        <w:t>七</w:t>
      </w:r>
      <w:r>
        <w:rPr>
          <w:rStyle w:val="18"/>
          <w:rFonts w:hint="eastAsia" w:ascii="仿宋" w:hAnsi="仿宋" w:eastAsia="仿宋" w:cs="仿宋"/>
          <w:b w:val="0"/>
          <w:spacing w:val="-4"/>
          <w:sz w:val="32"/>
          <w:szCs w:val="32"/>
        </w:rPr>
        <w:t>、其他需要说明的问题</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无</w:t>
      </w:r>
    </w:p>
    <w:p>
      <w:pPr>
        <w:spacing w:line="540" w:lineRule="exact"/>
        <w:ind w:firstLine="567"/>
        <w:rPr>
          <w:rStyle w:val="18"/>
          <w:rFonts w:hint="eastAsia" w:ascii="仿宋" w:hAnsi="仿宋" w:eastAsia="仿宋" w:cs="仿宋"/>
          <w:b w:val="0"/>
          <w:spacing w:val="-4"/>
          <w:sz w:val="32"/>
          <w:szCs w:val="32"/>
        </w:rPr>
      </w:pPr>
    </w:p>
    <w:sectPr>
      <w:headerReference r:id="rId3" w:type="default"/>
      <w:footerReference r:id="rId4"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宋体"/>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5F26B5A"/>
    <w:rsid w:val="0856517C"/>
    <w:rsid w:val="0BFB189F"/>
    <w:rsid w:val="11BD75F7"/>
    <w:rsid w:val="13BE561A"/>
    <w:rsid w:val="15392994"/>
    <w:rsid w:val="15520B1A"/>
    <w:rsid w:val="15BE3EA0"/>
    <w:rsid w:val="18FE139B"/>
    <w:rsid w:val="3029612C"/>
    <w:rsid w:val="32A221C5"/>
    <w:rsid w:val="33F20F2A"/>
    <w:rsid w:val="34C44675"/>
    <w:rsid w:val="36B82B23"/>
    <w:rsid w:val="3B5B5607"/>
    <w:rsid w:val="3CE21B3C"/>
    <w:rsid w:val="4B904F17"/>
    <w:rsid w:val="4D2606A1"/>
    <w:rsid w:val="4F8A611E"/>
    <w:rsid w:val="51830480"/>
    <w:rsid w:val="51EB6428"/>
    <w:rsid w:val="53A616BE"/>
    <w:rsid w:val="54662BFB"/>
    <w:rsid w:val="62051CA5"/>
    <w:rsid w:val="6772621F"/>
    <w:rsid w:val="67D65A96"/>
    <w:rsid w:val="6C33576A"/>
    <w:rsid w:val="6C3A69EF"/>
    <w:rsid w:val="6E413C07"/>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4360</Words>
  <Characters>4641</Characters>
  <Lines>5</Lines>
  <Paragraphs>1</Paragraphs>
  <TotalTime>6</TotalTime>
  <ScaleCrop>false</ScaleCrop>
  <LinksUpToDate>false</LinksUpToDate>
  <CharactersWithSpaces>4659</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guoku</cp:lastModifiedBy>
  <cp:lastPrinted>2018-12-31T10:56:00Z</cp:lastPrinted>
  <dcterms:modified xsi:type="dcterms:W3CDTF">2025-11-06T13:49:00Z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C734C92AAAF24344A0E4232D8EB3359B</vt:lpwstr>
  </property>
  <property fmtid="{D5CDD505-2E9C-101B-9397-08002B2CF9AE}" pid="4" name="KSOTemplateDocerSaveRecord">
    <vt:lpwstr>eyJoZGlkIjoiYjAwZDY0MzljNDE2MjBkZjY5ZjY0ODNhMGVjMWM0N2EiLCJ1c2VySWQiOiIxMDA1MzM3ODU4In0=</vt:lpwstr>
  </property>
</Properties>
</file>