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832B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11A039F">
      <w:pPr>
        <w:spacing w:line="540" w:lineRule="exact"/>
        <w:jc w:val="center"/>
        <w:rPr>
          <w:rFonts w:ascii="华文中宋" w:hAnsi="华文中宋" w:eastAsia="华文中宋" w:cs="宋体"/>
          <w:b/>
          <w:kern w:val="0"/>
          <w:sz w:val="52"/>
          <w:szCs w:val="52"/>
        </w:rPr>
      </w:pPr>
    </w:p>
    <w:p w14:paraId="2B775C56">
      <w:pPr>
        <w:spacing w:line="540" w:lineRule="exact"/>
        <w:jc w:val="center"/>
        <w:rPr>
          <w:rFonts w:ascii="华文中宋" w:hAnsi="华文中宋" w:eastAsia="华文中宋" w:cs="宋体"/>
          <w:b/>
          <w:kern w:val="0"/>
          <w:sz w:val="52"/>
          <w:szCs w:val="52"/>
        </w:rPr>
      </w:pPr>
    </w:p>
    <w:p w14:paraId="1D9FEBEC">
      <w:pPr>
        <w:spacing w:line="540" w:lineRule="exact"/>
        <w:jc w:val="center"/>
        <w:rPr>
          <w:rFonts w:ascii="华文中宋" w:hAnsi="华文中宋" w:eastAsia="华文中宋" w:cs="宋体"/>
          <w:b/>
          <w:kern w:val="0"/>
          <w:sz w:val="52"/>
          <w:szCs w:val="52"/>
        </w:rPr>
      </w:pPr>
    </w:p>
    <w:p w14:paraId="71FCA6F5">
      <w:pPr>
        <w:spacing w:line="540" w:lineRule="exact"/>
        <w:jc w:val="center"/>
        <w:rPr>
          <w:rFonts w:hint="eastAsia" w:ascii="华文中宋" w:hAnsi="华文中宋" w:eastAsia="华文中宋" w:cs="宋体"/>
          <w:b/>
          <w:kern w:val="0"/>
          <w:sz w:val="52"/>
          <w:szCs w:val="52"/>
          <w:lang w:eastAsia="zh-CN"/>
        </w:rPr>
      </w:pPr>
    </w:p>
    <w:p w14:paraId="06902C3B">
      <w:pPr>
        <w:spacing w:line="540" w:lineRule="exact"/>
        <w:jc w:val="center"/>
        <w:rPr>
          <w:rFonts w:ascii="华文中宋" w:hAnsi="华文中宋" w:eastAsia="华文中宋" w:cs="宋体"/>
          <w:b/>
          <w:kern w:val="0"/>
          <w:sz w:val="52"/>
          <w:szCs w:val="52"/>
        </w:rPr>
      </w:pPr>
    </w:p>
    <w:p w14:paraId="5DBE6991">
      <w:pPr>
        <w:spacing w:line="540" w:lineRule="exact"/>
        <w:jc w:val="center"/>
        <w:rPr>
          <w:rFonts w:ascii="华文中宋" w:hAnsi="华文中宋" w:eastAsia="华文中宋" w:cs="宋体"/>
          <w:b/>
          <w:kern w:val="0"/>
          <w:sz w:val="52"/>
          <w:szCs w:val="52"/>
        </w:rPr>
      </w:pPr>
    </w:p>
    <w:p w14:paraId="71D29938">
      <w:pPr>
        <w:spacing w:line="540" w:lineRule="exact"/>
        <w:jc w:val="center"/>
        <w:rPr>
          <w:rFonts w:hint="eastAsia" w:ascii="方正小标宋_GBK" w:hAnsi="华文中宋" w:eastAsia="方正小标宋_GBK" w:cs="宋体"/>
          <w:b/>
          <w:bCs w:val="0"/>
          <w:kern w:val="0"/>
          <w:sz w:val="60"/>
          <w:szCs w:val="60"/>
        </w:rPr>
      </w:pPr>
      <w:r>
        <w:rPr>
          <w:rFonts w:hint="eastAsia" w:ascii="方正小标宋_GBK" w:hAnsi="华文中宋" w:eastAsia="方正小标宋_GBK" w:cs="宋体"/>
          <w:b/>
          <w:bCs w:val="0"/>
          <w:kern w:val="0"/>
          <w:sz w:val="60"/>
          <w:szCs w:val="60"/>
        </w:rPr>
        <w:t>项目支出绩效自评报告</w:t>
      </w:r>
    </w:p>
    <w:p w14:paraId="65CD7A0D">
      <w:pPr>
        <w:spacing w:line="540" w:lineRule="exact"/>
        <w:jc w:val="center"/>
        <w:rPr>
          <w:rFonts w:ascii="华文中宋" w:hAnsi="华文中宋" w:eastAsia="华文中宋" w:cs="宋体"/>
          <w:b/>
          <w:kern w:val="0"/>
          <w:sz w:val="52"/>
          <w:szCs w:val="52"/>
        </w:rPr>
      </w:pPr>
    </w:p>
    <w:p w14:paraId="79FEE3B5">
      <w:pPr>
        <w:spacing w:line="540" w:lineRule="exact"/>
        <w:jc w:val="center"/>
        <w:rPr>
          <w:rFonts w:hint="eastAsia" w:ascii="楷体" w:hAnsi="楷体" w:eastAsia="楷体" w:cs="楷体"/>
          <w:kern w:val="0"/>
          <w:sz w:val="36"/>
          <w:szCs w:val="36"/>
        </w:rPr>
      </w:pPr>
      <w:r>
        <w:rPr>
          <w:rFonts w:hint="eastAsia" w:ascii="楷体" w:hAnsi="楷体" w:eastAsia="楷体" w:cs="楷体"/>
          <w:kern w:val="0"/>
          <w:sz w:val="36"/>
          <w:szCs w:val="36"/>
        </w:rPr>
        <w:t xml:space="preserve">（   </w:t>
      </w:r>
      <w:r>
        <w:rPr>
          <w:rStyle w:val="19"/>
          <w:rFonts w:hint="eastAsia" w:ascii="楷体" w:hAnsi="楷体" w:eastAsia="楷体" w:cs="楷体"/>
          <w:spacing w:val="-4"/>
          <w:sz w:val="32"/>
          <w:szCs w:val="32"/>
        </w:rPr>
        <w:t>2024</w:t>
      </w:r>
      <w:r>
        <w:rPr>
          <w:rFonts w:hint="eastAsia" w:ascii="楷体" w:hAnsi="楷体" w:eastAsia="楷体" w:cs="楷体"/>
          <w:kern w:val="0"/>
          <w:sz w:val="36"/>
          <w:szCs w:val="36"/>
        </w:rPr>
        <w:t xml:space="preserve">  年度）</w:t>
      </w:r>
    </w:p>
    <w:p w14:paraId="3720D19A">
      <w:pPr>
        <w:spacing w:line="540" w:lineRule="exact"/>
        <w:jc w:val="center"/>
        <w:rPr>
          <w:rFonts w:hAnsi="宋体" w:eastAsia="仿宋_GB2312" w:cs="宋体"/>
          <w:kern w:val="0"/>
          <w:sz w:val="30"/>
          <w:szCs w:val="30"/>
        </w:rPr>
      </w:pPr>
    </w:p>
    <w:p w14:paraId="4FCCD07F">
      <w:pPr>
        <w:spacing w:line="540" w:lineRule="exact"/>
        <w:jc w:val="center"/>
        <w:rPr>
          <w:rFonts w:hAnsi="宋体" w:eastAsia="仿宋_GB2312" w:cs="宋体"/>
          <w:kern w:val="0"/>
          <w:sz w:val="30"/>
          <w:szCs w:val="30"/>
        </w:rPr>
      </w:pPr>
    </w:p>
    <w:p w14:paraId="3820C1C4">
      <w:pPr>
        <w:spacing w:line="540" w:lineRule="exact"/>
        <w:jc w:val="center"/>
        <w:rPr>
          <w:rFonts w:hAnsi="宋体" w:eastAsia="仿宋_GB2312" w:cs="宋体"/>
          <w:kern w:val="0"/>
          <w:sz w:val="30"/>
          <w:szCs w:val="30"/>
        </w:rPr>
      </w:pPr>
    </w:p>
    <w:p w14:paraId="00E5FFE7">
      <w:pPr>
        <w:spacing w:line="540" w:lineRule="exact"/>
        <w:jc w:val="center"/>
        <w:rPr>
          <w:rFonts w:hAnsi="宋体" w:eastAsia="仿宋_GB2312" w:cs="宋体"/>
          <w:kern w:val="0"/>
          <w:sz w:val="30"/>
          <w:szCs w:val="30"/>
        </w:rPr>
      </w:pPr>
    </w:p>
    <w:p w14:paraId="73658580">
      <w:pPr>
        <w:spacing w:line="540" w:lineRule="exact"/>
        <w:jc w:val="center"/>
        <w:rPr>
          <w:rFonts w:hAnsi="宋体" w:eastAsia="仿宋_GB2312" w:cs="宋体"/>
          <w:kern w:val="0"/>
          <w:sz w:val="30"/>
          <w:szCs w:val="30"/>
        </w:rPr>
      </w:pPr>
    </w:p>
    <w:p w14:paraId="487ED842">
      <w:pPr>
        <w:spacing w:line="540" w:lineRule="exact"/>
        <w:jc w:val="center"/>
        <w:rPr>
          <w:rFonts w:hAnsi="宋体" w:eastAsia="仿宋_GB2312" w:cs="宋体"/>
          <w:kern w:val="0"/>
          <w:sz w:val="30"/>
          <w:szCs w:val="30"/>
        </w:rPr>
      </w:pPr>
    </w:p>
    <w:p w14:paraId="122CAD67">
      <w:pPr>
        <w:spacing w:line="540" w:lineRule="exact"/>
        <w:rPr>
          <w:rFonts w:hAnsi="宋体" w:eastAsia="仿宋_GB2312" w:cs="宋体"/>
          <w:kern w:val="0"/>
          <w:sz w:val="30"/>
          <w:szCs w:val="30"/>
        </w:rPr>
      </w:pPr>
    </w:p>
    <w:p w14:paraId="0B9B946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4C0162B">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2"/>
          <w:szCs w:val="32"/>
        </w:rPr>
        <w:t>2024年基本公共卫生服务补助资金</w:t>
      </w:r>
    </w:p>
    <w:p w14:paraId="2EAB8447">
      <w:pPr>
        <w:spacing w:line="540" w:lineRule="exact"/>
        <w:ind w:firstLine="567"/>
        <w:jc w:val="left"/>
        <w:rPr>
          <w:rFonts w:ascii="楷体" w:hAnsi="楷体" w:eastAsia="楷体"/>
          <w:b w:val="0"/>
          <w:bCs w:val="0"/>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b w:val="0"/>
          <w:bCs w:val="0"/>
          <w:spacing w:val="-4"/>
          <w:sz w:val="32"/>
          <w:szCs w:val="32"/>
        </w:rPr>
        <w:t>哈密市伊州区卫生健康委员会</w:t>
      </w:r>
    </w:p>
    <w:p w14:paraId="50B7EF11">
      <w:pPr>
        <w:spacing w:line="540" w:lineRule="exact"/>
        <w:ind w:firstLine="900" w:firstLineChars="250"/>
        <w:jc w:val="left"/>
        <w:rPr>
          <w:rFonts w:ascii="楷体" w:hAnsi="楷体" w:eastAsia="楷体"/>
          <w:b w:val="0"/>
          <w:bCs w:val="0"/>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2"/>
          <w:szCs w:val="32"/>
        </w:rPr>
        <w:t>哈密市伊州区卫生健康委员会</w:t>
      </w:r>
    </w:p>
    <w:p w14:paraId="4A630E82">
      <w:pPr>
        <w:spacing w:line="540" w:lineRule="exact"/>
        <w:ind w:firstLine="900" w:firstLineChars="250"/>
        <w:jc w:val="left"/>
        <w:rPr>
          <w:rStyle w:val="19"/>
          <w:rFonts w:hint="eastAsia" w:ascii="楷体" w:hAnsi="楷体" w:eastAsia="楷体"/>
          <w:b w:val="0"/>
          <w:bCs w:val="0"/>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2"/>
          <w:szCs w:val="32"/>
        </w:rPr>
        <w:t>蔡宝玲</w:t>
      </w:r>
    </w:p>
    <w:p w14:paraId="27780FC6">
      <w:pPr>
        <w:spacing w:line="540" w:lineRule="exact"/>
        <w:ind w:firstLine="900" w:firstLineChars="250"/>
        <w:jc w:val="left"/>
        <w:rPr>
          <w:rStyle w:val="19"/>
          <w:rFonts w:hint="eastAsia" w:ascii="楷体" w:hAnsi="楷体" w:eastAsia="楷体"/>
          <w:b w:val="0"/>
          <w:bCs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b w:val="0"/>
          <w:bCs w:val="0"/>
          <w:spacing w:val="-4"/>
          <w:sz w:val="32"/>
          <w:szCs w:val="32"/>
        </w:rPr>
        <w:t>2025年05月17日</w:t>
      </w:r>
    </w:p>
    <w:p w14:paraId="2983DF5E">
      <w:pPr>
        <w:spacing w:line="540" w:lineRule="exact"/>
        <w:ind w:firstLine="780" w:firstLineChars="250"/>
        <w:rPr>
          <w:rStyle w:val="19"/>
          <w:rFonts w:hint="eastAsia" w:ascii="楷体" w:hAnsi="楷体" w:eastAsia="楷体"/>
          <w:b w:val="0"/>
          <w:bCs w:val="0"/>
          <w:spacing w:val="-4"/>
          <w:sz w:val="32"/>
          <w:szCs w:val="32"/>
        </w:rPr>
      </w:pPr>
    </w:p>
    <w:p w14:paraId="0F9E900A">
      <w:pPr>
        <w:spacing w:line="540" w:lineRule="exact"/>
        <w:rPr>
          <w:rStyle w:val="19"/>
          <w:rFonts w:ascii="黑体" w:hAnsi="黑体" w:eastAsia="黑体"/>
          <w:b w:val="0"/>
          <w:spacing w:val="-4"/>
          <w:sz w:val="32"/>
          <w:szCs w:val="32"/>
        </w:rPr>
      </w:pPr>
    </w:p>
    <w:p w14:paraId="05DFB7E3">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9434BA6">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4D074D2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1BB1A89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基本公共卫生服务是我国政府针对当前城乡居民存在的主要健康问题，以儿童、孕产妇、老年人、慢性疾病患者为重点人群，面向全体居民免费提供的最基本的公共卫生服务。</w:t>
      </w:r>
    </w:p>
    <w:p w14:paraId="2F6D9639">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切实加强对基本公共卫生服务项目工作的指导，区卫健委高度重视，确保实现项目预期工作目标。一是成立了以主要领导为组长的基本公共卫生服务项目工作领导小组；成立了以主要领导为组长、各项目指导单位领导为成员的项目工作</w:t>
      </w:r>
      <w:r>
        <w:rPr>
          <w:rStyle w:val="19"/>
          <w:rFonts w:hint="eastAsia" w:ascii="楷体" w:hAnsi="楷体" w:eastAsia="楷体"/>
          <w:b w:val="0"/>
          <w:bCs w:val="0"/>
          <w:spacing w:val="-4"/>
          <w:sz w:val="32"/>
          <w:szCs w:val="32"/>
          <w:lang w:val="en-US" w:eastAsia="zh-CN"/>
        </w:rPr>
        <w:t>领导</w:t>
      </w:r>
      <w:r>
        <w:rPr>
          <w:rStyle w:val="19"/>
          <w:rFonts w:hint="eastAsia" w:ascii="楷体" w:hAnsi="楷体" w:eastAsia="楷体"/>
          <w:b w:val="0"/>
          <w:bCs w:val="0"/>
          <w:spacing w:val="-4"/>
          <w:sz w:val="32"/>
          <w:szCs w:val="32"/>
        </w:rPr>
        <w:t>小组。二是加强项目资金管理,严格落实绩效考核制度。三是制定印发</w:t>
      </w:r>
      <w:r>
        <w:rPr>
          <w:rStyle w:val="19"/>
          <w:rFonts w:hint="eastAsia" w:ascii="楷体" w:hAnsi="楷体" w:eastAsia="楷体"/>
          <w:b w:val="0"/>
          <w:bCs w:val="0"/>
          <w:spacing w:val="-4"/>
          <w:sz w:val="32"/>
          <w:szCs w:val="32"/>
          <w:lang w:val="en-US" w:eastAsia="zh-CN"/>
        </w:rPr>
        <w:t>相关文</w:t>
      </w:r>
      <w:r>
        <w:rPr>
          <w:rStyle w:val="19"/>
          <w:rFonts w:hint="eastAsia" w:ascii="楷体" w:hAnsi="楷体" w:eastAsia="楷体"/>
          <w:b w:val="0"/>
          <w:bCs w:val="0"/>
          <w:spacing w:val="-4"/>
          <w:sz w:val="32"/>
          <w:szCs w:val="32"/>
        </w:rPr>
        <w:t>件，进一步明确相关职能部门的工作职责、疏通了工作思路、确立了资金使用规范和标准。四是将基本公共卫生服务项目工作内容纳入年度目标考核，按照上级关于开展国家基本公共卫生服务项目的部署要求,把基本公共卫生服务项目工作作为卫生工作的重中之重来抓，各乡镇卫生院及社区卫生服务中心也相应成立了以单位负责人任组长的项目实施领导小组,制定了切合实际的实施方案,安排专门的办公场所,配备必要的设备设施,以保证伊州区基本公共卫生服务项目工作有序开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于2024年1月开始实施，截至2024年12月当年项目指标已全部完成（此项目为长期项目，每年固定任务指标），基本公共卫生服务的开展，对增强公民身体功能、保持公民身体健康具有深远的影响。基本公共卫生服务水平能够体现一个国家整体的医疗卫生服务水平，开展基本公共卫生服务是我国公共卫生制度建设的核心环节，公共卫生服务的开展能够有效控制并预防传染疾病，增强公民身体功能，</w:t>
      </w:r>
      <w:r>
        <w:rPr>
          <w:rStyle w:val="19"/>
          <w:rFonts w:hint="eastAsia" w:ascii="楷体" w:hAnsi="楷体" w:eastAsia="楷体"/>
          <w:b w:val="0"/>
          <w:bCs w:val="0"/>
          <w:spacing w:val="-4"/>
          <w:sz w:val="32"/>
          <w:szCs w:val="32"/>
          <w:lang w:val="en-US" w:eastAsia="zh-CN"/>
        </w:rPr>
        <w:t>提升</w:t>
      </w:r>
      <w:r>
        <w:rPr>
          <w:rStyle w:val="19"/>
          <w:rFonts w:hint="eastAsia" w:ascii="楷体" w:hAnsi="楷体" w:eastAsia="楷体"/>
          <w:b w:val="0"/>
          <w:bCs w:val="0"/>
          <w:spacing w:val="-4"/>
          <w:sz w:val="32"/>
          <w:szCs w:val="32"/>
        </w:rPr>
        <w:t>国民生活质量、身体水平具有重要的意义及深远的影响。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p>
    <w:p w14:paraId="67862D8A">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（1）项目资金安排落实、总投入情况</w:t>
      </w:r>
    </w:p>
    <w:p w14:paraId="574A1029">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文件，基本公共卫生服务项目预算安排资金总额2650.7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万元，其中财政资金2650.7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万元、2024年实际收到预算资金2650.7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万元，预算资金到位率为100%。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（2）项目资金实际使用情况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截至2024年12月31日，本项目实际支付资金2390.06万元，预算执行率90.</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%。项目资金主要用于支付实施基本公共卫生服务项目的人员经费、运行经费等。</w:t>
      </w:r>
    </w:p>
    <w:p w14:paraId="56D21166">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280ED4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14:paraId="41AD8B7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本公共卫生服务项目是促进基本公共卫生服务均等化的重要手段，基本公共卫生服务补助资金将用于开展健康教育、预防接种、0-6岁儿童健康管理等14类国家基本公共卫生项目，以及从原重大公共卫生服务和计划生育项目中划入的地方病防治、职业病防治、妇幼卫生、老年健康服务、医养结合、卫生应急、孕前检查等基本公共卫生服务工作，促使重大疾病和主要健康危害因素得到有效控制，人民健康水平得到进一步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数量指标：高血压患者管理人数不低于1.94万人；</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数量指标：2型糖尿病患者管理人数不低于0.92万人。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质量指标：居民规范化电子健康档案覆盖率不低于62%；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质量指标：高血压患者基层规范管理服务率不低于62%”；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质量指标：2型糖尿病患者基层规范管理服务率不低于62%；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质量指标：国家免疫规划疫苗接种率不低于95%；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质量指标：孕产妇系统管理率不低于90%。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时效指标：业务指导按期完成率不低于95%；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时效指标：基本公共卫生服务项目开展及时率不低于95%。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成本指标：基本公共卫生服务项目经费不高于2650.7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社会效益指标：保障居民身体健康；</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社会效益指标：提高居民基本公共卫生服务水平。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满意度指标：辖区居民满意度不低于85%。</w:t>
      </w:r>
    </w:p>
    <w:p w14:paraId="0318543D">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C2C5CF9">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C93955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文件精神，对2024年伊州区国家基本公共卫生服务项目绩效目标实现情况进行自评。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23445758">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91273C9">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5CAC9EE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本项目评价指标体系采用项目绩效自评表与决策、过程自定指标相结合方式，项目决策17分、项目过程23分、项目产出22分、项目效益30分，项目满意度8分，详细情况见附件1：</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预算编制：测算标准科学性，权重3分；资金分配合理性，权重2分。</w:t>
      </w:r>
    </w:p>
    <w:p w14:paraId="10E6D7CA">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（2）项目过程</w:t>
      </w:r>
    </w:p>
    <w:p w14:paraId="0ED2FC9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资金管理：资金到位率，权重6分；预算执行率，权重6分。</w:t>
      </w:r>
    </w:p>
    <w:p w14:paraId="468598E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高血压患者管理人数，权重2分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2型糖尿病患者管理人数，权重2分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居民规范化电子健康档案覆盖率，权重2分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高血压患者基层规范管理服务率，权重2分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2型糖尿病患者基层规范管理服务率，权重2分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国家免疫规划疫苗接种率，权重2分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孕产妇系统管理率，权重2分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业务指导按期完成率，权重2分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基本公共卫生服务项目开展情况，权重2分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基本公共卫生服务项目经费，权重4分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（2）项目效益目标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保障居民身体健康，权重15分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提高居民基本公共卫生服务水平，权重15分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辖区居民满意度，权重8分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2024年伊州区国家基本公共卫生服务项目绩效评价主要通过项目单位自评、主管部门监督、财政部门参评的方式开展绩效评价工作。</w:t>
      </w:r>
    </w:p>
    <w:p w14:paraId="1A5F625F">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14:paraId="57570162">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6E35BB49">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38AE9860">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发放调查问卷开展受益居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0EE49171">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F6A47A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97.05</w:t>
      </w:r>
      <w:r>
        <w:rPr>
          <w:rStyle w:val="19"/>
          <w:rFonts w:hint="eastAsia" w:ascii="楷体" w:hAnsi="楷体" w:eastAsia="楷体"/>
          <w:b w:val="0"/>
          <w:bCs w:val="0"/>
          <w:spacing w:val="-4"/>
          <w:sz w:val="32"/>
          <w:szCs w:val="32"/>
        </w:rPr>
        <w:t>分，自评结果为“优”，其中项目决策得分17分、项目过程得分22分、项目产出得分21.6分、项目效益得分30分，项目满意度得分8分。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综合评价结论：项目决策方面，项目立项依据国家卫健委、财政部、国家中医药局、国家疾控局</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要求进行立项，符合相</w:t>
      </w:r>
      <w:bookmarkStart w:id="0" w:name="_GoBack"/>
      <w:bookmarkEnd w:id="0"/>
      <w:r>
        <w:rPr>
          <w:rStyle w:val="19"/>
          <w:rFonts w:hint="eastAsia" w:ascii="楷体" w:hAnsi="楷体" w:eastAsia="楷体"/>
          <w:b w:val="0"/>
          <w:bCs w:val="0"/>
          <w:spacing w:val="-4"/>
          <w:sz w:val="32"/>
          <w:szCs w:val="32"/>
        </w:rPr>
        <w:t>关规定要求，绩效目标设置明确，符合部门履职工作需求；项目过程方面，本项目共计申请资金2650.7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万元，实际到位资金2650.7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万元，实际支付资金2390.06万元，资金到位率100%、预算执行率90.</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%；项目产出方面，项目产出方面，项目开展</w:t>
      </w:r>
      <w:r>
        <w:rPr>
          <w:rStyle w:val="19"/>
          <w:rFonts w:hint="eastAsia" w:ascii="楷体" w:hAnsi="楷体" w:eastAsia="楷体"/>
          <w:b w:val="0"/>
          <w:bCs w:val="0"/>
          <w:spacing w:val="-4"/>
          <w:sz w:val="32"/>
          <w:szCs w:val="32"/>
          <w:lang w:val="en-US" w:eastAsia="zh-CN"/>
        </w:rPr>
        <w:t>前</w:t>
      </w:r>
      <w:r>
        <w:rPr>
          <w:rStyle w:val="19"/>
          <w:rFonts w:hint="eastAsia" w:ascii="楷体" w:hAnsi="楷体" w:eastAsia="楷体"/>
          <w:b w:val="0"/>
          <w:bCs w:val="0"/>
          <w:spacing w:val="-4"/>
          <w:sz w:val="32"/>
          <w:szCs w:val="32"/>
        </w:rPr>
        <w:t>期调研工作，资金拨付合规，时限及时，成本控制符合预期标准项目；项目效益方面，保障了居民身体健康，居民基本公共卫生服务水平不断提高；项目满意度方面，根据对辖区居民基本公共卫生服务项目满意度收集情况，对项目实施进度、项目实施政策等均表现为满意.</w:t>
      </w:r>
    </w:p>
    <w:p w14:paraId="0A15DCA8">
      <w:pPr>
        <w:spacing w:line="540" w:lineRule="exact"/>
        <w:ind w:firstLine="312" w:firstLineChars="1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3E361D8D">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E123FEB">
      <w:pPr>
        <w:tabs>
          <w:tab w:val="center" w:pos="4295"/>
        </w:tabs>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26902F9C">
      <w:p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（1）立项依据充分性，满分2分，得分2分，得分率100%。项目立项是本项目是国家卫健委立项，2024年根据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文件要求组织实施该项目要求进行立项，立项依据充分，符合发展规划要求，属于部门履职所需。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（1）绩效目标明确性，满分4分，得分4分，得分率50%。项目绩效目标为“国家基本公共卫生服务项目各项任务指标完成情况”，绩效目标包含了预期产出，并通过清晰、可衡量的指标予以体现。</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（2）绩效目标合理性，满分4分，得分4分，得分率100%。项目绩效目标细化分解为具体指标，绩效目标内容与项目相关，产出和效益符合正常业绩水平，资金投入与预算资金相匹配。绩效目标设置合理可行。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（1）测算标准合理性，满分3分，得分3分，得分率100%。项目依据国家根据当年人均补助要求直接下达专项资金2650.7万元万元，测算标准合理。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（2）测算过程细化度，满分2分，得分2分，得分率100%。项目资金测算主要依据伊州区辖区内常住居民人口数测算，人口数为自治区卫健委直接下发，测算标准准确。</w:t>
      </w:r>
      <w:r>
        <w:rPr>
          <w:rStyle w:val="19"/>
          <w:rFonts w:hint="eastAsia" w:ascii="楷体" w:hAnsi="楷体" w:eastAsia="楷体"/>
          <w:b w:val="0"/>
          <w:bCs w:val="0"/>
          <w:spacing w:val="-4"/>
          <w:sz w:val="32"/>
          <w:szCs w:val="32"/>
          <w:lang w:eastAsia="zh-CN"/>
        </w:rPr>
        <w:tab/>
      </w:r>
    </w:p>
    <w:p w14:paraId="6BBBC892">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5313BE4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3F39804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（1）资金到位率，满分6分，得分6分，得分率100%。项目预算2650.7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万元，收到2650.7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万元，资金到位率100%。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（2）预算执行率，满分6分，得分5分，得分率83.33%。项目实际到位资金2650.7</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万元，共计支出金额2390.06万元，预算执行率为90.</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（2）管理制度健全性，满分4分，得分4分，得分率100%。财务制度方面，为保障项目资金合理支出，制定预算管理制度，规定项目支出的合理流程，制度制定合法、合规。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（3）制度执行有效性，满分3分，得分3分，得分率100%。项目支出遵守财务法律法规和自治区项目管理要求的各项规定，支出凭证、收据等相关资料齐全，项目实施所需的人员齐备，符合制度工作要求。</w:t>
      </w:r>
    </w:p>
    <w:p w14:paraId="61847E3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17DC9EC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759C4A0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（1）管理高血压患者3.1336万人，符合预期计划标准，满分2分，得分2分，得分率100%；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（2）管理2型糖尿病患者1.3531万人，符合预期计划标准，满分2分，得分2分，得分率100%；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（1）居民规范化电子健康档案覆盖率82.7%，符合预期计划标准，满分2分，得分2分，得分率100%；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（2）高血压患者基层规范管理服务率86.36%，符合预期计划标准，满分2分，得分2分，得分率100%；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（3）2型糖尿病患者基层规范管理服务率86.64%，符合预期计划标准，满分2分，得分2分，得分率100%；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（4）国家免疫规划疫苗接种率99%，符合预期计划标准，满分2分，得分2分，得分率100%；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（5）孕产妇系统管理率95.7%，符合预期计划标准，满分2分，得分2分，得分率100%；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（1）业务指导按期完成率95%，符合预期计划标准，满分2分，得分2分，得分率100%；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）基本公共卫生服务项目开展情况96%，符合预期计划标准，满分2分，得分2分，得分率100%。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基本公共卫生服务项目经费支出率90.17%，基本符合预期计划标准，满分4分，得分3.6分，得分率90%；</w:t>
      </w:r>
    </w:p>
    <w:p w14:paraId="7853797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4B711F6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2E2D7600">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（1）保障了居民身体健康，符合预期计划标准，满分15分，得分15分，得分率100%。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）居民基本公共卫生服务水平不断提高，符合预期计划标准，满分15分，得分15分，得分率100%。</w:t>
      </w:r>
    </w:p>
    <w:p w14:paraId="57E61A40">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04B72C2B">
      <w:pPr>
        <w:spacing w:line="540" w:lineRule="exact"/>
        <w:ind w:firstLine="1154" w:firstLineChars="37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项目满意度方面，根据对辖区居民基本公共卫生服务项目满意度收集情况，对项目实施进度、项目实施政策等均表现为满意，满意度达85%，符合预期计划标准，满分8分，得分8分，得分率100%。发放220份满意度调查问卷，实际回收满意度问卷220份，30份基本满意，187份满意，3份不满意，整体居民满意度为86.36%。</w:t>
      </w:r>
    </w:p>
    <w:p w14:paraId="5341B9CD">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1B4A5EB4">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7E768CC6">
      <w:pPr>
        <w:spacing w:line="540" w:lineRule="exact"/>
        <w:ind w:firstLine="936" w:firstLineChars="300"/>
        <w:rPr>
          <w:rFonts w:ascii="仿宋_GB2312" w:eastAsia="仿宋_GB2312"/>
          <w:spacing w:val="-4"/>
          <w:sz w:val="32"/>
          <w:szCs w:val="32"/>
        </w:rPr>
      </w:pPr>
      <w:r>
        <w:rPr>
          <w:rStyle w:val="19"/>
          <w:rFonts w:hint="eastAsia" w:ascii="楷体" w:hAnsi="楷体" w:eastAsia="楷体"/>
          <w:b w:val="0"/>
          <w:bCs w:val="0"/>
          <w:spacing w:val="-4"/>
          <w:sz w:val="32"/>
          <w:szCs w:val="32"/>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是加强决策沟通与协调。促进信息共享，建立有效的信息共享机制，确保决策所需的信息能够及时、准确地传递给相关人员。强化跨部门沟通，加强项目实施部门与其他部门之间的沟通，确保决策过程中各方意见得到充分表达和讨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基本公共卫生服务项目经费支出率90.17%，未达到年初计划的100%，主要原因在于我委预算执行力度仍有待提升。</w:t>
      </w:r>
    </w:p>
    <w:p w14:paraId="0F95348A">
      <w:pPr>
        <w:spacing w:line="540" w:lineRule="exact"/>
        <w:ind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7C3E60A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14:paraId="770CE92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2.扎实推进档案规范化建设，提升档案管理水平</w:t>
      </w:r>
    </w:p>
    <w:p w14:paraId="183354F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3.高度重视，加强领导</w:t>
      </w:r>
    </w:p>
    <w:p w14:paraId="1F4B100C">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796CED3">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F4B10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469D949B">
      <w:pPr>
        <w:spacing w:line="540" w:lineRule="exact"/>
        <w:ind w:firstLine="567"/>
        <w:rPr>
          <w:rStyle w:val="19"/>
          <w:rFonts w:ascii="仿宋" w:hAnsi="仿宋" w:eastAsia="仿宋"/>
          <w:b w:val="0"/>
          <w:spacing w:val="-4"/>
          <w:sz w:val="32"/>
          <w:szCs w:val="32"/>
        </w:rPr>
      </w:pPr>
    </w:p>
    <w:p w14:paraId="31F3EAC5">
      <w:pPr>
        <w:spacing w:line="540" w:lineRule="exact"/>
        <w:ind w:firstLine="567"/>
        <w:rPr>
          <w:rStyle w:val="19"/>
          <w:rFonts w:ascii="仿宋" w:hAnsi="仿宋" w:eastAsia="仿宋"/>
          <w:b w:val="0"/>
          <w:spacing w:val="-4"/>
          <w:sz w:val="32"/>
          <w:szCs w:val="32"/>
        </w:rPr>
      </w:pPr>
    </w:p>
    <w:p w14:paraId="3D8BE22D">
      <w:pPr>
        <w:spacing w:line="540" w:lineRule="exact"/>
        <w:ind w:firstLine="567"/>
        <w:rPr>
          <w:rStyle w:val="19"/>
          <w:rFonts w:ascii="仿宋" w:hAnsi="仿宋" w:eastAsia="仿宋"/>
          <w:b w:val="0"/>
          <w:spacing w:val="-4"/>
          <w:sz w:val="32"/>
          <w:szCs w:val="32"/>
        </w:rPr>
      </w:pPr>
    </w:p>
    <w:p w14:paraId="6595DA96">
      <w:pPr>
        <w:spacing w:line="540" w:lineRule="exact"/>
        <w:ind w:firstLine="567"/>
        <w:rPr>
          <w:rStyle w:val="19"/>
          <w:rFonts w:ascii="仿宋" w:hAnsi="仿宋" w:eastAsia="仿宋"/>
          <w:b w:val="0"/>
          <w:spacing w:val="-4"/>
          <w:sz w:val="32"/>
          <w:szCs w:val="32"/>
        </w:rPr>
      </w:pPr>
    </w:p>
    <w:p w14:paraId="7BB22B20">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EAC4AC6">
        <w:pPr>
          <w:pStyle w:val="12"/>
          <w:jc w:val="center"/>
        </w:pPr>
        <w:r>
          <w:fldChar w:fldCharType="begin"/>
        </w:r>
        <w:r>
          <w:instrText xml:space="preserve">PAGE   \* MERGEFORMAT</w:instrText>
        </w:r>
        <w:r>
          <w:fldChar w:fldCharType="separate"/>
        </w:r>
        <w:r>
          <w:rPr>
            <w:lang w:val="zh-CN"/>
          </w:rPr>
          <w:t>1</w:t>
        </w:r>
        <w:r>
          <w:fldChar w:fldCharType="end"/>
        </w:r>
      </w:p>
    </w:sdtContent>
  </w:sdt>
  <w:p w14:paraId="76732E17">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1D5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2046C2"/>
    <w:rsid w:val="592F3F03"/>
    <w:rsid w:val="62760676"/>
    <w:rsid w:val="78E2469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2.xml><?xml version="1.0" encoding="utf-8"?>
<Properties xmlns="http://schemas.openxmlformats.org/officeDocument/2006/extended-properties" xmlns:vt="http://schemas.openxmlformats.org/officeDocument/2006/docPropsVTypes">
  <Template>Normal.dotm</Template>
  <Pages>14</Pages>
  <Words>6254</Words>
  <Characters>6625</Characters>
  <Lines>5</Lines>
  <Paragraphs>1</Paragraphs>
  <TotalTime>20</TotalTime>
  <ScaleCrop>false</ScaleCrop>
  <LinksUpToDate>false</LinksUpToDate>
  <CharactersWithSpaces>6639</CharactersWithSpaces>
  <Application>WPS Office_12.1.0.23542_F1E327BC-269C-435d-A152-05C5408002CA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2025-11-06T04:14:58Z</dcterms:modified>
  <cp:revision>19</cp:revision>
</cp:coreProperties>
</file>

<file path=customXml/itemProps1.xml><?xml version="1.0" encoding="utf-8"?>
<ds:datastoreItem xmlns:ds="http://schemas.openxmlformats.org/officeDocument/2006/customXml" ds:itemID="{ca1af1e3-b66b-4ff0-b543-ce82daf26979}">
  <ds:schemaRefs/>
</ds:datastoreItem>
</file>

<file path=customXml/itemProps2.xml><?xml version="1.0" encoding="utf-8"?>
<ds:datastoreItem xmlns:ds="http://schemas.openxmlformats.org/officeDocument/2006/customXml" ds:itemID="{a232b9fd-c93a-485d-be5a-9fe49f6a321b}">
  <ds:schemaRefs/>
</ds:datastoreItem>
</file>

<file path=customXml/itemProps3.xml><?xml version="1.0" encoding="utf-8"?>
<ds:datastoreItem xmlns:ds="http://schemas.openxmlformats.org/officeDocument/2006/customXml" ds:itemID="{5669553e-86dd-4204-85cc-37f46ae06235}">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5919</Words>
  <Characters>6287</Characters>
  <Lines>5</Lines>
  <Paragraphs>1</Paragraphs>
  <TotalTime>23</TotalTime>
  <ScaleCrop>false</ScaleCrop>
  <LinksUpToDate>false</LinksUpToDate>
  <CharactersWithSpaces>6596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2025-11-06T11:17:50Z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