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特定类-人身意外伤害保险</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哈密市伊州区医疗保障局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哈密市伊州区医疗保障局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崔春华</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2025年05月17日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rPr>
          <w:rStyle w:val="17"/>
          <w:rFonts w:ascii="楷体" w:hAnsi="楷体" w:eastAsia="楷体"/>
          <w:spacing w:val="-4"/>
          <w:sz w:val="32"/>
          <w:szCs w:val="32"/>
        </w:rPr>
      </w:pPr>
      <w:r>
        <w:rPr>
          <w:rStyle w:val="17"/>
          <w:rFonts w:hint="eastAsia" w:ascii="楷体" w:hAnsi="楷体" w:eastAsia="楷体"/>
          <w:spacing w:val="-4"/>
          <w:sz w:val="32"/>
          <w:szCs w:val="32"/>
        </w:rPr>
        <w:t>（一）项目概况</w:t>
      </w:r>
    </w:p>
    <w:p>
      <w:pPr>
        <w:spacing w:line="540" w:lineRule="exact"/>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1.项目背景</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为推进社保惠民，扩大全区各族群众医疗救助范围，根据国务院逐步建立多层次医疗保障体系的有关要求，自治区决定实施人身意外伤害保险普惠政策。根据《关于建立和实施人身意外伤害保险的通知》(新人社发〔2016〕140号)文件，建立和实施人身意外伤害保险，是自治区政府为保障新疆各族群众发生意外伤害后得到救治救助，降低人身意外伤害风险，促进家庭和社会安定和谐，实施社保惠民工程，完善医疗保险制度的一项重要举措。是我区城乡居民多层次社会保障体系的重要组成部分，在增加群众福祉，提高城乡居民健康保障能力，加强困难群体抵御风险能力，减少因意外伤害而返贫方面必将发挥重要作用，通过建立和实施人身意外伤害保险，切实解决好群众最关心、最直接、最现实的切身利益问题，让人民群众有更多的获得感、幸福感，发自内心地感谢党、感恩党中央。</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2.主要内容及实施情况</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建立和实施人身意外伤害保险，是对被保险人发生意外身故、残疾和住院医疗等的补偿；是降低人身意外伤害风险，促进家庭和社会安定和谐，实施社保惠民工程，完善医疗保险制度的一项重要举措。各地要高度重视，抓紧落实，把好事办好，让群众及早受益。</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根据自治区的统一部署，人身意外伤害保险由政府主导、委托商业保险公司经营管理。适用于具有新疆户籍的居民、参加自治区城镇职工和城乡居民基本医疗保险的非新疆户籍居民和援疆工作人员。</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建立和实施人身意外伤害保险应坚持以下基本原则：赔付标准与筹资水平相适应，要切实保障好被保险人意外伤害后及时得到赔付；人身意外伤害保险实行委托管理、商业运营，保费单独记账、独立核算；根据医疗消费水平、经济发展水平，结合自治区实际，实行动态管理；全区人身意外伤害保险费按照“自治区级统筹的模式进行筹集和使用。</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人身意外伤害保险实施过程中，筹资标准按10元/人/年的标准执行。个人不缴费，保险费由自治区各级财政安排，财政困难地区由自治区给予补助。各地财政根据被保险人人数将人身意外伤害保险费归集到自治区财政。自治区财政根据自治区社会保险经办机构与商业保险公司签订的委托协议（合同）约定和被保险人人数，将保险费拨付给受托商业保险公司。各地要提高思想认识，将这项工作列入重要议事日程，加强领导，精心组织，明确责任分工，确保本地区不漏一人，应保尽保。要加强舆论宣传和引导，及时准确解读政策，妥善回应公众关切，合理引导社会预期，努力营造良好社会氛围。</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3.资金投入和使用情况</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特定类-人身意外伤害保险项目计划拨付78.62万元，项目于2024年1月28日批复预算资金78.62万元，截至2024年12月31日，项目用于支付伊州区2024年参保人员人身意外伤害保险费用，项目资金支付76.69万元，资金到位率100%，预算执行率为97.</w:t>
      </w:r>
      <w:r>
        <w:rPr>
          <w:rStyle w:val="17"/>
          <w:rFonts w:hint="eastAsia" w:ascii="楷体" w:hAnsi="楷体" w:eastAsia="楷体"/>
          <w:b w:val="0"/>
          <w:bCs w:val="0"/>
          <w:spacing w:val="-4"/>
          <w:sz w:val="32"/>
          <w:szCs w:val="32"/>
          <w:lang w:val="en-US" w:eastAsia="zh-CN"/>
        </w:rPr>
        <w:t>6</w:t>
      </w:r>
      <w:r>
        <w:rPr>
          <w:rStyle w:val="17"/>
          <w:rFonts w:hint="eastAsia" w:ascii="楷体" w:hAnsi="楷体" w:eastAsia="楷体"/>
          <w:b w:val="0"/>
          <w:bCs w:val="0"/>
          <w:spacing w:val="-4"/>
          <w:sz w:val="32"/>
          <w:szCs w:val="32"/>
        </w:rPr>
        <w:t>%。</w:t>
      </w:r>
    </w:p>
    <w:p>
      <w:pPr>
        <w:spacing w:line="540" w:lineRule="exact"/>
        <w:rPr>
          <w:rStyle w:val="17"/>
          <w:rFonts w:ascii="楷体" w:hAnsi="楷体" w:eastAsia="楷体"/>
          <w:spacing w:val="-4"/>
          <w:sz w:val="32"/>
          <w:szCs w:val="32"/>
        </w:rPr>
      </w:pPr>
      <w:r>
        <w:rPr>
          <w:rStyle w:val="17"/>
          <w:rFonts w:hint="eastAsia" w:ascii="楷体" w:hAnsi="楷体" w:eastAsia="楷体"/>
          <w:spacing w:val="-4"/>
          <w:sz w:val="32"/>
          <w:szCs w:val="32"/>
        </w:rPr>
        <w:t>（二）项目绩效目标</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本项目总体目标为：参保人数不少于26万人，推进社保惠民，扩大全区各族群众救助范围，完善医疗保障制度，减轻参保人员负担。保障新疆各族群众发生意外伤害后得到救治救助，降低人身意外伤害风险，促进家庭和社会安定和谐，实施社保惠民工程，完善医疗保险制度。</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根据《自治区财政支出绩效评价管理暂行办法》（新财预〔2018〕189号）等文件精神，结合项目相关信息，将年度目标细化分解，最终确定该项目阶段性目标如下：</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1.产出指标</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数量指标：伊州区普惠人员参保人数不低于26万人；</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质量指标：普惠人员参保覆盖率达到100%；</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时效指标：普惠人员参保及时率达到100%。</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2.成本指标</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经济成本指标：伊州区匹配普惠人员参保支出标准不高于3元/人。</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3.效益指标</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社会效益指标：减轻参保人员负担，完善医疗保障制度。</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4.满意度指标</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满意度指标：普惠参保人员满意度不低于90%。</w:t>
      </w:r>
    </w:p>
    <w:p>
      <w:pPr>
        <w:spacing w:line="540" w:lineRule="exact"/>
        <w:rPr>
          <w:rStyle w:val="17"/>
          <w:rFonts w:ascii="黑体" w:hAnsi="黑体" w:eastAsia="黑体"/>
          <w:b w:val="0"/>
          <w:spacing w:val="-4"/>
          <w:sz w:val="32"/>
          <w:szCs w:val="32"/>
        </w:rPr>
      </w:pPr>
      <w:r>
        <w:rPr>
          <w:rStyle w:val="17"/>
          <w:rFonts w:hint="eastAsia" w:ascii="黑体" w:hAnsi="黑体" w:eastAsia="黑体"/>
          <w:b w:val="0"/>
          <w:spacing w:val="-4"/>
          <w:sz w:val="32"/>
          <w:szCs w:val="32"/>
        </w:rPr>
        <w:t>二、绩效评价工作开展情况</w:t>
      </w:r>
    </w:p>
    <w:p>
      <w:pPr>
        <w:spacing w:line="540" w:lineRule="exact"/>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我单位根据《自治区财政支出绩效评价管理暂行办法》（新财预〔2018〕189号）文件精神，对2023年全民人身意外伤害保险项目绩效目标实现情况进行自评。</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spacing w:line="540" w:lineRule="exact"/>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（二）绩效评价原则、评价指标体系、评价方法、评价标准</w:t>
      </w:r>
    </w:p>
    <w:p>
      <w:pPr>
        <w:spacing w:line="540" w:lineRule="exact"/>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1.绩效评价原则</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（1）科学公正。绩效评价应当运用科学合理的方法，按照规范的程序，对项目绩效进行客观、公正的反映。</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（3）激励约束。绩效评价结果应与预算安排、政策调整、改进管理实质性挂钩，体现奖优罚劣和激励导向，有效要安排、低效要压减、无效要问责。</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（4）公开透明。绩效评价结果应依法依规公开，并自觉接受社会监督。</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2.评价指标体系</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（1）项目决策</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项目立项：立项依据充分性，权重2分；立项程序规范性，权重2分。</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绩效目标：绩效目标明确性，权重4分；绩效目标合理性，权重4分。</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预算编制：测算标准合理性，权重3分；测算过程细化度，权重2分。</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（2）项目过程</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资金管理：资金到位率，权重6分；预算执行率，权重6分。</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组织实施：资金使用合规性，权重4分；管理制度健全性，权重4分，制度执行有效性，权重3分。</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（3）项目产出</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数量指标：伊州区普惠人员参保人数，权重6分；</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质量指标：普惠人员参保覆盖率，权重5分；</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时效指标：普惠人员参保及时率，权重5分。</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成本指标：伊州区匹配普惠人员参保支出标准，权重6分。</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（3）效益指标</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社会效益指标：减轻参保人员负担，完善医疗保障制度，权重30分；</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（4）满意度指标</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服务对象满意度指标：参保人员满意度，权重8分。</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3.评价方法</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特定类-人身意外伤害保险项目绩效评价主要通过项目单位自评、主管部门监督、财政部门参评的方式开展绩效评价工作。</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绩效评价的方法主要包括：成本效益分析法、比较法、因素分析法、最低成本法、公众评判法、核实法等。根据评价指标的具体情况，可采用一种或多种方法。</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（1）成本效益分析法。是指将投入与产出、效益进行关联性分析的方法。</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（2）比较法。是指将实施情况与绩效目标、历史情况、不同部门和地区同类支出情况进行比较的方法。</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（3）因素分析法。是指综合分析影响绩效目标实现、实施效果的内外部因素的方法。</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（4）最低成本法。是指在绩效目标确定的前提下，成本最小者为优的方法。</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（5）公众评判法。是指通过专家评估、公众问卷及抽样调查等方式进行评判的方法。</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（6）核实法。是收集包括书面资料以外的信息以证实书面资料及其所反映经济活动的真实，合法，合理，有效和正确的方法。</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4.评价标准</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绩效评价标准通常包括计划标准、行业标准、历史标准等，用于对绩效指标完成情况进行比较。</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单位自评采用定量与定性评价相结合的比较法，总分由各项指标得分汇总形成。</w:t>
      </w:r>
    </w:p>
    <w:p>
      <w:pPr>
        <w:spacing w:line="540" w:lineRule="exact"/>
        <w:rPr>
          <w:rStyle w:val="17"/>
          <w:rFonts w:hint="eastAsia"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1.前期准备</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（2）采取“年初绩效目标预定与实施效果比较法”进行评价，评价指标体系以绩效目标申报指标为依据。</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2.组织过程</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（1）项目全过程资料档案复核</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（2）检查内容和过程</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发放调查问卷开展人身意外伤害保险满意度调查工作。</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（3）撰写报告情况</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根据所搜集的印证材料，按绩效评价原理和指标体系进行分析、评价和汇总，撰写绩效自评报告，并在规定时间上报。</w:t>
      </w:r>
    </w:p>
    <w:p>
      <w:pPr>
        <w:spacing w:line="540" w:lineRule="exact"/>
        <w:rPr>
          <w:rStyle w:val="17"/>
          <w:rFonts w:ascii="黑体" w:hAnsi="黑体" w:eastAsia="黑体"/>
          <w:b w:val="0"/>
          <w:spacing w:val="-4"/>
          <w:sz w:val="32"/>
          <w:szCs w:val="32"/>
        </w:rPr>
      </w:pPr>
      <w:r>
        <w:rPr>
          <w:rStyle w:val="17"/>
          <w:rFonts w:hint="eastAsia" w:ascii="黑体" w:hAnsi="黑体" w:eastAsia="黑体"/>
          <w:b w:val="0"/>
          <w:spacing w:val="-4"/>
          <w:sz w:val="32"/>
          <w:szCs w:val="32"/>
        </w:rPr>
        <w:t>三、综合评价情况及评价结论</w:t>
      </w:r>
    </w:p>
    <w:p>
      <w:pPr>
        <w:spacing w:line="540" w:lineRule="exact"/>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本次项目自评满分100分，自评得分</w:t>
      </w:r>
      <w:r>
        <w:rPr>
          <w:rStyle w:val="17"/>
          <w:rFonts w:hint="eastAsia" w:ascii="楷体" w:hAnsi="楷体" w:eastAsia="楷体"/>
          <w:b w:val="0"/>
          <w:bCs w:val="0"/>
          <w:spacing w:val="-4"/>
          <w:sz w:val="32"/>
          <w:szCs w:val="32"/>
          <w:lang w:val="en-US" w:eastAsia="zh-CN"/>
        </w:rPr>
        <w:t>99.75</w:t>
      </w:r>
      <w:r>
        <w:rPr>
          <w:rStyle w:val="17"/>
          <w:rFonts w:hint="eastAsia" w:ascii="楷体" w:hAnsi="楷体" w:eastAsia="楷体"/>
          <w:b w:val="0"/>
          <w:bCs w:val="0"/>
          <w:spacing w:val="-4"/>
          <w:sz w:val="32"/>
          <w:szCs w:val="32"/>
        </w:rPr>
        <w:t>分，自评结果为“良”，其中项目决策得分16分，项目过程得分22.85分，项目产出得分22分，项目效益得分28分，项目满意度得分8分。</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综合评价结论：项目决策方面，项目立项符合法律法规、相关政策、发展规划以及部门职责，绩效指标清晰、细化、可衡量等，项目预算测算项目支出标准符合相关政策制度或行业、领域规定，测算过程细化清晰；项目过程方面，资金及时到位，预算资金未按计划执行，单位的财务和业务管理制度健全，遵守相关法律法规和相关管理规定，项目调整及支出调整手续是否完备，资料是否齐全并及时归档，项目实施的人员条件、场地设备、信息支撑等落实到位；项目产出方面，伊州区普惠人员参保人数达到26万人，财政补助资金使用符合法律法规、相关政策普惠人员参保覆盖率达到100%，普惠人员能及时办理参保，项目资金支付能按相关要求及时准确支付，实际支付金额低于预算金额；项目效益方面，能完善医疗保障制度、做好减轻参保人员负担的工作；项目满意度方面，参保人员对人身意外伤害保险的满意度达到100%。</w:t>
      </w:r>
    </w:p>
    <w:p>
      <w:pPr>
        <w:spacing w:line="540" w:lineRule="exact"/>
        <w:rPr>
          <w:rStyle w:val="17"/>
          <w:rFonts w:ascii="黑体" w:hAnsi="黑体" w:eastAsia="黑体"/>
        </w:rPr>
      </w:pPr>
      <w:r>
        <w:rPr>
          <w:rStyle w:val="17"/>
          <w:rFonts w:hint="eastAsia" w:ascii="黑体" w:hAnsi="黑体" w:eastAsia="黑体"/>
          <w:b w:val="0"/>
          <w:spacing w:val="-4"/>
          <w:sz w:val="32"/>
          <w:szCs w:val="32"/>
        </w:rPr>
        <w:t>四、绩效评价指标分析</w:t>
      </w:r>
      <w:r>
        <w:rPr>
          <w:rStyle w:val="17"/>
          <w:rFonts w:hint="eastAsia" w:ascii="黑体" w:hAnsi="黑体" w:eastAsia="黑体"/>
        </w:rPr>
        <w:t xml:space="preserve"> </w:t>
      </w:r>
    </w:p>
    <w:p>
      <w:pPr>
        <w:spacing w:line="540" w:lineRule="exact"/>
        <w:rPr>
          <w:rStyle w:val="17"/>
          <w:rFonts w:hint="eastAsia" w:ascii="楷体" w:hAnsi="楷体" w:eastAsia="楷体"/>
          <w:spacing w:val="-4"/>
          <w:sz w:val="32"/>
          <w:szCs w:val="32"/>
        </w:rPr>
      </w:pPr>
      <w:r>
        <w:rPr>
          <w:rFonts w:hint="eastAsia" w:ascii="楷体" w:hAnsi="楷体" w:eastAsia="楷体"/>
          <w:b/>
          <w:spacing w:val="-4"/>
          <w:sz w:val="32"/>
          <w:szCs w:val="32"/>
        </w:rPr>
        <w:t>（一）</w:t>
      </w:r>
      <w:r>
        <w:rPr>
          <w:rStyle w:val="17"/>
          <w:rFonts w:hint="eastAsia" w:ascii="楷体" w:hAnsi="楷体" w:eastAsia="楷体"/>
          <w:spacing w:val="-4"/>
          <w:sz w:val="32"/>
          <w:szCs w:val="32"/>
        </w:rPr>
        <w:t>项目决策情况</w:t>
      </w:r>
    </w:p>
    <w:p>
      <w:pPr>
        <w:spacing w:line="540" w:lineRule="exact"/>
        <w:rPr>
          <w:rStyle w:val="17"/>
          <w:rFonts w:hint="eastAsia" w:ascii="楷体" w:hAnsi="楷体" w:eastAsia="楷体"/>
          <w:b w:val="0"/>
          <w:bCs w:val="0"/>
          <w:spacing w:val="-4"/>
          <w:sz w:val="32"/>
          <w:szCs w:val="32"/>
          <w:lang w:eastAsia="zh-CN"/>
        </w:rPr>
      </w:pPr>
      <w:r>
        <w:rPr>
          <w:rStyle w:val="17"/>
          <w:rFonts w:hint="eastAsia" w:ascii="楷体" w:hAnsi="楷体" w:eastAsia="楷体"/>
          <w:b w:val="0"/>
          <w:bCs w:val="0"/>
          <w:spacing w:val="-4"/>
          <w:sz w:val="32"/>
          <w:szCs w:val="32"/>
        </w:rPr>
        <w:tab/>
      </w:r>
      <w:r>
        <w:rPr>
          <w:rStyle w:val="17"/>
          <w:rFonts w:hint="eastAsia" w:ascii="楷体" w:hAnsi="楷体" w:eastAsia="楷体"/>
          <w:b w:val="0"/>
          <w:bCs w:val="0"/>
          <w:spacing w:val="-4"/>
          <w:sz w:val="32"/>
          <w:szCs w:val="32"/>
        </w:rPr>
        <w:t>1.项目立项</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（1）立项依据充分性，满分2分，得分2分，得分率100%。</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2024年我单位根据《关于下达2024年部门预算指标的批复》组织实施该项目。项目立项符合国家法律法规、自治区和地区行业发展规划和政策要求，属于本部门履职所需。</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（2）立项程序规范性，满分2分，得分2分，得分率100%。</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项目立项符合规定程序，审批文件等材料合规、完整，有完整的评估程序和集体决策</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2.绩效目标</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（1）绩效目标明确性，满分4分，得分4分，得分率100%。</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本项目绩效目标为参保人数不少于26万人，推进社保惠民，扩大全区各族群众救助范围，完善医疗保障制度，减轻参保人员负担，已将项目绩效目标细化分解为具体的绩效指标，并通过清晰、可衡量的指标值予以体现，与项目目标任务数或计划数相对应。</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（2）绩效目标合理性，满分4分，得分3分，得分率75%。</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本项目绩效目标为参保人数不少于26万人，推进社保惠民，扩大全区各族群众救助范围，完善医疗保障制度，减轻参保人员负担，制定了项目支出绩效目标，明确了项目总体思路及总目标、并对项目任务进行了详细分解，对目标进行了细化。</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3.预算编制</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（1）测算标准合理性，满分3分，得分3分，得分率100%。</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预算编制经过科学论证，内容与项目内容匹配，项目投资额与工作任务相匹配。按照项目实施要求，由本级财政承担伊州区参保人员的2024年人身意外伤害保险总费用的30%，即262042人每人10元*30%，共计78.62万元。</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（2）测算过程细化度，满分2分，得分2分，得分率100%。</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本项目资金分配依据充分，资金分配额度合理，与项目地方实际相适应。根据部门预算批复看本项目能够按照人力、商品服务、资本性支出细化预算资金。</w:t>
      </w:r>
      <w:r>
        <w:rPr>
          <w:rStyle w:val="17"/>
          <w:rFonts w:hint="eastAsia" w:ascii="楷体" w:hAnsi="楷体" w:eastAsia="楷体"/>
          <w:b w:val="0"/>
          <w:bCs w:val="0"/>
          <w:spacing w:val="-4"/>
          <w:sz w:val="32"/>
          <w:szCs w:val="32"/>
          <w:lang w:eastAsia="zh-CN"/>
        </w:rPr>
        <w:tab/>
      </w:r>
    </w:p>
    <w:p>
      <w:pPr>
        <w:spacing w:line="540" w:lineRule="exact"/>
        <w:rPr>
          <w:rStyle w:val="17"/>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7"/>
          <w:rFonts w:hint="eastAsia" w:ascii="楷体" w:hAnsi="楷体" w:eastAsia="楷体"/>
          <w:spacing w:val="-4"/>
          <w:sz w:val="32"/>
          <w:szCs w:val="32"/>
        </w:rPr>
        <w:t>项目过程情况</w:t>
      </w:r>
    </w:p>
    <w:p>
      <w:pPr>
        <w:spacing w:line="540" w:lineRule="exact"/>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1.资金管理</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（1）资金到位率，满分6分，得分6分，得分率100%。</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该项目申请预算资金为78.62万元，财政批复预算资金78.62万元，于2024年3月及时到位，能够足额拨付到位，牵头单位能够及时足额按照合同约定将专项资金拨付给单位。</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（2）预算执行率，满分6分，得分5.85分，得分率97.55%。</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本项目预算编制较为详细，预算资金78.62万元，实际执行76.69万元，预算执行率为97.</w:t>
      </w:r>
      <w:r>
        <w:rPr>
          <w:rStyle w:val="17"/>
          <w:rFonts w:hint="eastAsia" w:ascii="楷体" w:hAnsi="楷体" w:eastAsia="楷体"/>
          <w:b w:val="0"/>
          <w:bCs w:val="0"/>
          <w:spacing w:val="-4"/>
          <w:sz w:val="32"/>
          <w:szCs w:val="32"/>
          <w:lang w:val="en-US" w:eastAsia="zh-CN"/>
        </w:rPr>
        <w:t>6</w:t>
      </w:r>
      <w:r>
        <w:rPr>
          <w:rStyle w:val="17"/>
          <w:rFonts w:hint="eastAsia" w:ascii="楷体" w:hAnsi="楷体" w:eastAsia="楷体"/>
          <w:b w:val="0"/>
          <w:bCs w:val="0"/>
          <w:spacing w:val="-4"/>
          <w:sz w:val="32"/>
          <w:szCs w:val="32"/>
        </w:rPr>
        <w:t>%，项目资金支出总体能够按照预算执行。</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2.组织实施</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（1）资金使用合规性，满分4分，得分4分，得分率100%。</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项目资金使用符合政府会计制度的相关规定，各项拨付</w:t>
      </w:r>
      <w:r>
        <w:rPr>
          <w:rStyle w:val="17"/>
          <w:rFonts w:hint="eastAsia" w:ascii="楷体" w:hAnsi="楷体" w:eastAsia="楷体"/>
          <w:b w:val="0"/>
          <w:bCs w:val="0"/>
          <w:spacing w:val="-4"/>
          <w:sz w:val="32"/>
          <w:szCs w:val="32"/>
          <w:lang w:val="en-US" w:eastAsia="zh-CN"/>
        </w:rPr>
        <w:t>经</w:t>
      </w:r>
      <w:r>
        <w:rPr>
          <w:rStyle w:val="17"/>
          <w:rFonts w:hint="eastAsia" w:ascii="楷体" w:hAnsi="楷体" w:eastAsia="楷体"/>
          <w:b w:val="0"/>
          <w:bCs w:val="0"/>
          <w:spacing w:val="-4"/>
          <w:sz w:val="32"/>
          <w:szCs w:val="32"/>
        </w:rPr>
        <w:t>领导审批，有完整的审批手续，项目支出不存在截留、挤占、挪用、虚列支出等情况，本年度审计、巡视、财政巡察未发现违规问题。</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（2）管理制度健全性，满分4分，得分4分，得分率100%。</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严格执行医疗、生育保险政策法规，规范执行《社会保险基金财务制度》和《社会保险基金会计制度》，严禁以任何形式挤占、挪用医疗保险基金，严禁擅自扩大基金支出范围或提高支出标准。切实加强基金支付管理。坚持分别建档，分</w:t>
      </w:r>
      <w:r>
        <w:rPr>
          <w:rStyle w:val="17"/>
          <w:rFonts w:hint="eastAsia" w:ascii="楷体" w:hAnsi="楷体" w:eastAsia="楷体"/>
          <w:b w:val="0"/>
          <w:bCs w:val="0"/>
          <w:spacing w:val="-4"/>
          <w:sz w:val="32"/>
          <w:szCs w:val="32"/>
          <w:lang w:val="en-US" w:eastAsia="zh-CN"/>
        </w:rPr>
        <w:t>账</w:t>
      </w:r>
      <w:r>
        <w:rPr>
          <w:rStyle w:val="17"/>
          <w:rFonts w:hint="eastAsia" w:ascii="楷体" w:hAnsi="楷体" w:eastAsia="楷体"/>
          <w:b w:val="0"/>
          <w:bCs w:val="0"/>
          <w:spacing w:val="-4"/>
          <w:sz w:val="32"/>
          <w:szCs w:val="32"/>
        </w:rPr>
        <w:t>核算，严格执行社会保险基金财务制度，实行专款专用，对基金收支、运行、管理实行全过程监控，推行基金常态化规范支付管理。制度健全、执行严格。</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（3）制度执行有效性，满分3分，得分3分，得分率100%。</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我单位合理设置医保经办和财务人员的业务管理权限，建立健全各岗位之间相互联系、互相制约的工作机制，落实银行、税务、经办等对帐制度，防范基金支付、经办审核的岗位风险，同时对财政专项资金进行严格管理，基本做到了专款专用。</w:t>
      </w:r>
    </w:p>
    <w:p>
      <w:pPr>
        <w:spacing w:line="540" w:lineRule="exact"/>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7"/>
          <w:rFonts w:hint="eastAsia" w:ascii="楷体" w:hAnsi="楷体" w:eastAsia="楷体"/>
          <w:spacing w:val="-4"/>
          <w:sz w:val="32"/>
          <w:szCs w:val="32"/>
        </w:rPr>
        <w:t>项目产出情况</w:t>
      </w:r>
    </w:p>
    <w:p>
      <w:pPr>
        <w:spacing w:line="540" w:lineRule="exact"/>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1.产出数量</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伊州区普惠人员参保人数，满分6分，得分6分，得分率100%。</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依据伊州区医疗保险参保系统统计，伊州区2024年预计医疗保险参保人数达到26万人。实际医保参保人数系统中显示超过26万人。</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2.产出质量</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普惠人员参保覆盖率，满分5分，得分5分，得分率100%。</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依据财政补助资金使用的各项规定及《关于建立和实施人身意外伤害保险的通知》(新人社发〔2016〕140号)文件，在资金使用过程中符合法律法规和相关政策并且全面覆盖医疗保险参保人群。</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3.产出时效</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普惠人员参保及时率，满分5分，得分5分，得分率100%。</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依据《关于建立和实施人身意外伤害保险的通知》(新人社发〔2016〕140号)文件和哈密市财政局相关通知，我单位及时将项目资金按要求及时足额准确上解至哈密市财政局国库，按时完成人身意外伤害保险参保工作。</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4.产出成本</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伊州区匹配普惠人员参保支出标准，满分6分，得分6分，得分率100%。</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依据《关于建立和实施人身意外伤害保险的通知》(新人社发〔2016〕140号)文件和医保参保人数预计情况，按照项目实施要求，由本级财政承担伊州区参保人员的2024年人身意外伤害保险总费用的30%，即每年每人3元。</w:t>
      </w:r>
    </w:p>
    <w:p>
      <w:pPr>
        <w:spacing w:line="540" w:lineRule="exact"/>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7"/>
          <w:rFonts w:hint="eastAsia" w:ascii="楷体" w:hAnsi="楷体" w:eastAsia="楷体"/>
          <w:spacing w:val="-4"/>
          <w:sz w:val="32"/>
          <w:szCs w:val="32"/>
        </w:rPr>
        <w:t>项目</w:t>
      </w:r>
      <w:r>
        <w:rPr>
          <w:rStyle w:val="17"/>
          <w:rFonts w:hint="eastAsia" w:ascii="楷体" w:hAnsi="楷体" w:eastAsia="楷体"/>
          <w:spacing w:val="-4"/>
          <w:sz w:val="32"/>
          <w:szCs w:val="32"/>
          <w:lang w:val="en-US" w:eastAsia="zh-CN"/>
        </w:rPr>
        <w:t>成本</w:t>
      </w:r>
      <w:r>
        <w:rPr>
          <w:rStyle w:val="17"/>
          <w:rFonts w:hint="eastAsia" w:ascii="楷体" w:hAnsi="楷体" w:eastAsia="楷体"/>
          <w:spacing w:val="-4"/>
          <w:sz w:val="32"/>
          <w:szCs w:val="32"/>
        </w:rPr>
        <w:t>情况</w:t>
      </w:r>
    </w:p>
    <w:p>
      <w:pPr>
        <w:spacing w:line="540" w:lineRule="exact"/>
        <w:rPr>
          <w:rStyle w:val="17"/>
          <w:rFonts w:hint="default" w:ascii="楷体" w:hAnsi="楷体" w:eastAsia="楷体"/>
          <w:b w:val="0"/>
          <w:bCs w:val="0"/>
          <w:spacing w:val="-4"/>
          <w:sz w:val="32"/>
          <w:szCs w:val="32"/>
          <w:lang w:val="en-US" w:eastAsia="zh-CN"/>
        </w:rPr>
      </w:pPr>
      <w:r>
        <w:rPr>
          <w:rStyle w:val="17"/>
          <w:rFonts w:hint="eastAsia" w:ascii="楷体" w:hAnsi="楷体" w:eastAsia="楷体"/>
          <w:b w:val="0"/>
          <w:bCs w:val="0"/>
          <w:spacing w:val="-4"/>
          <w:sz w:val="32"/>
          <w:szCs w:val="32"/>
        </w:rPr>
        <w:t>1.社会效益</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减轻参保人员负担，完善医疗保障制度，满分30分，得分28分，得分率93.33%。</w:t>
      </w:r>
      <w:r>
        <w:rPr>
          <w:rStyle w:val="17"/>
          <w:rFonts w:hint="eastAsia" w:ascii="楷体" w:hAnsi="楷体" w:eastAsia="楷体"/>
          <w:b w:val="0"/>
          <w:bCs w:val="0"/>
          <w:spacing w:val="-4"/>
          <w:sz w:val="32"/>
          <w:szCs w:val="32"/>
        </w:rPr>
        <w:cr/>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项目实施后本年度内保险公司能及时对被保险人发生意外事故、残疾和住院医疗等发放补助。提高城乡居民健康保障能力，加强困难群体抵御风险能力，减少因意外伤害而返贫方面必将发挥重要作用，通过建立和实施人身意外伤害保险，切实解决好群众最关心、最直接、最现实的切身利益问题，让人民群众有更多的获得感、幸福感。</w:t>
      </w:r>
    </w:p>
    <w:p>
      <w:pPr>
        <w:spacing w:line="540" w:lineRule="exact"/>
        <w:rPr>
          <w:rStyle w:val="17"/>
          <w:rFonts w:hint="eastAsia" w:ascii="楷体" w:hAnsi="楷体" w:eastAsia="楷体"/>
          <w:b w:val="0"/>
          <w:bCs w:val="0"/>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Fonts w:hint="eastAsia" w:ascii="楷体" w:hAnsi="楷体" w:eastAsia="楷体"/>
          <w:b/>
          <w:spacing w:val="-4"/>
          <w:sz w:val="32"/>
          <w:szCs w:val="32"/>
          <w:lang w:eastAsia="zh-CN"/>
        </w:rPr>
        <w:t>满意度</w:t>
      </w:r>
      <w:r>
        <w:rPr>
          <w:rStyle w:val="17"/>
          <w:rFonts w:hint="eastAsia" w:ascii="楷体" w:hAnsi="楷体" w:eastAsia="楷体"/>
          <w:spacing w:val="-4"/>
          <w:sz w:val="32"/>
          <w:szCs w:val="32"/>
        </w:rPr>
        <w:t>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b w:val="0"/>
          <w:bCs w:val="0"/>
          <w:spacing w:val="-4"/>
          <w:sz w:val="32"/>
          <w:szCs w:val="32"/>
        </w:rPr>
        <w:t>参保人员满意度，满分8分，得分8分，得分率100%。</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参保人员对人身意外伤害保险的满意度达到100%。在伊州区随机寻找50名医疗参保人员发放50份问卷，具体询问参保人员对人身意外伤害保险政策的满意程度，满意为50份，满意度达到100%。</w:t>
      </w:r>
    </w:p>
    <w:p>
      <w:pPr>
        <w:spacing w:line="540" w:lineRule="exact"/>
        <w:rPr>
          <w:rStyle w:val="17"/>
          <w:rFonts w:ascii="黑体" w:hAnsi="黑体" w:eastAsia="黑体"/>
          <w:b w:val="0"/>
          <w:spacing w:val="-4"/>
          <w:sz w:val="32"/>
          <w:szCs w:val="32"/>
        </w:rPr>
      </w:pPr>
      <w:r>
        <w:rPr>
          <w:rStyle w:val="17"/>
          <w:rFonts w:hint="eastAsia" w:ascii="黑体" w:hAnsi="黑体" w:eastAsia="黑体"/>
          <w:b w:val="0"/>
          <w:spacing w:val="-4"/>
          <w:sz w:val="32"/>
          <w:szCs w:val="32"/>
          <w:lang w:val="en-US" w:eastAsia="zh-CN"/>
        </w:rPr>
        <w:t>五</w:t>
      </w:r>
      <w:r>
        <w:rPr>
          <w:rStyle w:val="17"/>
          <w:rFonts w:hint="eastAsia" w:ascii="黑体" w:hAnsi="黑体" w:eastAsia="黑体"/>
          <w:b w:val="0"/>
          <w:spacing w:val="-4"/>
          <w:sz w:val="32"/>
          <w:szCs w:val="32"/>
        </w:rPr>
        <w:t>、主要经验及做法、存在的问题及原因分析</w:t>
      </w:r>
    </w:p>
    <w:p>
      <w:pPr>
        <w:spacing w:line="540" w:lineRule="exact"/>
        <w:rPr>
          <w:rFonts w:ascii="仿宋_GB2312" w:eastAsia="仿宋_GB2312"/>
          <w:spacing w:val="-4"/>
          <w:sz w:val="32"/>
          <w:szCs w:val="32"/>
        </w:rPr>
      </w:pPr>
      <w:r>
        <w:rPr>
          <w:rStyle w:val="17"/>
          <w:rFonts w:hint="eastAsia" w:ascii="楷体" w:hAnsi="楷体" w:eastAsia="楷体"/>
          <w:b w:val="0"/>
          <w:bCs w:val="0"/>
          <w:spacing w:val="-4"/>
          <w:sz w:val="32"/>
          <w:szCs w:val="32"/>
        </w:rPr>
        <w:t>（一）主要经验及做法</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依据《中华人民共和国预算法》、《中共中央国务院关于全面实施预算绩效管理的意见》（中发〔2019〕34号）、《自治区党委自治区人民政府关于全面实施预算绩效管理的实施意见》（新党发〔2019〕30号）、《自治区全面实施预算绩效管理的工作方案》（新财预〔2019〕158号）、《自治区财政支出绩效评价管理暂行办法》（新财预〔2019〕189号）系列文件要求，本次绩效评价秉承科学规范、公正公开、分级分类、绩效相关等原则，按照从投入、过程到产出效果和影响的绩效逻辑路径，结合伊州区2024年城乡居民基本医疗保险财政补助项目实际开展情况，运用定量和定性分析相结合的方法，总结经验做法，反思项目实施和管理中的问题，以切实提升财政资金管理的科学化、规范化和精细化水平。（二）存在问题及原因分析</w:t>
      </w:r>
      <w:r>
        <w:rPr>
          <w:rStyle w:val="17"/>
          <w:rFonts w:hint="eastAsia" w:ascii="楷体" w:hAnsi="楷体" w:eastAsia="楷体"/>
          <w:b w:val="0"/>
          <w:bCs w:val="0"/>
          <w:spacing w:val="-4"/>
          <w:sz w:val="32"/>
          <w:szCs w:val="32"/>
        </w:rPr>
        <w:br/>
      </w:r>
      <w:r>
        <w:rPr>
          <w:rStyle w:val="17"/>
          <w:rFonts w:hint="eastAsia" w:ascii="楷体" w:hAnsi="楷体" w:eastAsia="楷体"/>
          <w:b w:val="0"/>
          <w:bCs w:val="0"/>
          <w:spacing w:val="-4"/>
          <w:sz w:val="32"/>
          <w:szCs w:val="32"/>
        </w:rPr>
        <w:t>人身意外伤害保险需要不停的完善和改进，不断的总结经验，才能推进社保惠民，扩大全区各族群众医疗救助范围。</w:t>
      </w:r>
    </w:p>
    <w:p>
      <w:pPr>
        <w:spacing w:line="540" w:lineRule="exact"/>
        <w:rPr>
          <w:rStyle w:val="17"/>
          <w:rFonts w:hint="eastAsia" w:ascii="黑体" w:hAnsi="黑体" w:eastAsia="黑体"/>
          <w:b w:val="0"/>
          <w:spacing w:val="-4"/>
          <w:sz w:val="32"/>
          <w:szCs w:val="32"/>
        </w:rPr>
      </w:pPr>
      <w:r>
        <w:rPr>
          <w:rStyle w:val="17"/>
          <w:rFonts w:hint="eastAsia" w:ascii="黑体" w:hAnsi="黑体" w:eastAsia="黑体"/>
          <w:b w:val="0"/>
          <w:spacing w:val="-4"/>
          <w:sz w:val="32"/>
          <w:szCs w:val="32"/>
          <w:u w:val="dotted"/>
          <w:lang w:val="en-US" w:eastAsia="zh-CN"/>
        </w:rPr>
        <w:t>六</w:t>
      </w:r>
      <w:r>
        <w:rPr>
          <w:rStyle w:val="17"/>
          <w:rFonts w:hint="eastAsia" w:ascii="黑体" w:hAnsi="黑体" w:eastAsia="黑体"/>
          <w:b w:val="0"/>
          <w:spacing w:val="-4"/>
          <w:sz w:val="32"/>
          <w:szCs w:val="32"/>
        </w:rPr>
        <w:t>、有关建议</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b w:val="0"/>
          <w:bCs w:val="0"/>
          <w:spacing w:val="-4"/>
          <w:sz w:val="32"/>
          <w:szCs w:val="32"/>
        </w:rPr>
        <w:t>落实监管常态化，建立健全监管制度，扩大智能监控系统应用范围和应用场景，持续探索星级制考核模式，广泛宣传监督举报机制，形成全社会参与的基金监管氛围，严厉打击欺诈骗保，坚持底线思维，努力实现基金监管法制化和规范化。压实工作责任，强化部门联动，</w:t>
      </w:r>
      <w:r>
        <w:rPr>
          <w:rStyle w:val="17"/>
          <w:rFonts w:hint="eastAsia" w:ascii="楷体" w:hAnsi="楷体" w:eastAsia="楷体"/>
          <w:b w:val="0"/>
          <w:bCs w:val="0"/>
          <w:spacing w:val="-4"/>
          <w:sz w:val="32"/>
          <w:szCs w:val="32"/>
          <w:lang w:val="en-US" w:eastAsia="zh-CN"/>
        </w:rPr>
        <w:t>加</w:t>
      </w:r>
      <w:r>
        <w:rPr>
          <w:rStyle w:val="17"/>
          <w:rFonts w:hint="eastAsia" w:ascii="楷体" w:hAnsi="楷体" w:eastAsia="楷体"/>
          <w:b w:val="0"/>
          <w:bCs w:val="0"/>
          <w:spacing w:val="-4"/>
          <w:sz w:val="32"/>
          <w:szCs w:val="32"/>
        </w:rPr>
        <w:t>大力度做好医保宣传工作，提高群众参保意识。</w:t>
      </w:r>
      <w:bookmarkStart w:id="0" w:name="_GoBack"/>
      <w:bookmarkEnd w:id="0"/>
      <w:r>
        <w:rPr>
          <w:rStyle w:val="17"/>
          <w:rFonts w:hint="eastAsia" w:ascii="楷体" w:hAnsi="楷体" w:eastAsia="楷体"/>
          <w:b w:val="0"/>
          <w:bCs w:val="0"/>
          <w:spacing w:val="-4"/>
          <w:sz w:val="32"/>
          <w:szCs w:val="32"/>
        </w:rPr>
        <w:t>贯彻落实基本医疗保险制度，增强人身意外伤害保险托底保障功能。进一步完善人身意外伤害保险经办流程，加强医保公共服务标准化信息化建设，持续提升医疗保障服务能力和水平。建立健全医保经办服务体系，打造人民满意的医保公共服务的目标。</w:t>
      </w:r>
    </w:p>
    <w:p>
      <w:pPr>
        <w:spacing w:line="540" w:lineRule="exact"/>
        <w:rPr>
          <w:rStyle w:val="17"/>
          <w:rFonts w:ascii="黑体" w:hAnsi="黑体" w:eastAsia="黑体"/>
          <w:b w:val="0"/>
          <w:spacing w:val="-4"/>
          <w:sz w:val="32"/>
          <w:szCs w:val="32"/>
        </w:rPr>
      </w:pPr>
      <w:r>
        <w:rPr>
          <w:rStyle w:val="17"/>
          <w:rFonts w:hint="eastAsia" w:ascii="黑体" w:hAnsi="黑体" w:eastAsia="黑体"/>
          <w:b w:val="0"/>
          <w:spacing w:val="-4"/>
          <w:sz w:val="32"/>
          <w:szCs w:val="32"/>
          <w:lang w:val="en-US" w:eastAsia="zh-CN"/>
        </w:rPr>
        <w:t>七</w:t>
      </w:r>
      <w:r>
        <w:rPr>
          <w:rStyle w:val="17"/>
          <w:rFonts w:hint="eastAsia" w:ascii="黑体" w:hAnsi="黑体" w:eastAsia="黑体"/>
          <w:b w:val="0"/>
          <w:spacing w:val="-4"/>
          <w:sz w:val="32"/>
          <w:szCs w:val="32"/>
        </w:rPr>
        <w:t>、其他需要说明的问题</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无</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headerReference r:id="rId4" w:type="default"/>
      <w:footerReference r:id="rId5" w:type="default"/>
      <w:pgSz w:w="11906" w:h="16838"/>
      <w:pgMar w:top="1440" w:right="1558" w:bottom="1440" w:left="175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Cambria">
    <w:panose1 w:val="02040503050406030204"/>
    <w:charset w:val="00"/>
    <w:family w:val="auto"/>
    <w:pitch w:val="default"/>
    <w:sig w:usb0="E00006FF" w:usb1="420024FF" w:usb2="02000000" w:usb3="00000000" w:csb0="2000019F" w:csb1="00000000"/>
  </w:font>
  <w:font w:name="Calibri">
    <w:panose1 w:val="020F0502020204030204"/>
    <w:charset w:val="00"/>
    <w:family w:val="auto"/>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2"/>
      <w:jc w:val="center"/>
    </w:pPr>
    <w:r>
      <w:fldChar w:fldCharType="begin"/>
    </w:r>
    <w:r>
      <w:instrText xml:space="preserve">PAGE   \* MERGEFORMAT</w:instrText>
    </w:r>
    <w:r>
      <w:fldChar w:fldCharType="separate"/>
    </w:r>
    <w:r>
      <w:rPr>
        <w:lang w:val="zh-CN"/>
      </w:rPr>
      <w:t>1</w:t>
    </w:r>
    <w:r>
      <w:fldChar w:fldCharType="end"/>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annotation subject"/>
    <w:lsdException w:qFormat="1" w:uiPriority="99"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qFormat/>
    <w:uiPriority w:val="9"/>
    <w:pPr>
      <w:keepNext/>
      <w:widowControl/>
      <w:spacing w:before="240" w:after="60"/>
      <w:jc w:val="left"/>
      <w:outlineLvl w:val="0"/>
    </w:pPr>
    <w:rPr>
      <w:rFonts w:ascii="Cambria" w:hAnsi="Cambria" w:eastAsia="宋体"/>
      <w:b/>
      <w:bCs/>
      <w:kern w:val="32"/>
      <w:sz w:val="32"/>
      <w:szCs w:val="32"/>
    </w:rPr>
  </w:style>
  <w:style w:type="paragraph" w:styleId="3">
    <w:name w:val="heading 2"/>
    <w:basedOn w:val="1"/>
    <w:next w:val="1"/>
    <w:link w:val="25"/>
    <w:semiHidden/>
    <w:unhideWhenUsed/>
    <w:qFormat/>
    <w:uiPriority w:val="9"/>
    <w:pPr>
      <w:keepNext/>
      <w:widowControl/>
      <w:spacing w:before="240" w:after="60"/>
      <w:jc w:val="left"/>
      <w:outlineLvl w:val="1"/>
    </w:pPr>
    <w:rPr>
      <w:rFonts w:ascii="Cambria" w:hAnsi="Cambria" w:eastAsia="宋体"/>
      <w:b/>
      <w:bCs/>
      <w:i/>
      <w:iCs/>
      <w:kern w:val="0"/>
      <w:sz w:val="28"/>
      <w:szCs w:val="28"/>
    </w:rPr>
  </w:style>
  <w:style w:type="paragraph" w:styleId="4">
    <w:name w:val="heading 3"/>
    <w:basedOn w:val="1"/>
    <w:next w:val="1"/>
    <w:link w:val="26"/>
    <w:semiHidden/>
    <w:unhideWhenUsed/>
    <w:qFormat/>
    <w:uiPriority w:val="9"/>
    <w:pPr>
      <w:keepNext/>
      <w:widowControl/>
      <w:spacing w:before="240" w:after="60"/>
      <w:jc w:val="left"/>
      <w:outlineLvl w:val="2"/>
    </w:pPr>
    <w:rPr>
      <w:rFonts w:ascii="Cambria" w:hAnsi="Cambria" w:eastAsia="宋体"/>
      <w:b/>
      <w:bCs/>
      <w:kern w:val="0"/>
      <w:sz w:val="26"/>
      <w:szCs w:val="26"/>
    </w:rPr>
  </w:style>
  <w:style w:type="paragraph" w:styleId="5">
    <w:name w:val="heading 4"/>
    <w:basedOn w:val="1"/>
    <w:next w:val="1"/>
    <w:link w:val="27"/>
    <w:semiHidden/>
    <w:unhideWhenUsed/>
    <w:qFormat/>
    <w:uiPriority w:val="9"/>
    <w:pPr>
      <w:keepNext/>
      <w:widowControl/>
      <w:spacing w:before="240" w:after="60"/>
      <w:jc w:val="left"/>
      <w:outlineLvl w:val="3"/>
    </w:pPr>
    <w:rPr>
      <w:rFonts w:ascii="Calibri" w:hAnsi="Calibri" w:eastAsia="宋体"/>
      <w:b/>
      <w:bCs/>
      <w:kern w:val="0"/>
      <w:sz w:val="28"/>
      <w:szCs w:val="28"/>
    </w:rPr>
  </w:style>
  <w:style w:type="paragraph" w:styleId="6">
    <w:name w:val="heading 5"/>
    <w:basedOn w:val="1"/>
    <w:next w:val="1"/>
    <w:link w:val="28"/>
    <w:semiHidden/>
    <w:unhideWhenUsed/>
    <w:qFormat/>
    <w:uiPriority w:val="9"/>
    <w:pPr>
      <w:widowControl/>
      <w:spacing w:before="240" w:after="60"/>
      <w:jc w:val="left"/>
      <w:outlineLvl w:val="4"/>
    </w:pPr>
    <w:rPr>
      <w:rFonts w:ascii="Calibri" w:hAnsi="Calibri" w:eastAsia="宋体"/>
      <w:b/>
      <w:bCs/>
      <w:i/>
      <w:iCs/>
      <w:kern w:val="0"/>
      <w:sz w:val="26"/>
      <w:szCs w:val="26"/>
    </w:rPr>
  </w:style>
  <w:style w:type="paragraph" w:styleId="7">
    <w:name w:val="heading 6"/>
    <w:basedOn w:val="1"/>
    <w:next w:val="1"/>
    <w:link w:val="29"/>
    <w:semiHidden/>
    <w:unhideWhenUsed/>
    <w:qFormat/>
    <w:uiPriority w:val="9"/>
    <w:pPr>
      <w:widowControl/>
      <w:spacing w:before="240" w:after="60"/>
      <w:jc w:val="left"/>
      <w:outlineLvl w:val="5"/>
    </w:pPr>
    <w:rPr>
      <w:rFonts w:ascii="Calibri" w:hAnsi="Calibri" w:eastAsia="宋体"/>
      <w:b/>
      <w:bCs/>
      <w:kern w:val="0"/>
      <w:sz w:val="22"/>
      <w:szCs w:val="22"/>
    </w:rPr>
  </w:style>
  <w:style w:type="paragraph" w:styleId="8">
    <w:name w:val="heading 7"/>
    <w:basedOn w:val="1"/>
    <w:next w:val="1"/>
    <w:link w:val="30"/>
    <w:semiHidden/>
    <w:unhideWhenUsed/>
    <w:qFormat/>
    <w:uiPriority w:val="9"/>
    <w:pPr>
      <w:widowControl/>
      <w:spacing w:before="240" w:after="60"/>
      <w:jc w:val="left"/>
      <w:outlineLvl w:val="6"/>
    </w:pPr>
    <w:rPr>
      <w:rFonts w:ascii="Calibri" w:hAnsi="Calibri" w:eastAsia="宋体"/>
      <w:kern w:val="0"/>
      <w:sz w:val="24"/>
    </w:rPr>
  </w:style>
  <w:style w:type="paragraph" w:styleId="9">
    <w:name w:val="heading 8"/>
    <w:basedOn w:val="1"/>
    <w:next w:val="1"/>
    <w:link w:val="31"/>
    <w:semiHidden/>
    <w:unhideWhenUsed/>
    <w:qFormat/>
    <w:uiPriority w:val="9"/>
    <w:pPr>
      <w:widowControl/>
      <w:spacing w:before="240" w:after="60"/>
      <w:jc w:val="left"/>
      <w:outlineLvl w:val="7"/>
    </w:pPr>
    <w:rPr>
      <w:rFonts w:ascii="Calibri" w:hAnsi="Calibri" w:eastAsia="宋体"/>
      <w:i/>
      <w:iCs/>
      <w:kern w:val="0"/>
      <w:sz w:val="24"/>
    </w:rPr>
  </w:style>
  <w:style w:type="paragraph" w:styleId="10">
    <w:name w:val="heading 9"/>
    <w:basedOn w:val="1"/>
    <w:next w:val="1"/>
    <w:link w:val="32"/>
    <w:semiHidden/>
    <w:unhideWhenUsed/>
    <w:qFormat/>
    <w:uiPriority w:val="9"/>
    <w:pPr>
      <w:widowControl/>
      <w:spacing w:before="240" w:after="60"/>
      <w:jc w:val="left"/>
      <w:outlineLvl w:val="8"/>
    </w:pPr>
    <w:rPr>
      <w:rFonts w:ascii="Cambria" w:hAnsi="Cambria" w:eastAsia="宋体"/>
      <w:kern w:val="0"/>
      <w:sz w:val="22"/>
      <w:szCs w:val="22"/>
    </w:rPr>
  </w:style>
  <w:style w:type="character" w:default="1" w:styleId="16">
    <w:name w:val="Default Paragraph Font"/>
    <w:semiHidden/>
    <w:unhideWhenUsed/>
    <w:qFormat/>
    <w:uiPriority w:val="1"/>
  </w:style>
  <w:style w:type="paragraph" w:styleId="11">
    <w:name w:val="Balloon Text"/>
    <w:basedOn w:val="1"/>
    <w:link w:val="44"/>
    <w:semiHidden/>
    <w:unhideWhenUsed/>
    <w:qFormat/>
    <w:uiPriority w:val="99"/>
    <w:rPr>
      <w:sz w:val="18"/>
      <w:szCs w:val="18"/>
    </w:rPr>
  </w:style>
  <w:style w:type="paragraph" w:styleId="12">
    <w:name w:val="footer"/>
    <w:basedOn w:val="1"/>
    <w:link w:val="43"/>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2"/>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4"/>
    <w:qFormat/>
    <w:uiPriority w:val="11"/>
    <w:pPr>
      <w:widowControl/>
      <w:spacing w:after="60"/>
      <w:jc w:val="center"/>
      <w:outlineLvl w:val="1"/>
    </w:pPr>
    <w:rPr>
      <w:rFonts w:ascii="Cambria" w:hAnsi="Cambria" w:eastAsia="宋体"/>
      <w:kern w:val="0"/>
      <w:sz w:val="24"/>
    </w:rPr>
  </w:style>
  <w:style w:type="paragraph" w:styleId="15">
    <w:name w:val="Title"/>
    <w:basedOn w:val="1"/>
    <w:next w:val="1"/>
    <w:link w:val="33"/>
    <w:qFormat/>
    <w:uiPriority w:val="10"/>
    <w:pPr>
      <w:widowControl/>
      <w:spacing w:before="240" w:after="60"/>
      <w:jc w:val="center"/>
      <w:outlineLvl w:val="0"/>
    </w:pPr>
    <w:rPr>
      <w:rFonts w:ascii="Cambria" w:hAnsi="Cambria" w:eastAsia="宋体"/>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Calibri" w:hAnsi="Calibri"/>
      <w:b/>
      <w:i/>
      <w:iCs/>
    </w:rPr>
  </w:style>
  <w:style w:type="paragraph" w:customStyle="1" w:styleId="19">
    <w:name w:val="No Spacing"/>
    <w:basedOn w:val="1"/>
    <w:qFormat/>
    <w:uiPriority w:val="1"/>
    <w:pPr>
      <w:widowControl/>
      <w:jc w:val="left"/>
    </w:pPr>
    <w:rPr>
      <w:rFonts w:ascii="Calibri" w:hAnsi="Calibri" w:eastAsia="宋体" w:cs="Times New Roman"/>
      <w:kern w:val="0"/>
      <w:sz w:val="24"/>
      <w:szCs w:val="32"/>
      <w:lang w:eastAsia="en-US" w:bidi="en-US"/>
    </w:rPr>
  </w:style>
  <w:style w:type="paragraph" w:customStyle="1" w:styleId="20">
    <w:name w:val="List Paragraph"/>
    <w:basedOn w:val="1"/>
    <w:qFormat/>
    <w:uiPriority w:val="34"/>
    <w:pPr>
      <w:widowControl/>
      <w:ind w:left="720"/>
      <w:contextualSpacing/>
      <w:jc w:val="left"/>
    </w:pPr>
    <w:rPr>
      <w:rFonts w:ascii="Calibri" w:hAnsi="Calibri" w:eastAsia="宋体"/>
      <w:kern w:val="0"/>
      <w:sz w:val="24"/>
      <w:lang w:eastAsia="en-US" w:bidi="en-US"/>
    </w:rPr>
  </w:style>
  <w:style w:type="paragraph" w:customStyle="1" w:styleId="21">
    <w:name w:val="Quote"/>
    <w:basedOn w:val="1"/>
    <w:next w:val="1"/>
    <w:link w:val="35"/>
    <w:qFormat/>
    <w:uiPriority w:val="29"/>
    <w:pPr>
      <w:widowControl/>
      <w:jc w:val="left"/>
    </w:pPr>
    <w:rPr>
      <w:rFonts w:ascii="Calibri" w:hAnsi="Calibri" w:eastAsia="宋体"/>
      <w:i/>
      <w:kern w:val="0"/>
      <w:sz w:val="24"/>
    </w:rPr>
  </w:style>
  <w:style w:type="paragraph" w:customStyle="1" w:styleId="22">
    <w:name w:val="Intense Quote"/>
    <w:basedOn w:val="1"/>
    <w:next w:val="1"/>
    <w:link w:val="36"/>
    <w:qFormat/>
    <w:uiPriority w:val="30"/>
    <w:pPr>
      <w:widowControl/>
      <w:ind w:left="720" w:right="720"/>
      <w:jc w:val="left"/>
    </w:pPr>
    <w:rPr>
      <w:rFonts w:ascii="Calibri" w:hAnsi="Calibri" w:eastAsia="宋体"/>
      <w:b/>
      <w:i/>
      <w:kern w:val="0"/>
      <w:sz w:val="24"/>
      <w:szCs w:val="22"/>
    </w:rPr>
  </w:style>
  <w:style w:type="paragraph" w:customStyle="1" w:styleId="23">
    <w:name w:val="TOC 标题1"/>
    <w:basedOn w:val="2"/>
    <w:next w:val="1"/>
    <w:semiHidden/>
    <w:unhideWhenUsed/>
    <w:qFormat/>
    <w:uiPriority w:val="39"/>
    <w:pPr>
      <w:outlineLvl w:val="9"/>
    </w:pPr>
    <w:rPr>
      <w:lang w:eastAsia="en-US" w:bidi="en-US"/>
    </w:rPr>
  </w:style>
  <w:style w:type="character" w:customStyle="1" w:styleId="24">
    <w:name w:val="标题 1 字符"/>
    <w:basedOn w:val="16"/>
    <w:link w:val="2"/>
    <w:qFormat/>
    <w:uiPriority w:val="9"/>
    <w:rPr>
      <w:rFonts w:ascii="Cambria" w:hAnsi="Cambria" w:eastAsia="宋体"/>
      <w:b/>
      <w:bCs/>
      <w:kern w:val="32"/>
      <w:sz w:val="32"/>
      <w:szCs w:val="32"/>
    </w:rPr>
  </w:style>
  <w:style w:type="character" w:customStyle="1" w:styleId="25">
    <w:name w:val="标题 2 字符"/>
    <w:basedOn w:val="16"/>
    <w:link w:val="3"/>
    <w:semiHidden/>
    <w:qFormat/>
    <w:uiPriority w:val="9"/>
    <w:rPr>
      <w:rFonts w:ascii="Cambria" w:hAnsi="Cambria" w:eastAsia="宋体"/>
      <w:b/>
      <w:bCs/>
      <w:i/>
      <w:iCs/>
      <w:sz w:val="28"/>
      <w:szCs w:val="28"/>
    </w:rPr>
  </w:style>
  <w:style w:type="character" w:customStyle="1" w:styleId="26">
    <w:name w:val="标题 3 字符"/>
    <w:basedOn w:val="16"/>
    <w:link w:val="4"/>
    <w:semiHidden/>
    <w:qFormat/>
    <w:uiPriority w:val="9"/>
    <w:rPr>
      <w:rFonts w:ascii="Cambria" w:hAnsi="Cambria" w:eastAsia="宋体"/>
      <w:b/>
      <w:bCs/>
      <w:sz w:val="26"/>
      <w:szCs w:val="26"/>
    </w:rPr>
  </w:style>
  <w:style w:type="character" w:customStyle="1" w:styleId="27">
    <w:name w:val="标题 4 字符"/>
    <w:basedOn w:val="16"/>
    <w:link w:val="5"/>
    <w:semiHidden/>
    <w:qFormat/>
    <w:uiPriority w:val="9"/>
    <w:rPr>
      <w:b/>
      <w:bCs/>
      <w:sz w:val="28"/>
      <w:szCs w:val="28"/>
    </w:rPr>
  </w:style>
  <w:style w:type="character" w:customStyle="1" w:styleId="28">
    <w:name w:val="标题 5 字符"/>
    <w:basedOn w:val="16"/>
    <w:link w:val="6"/>
    <w:semiHidden/>
    <w:qFormat/>
    <w:uiPriority w:val="9"/>
    <w:rPr>
      <w:b/>
      <w:bCs/>
      <w:i/>
      <w:iCs/>
      <w:sz w:val="26"/>
      <w:szCs w:val="26"/>
    </w:rPr>
  </w:style>
  <w:style w:type="character" w:customStyle="1" w:styleId="29">
    <w:name w:val="标题 6 字符"/>
    <w:basedOn w:val="16"/>
    <w:link w:val="7"/>
    <w:semiHidden/>
    <w:qFormat/>
    <w:uiPriority w:val="9"/>
    <w:rPr>
      <w:b/>
      <w:bCs/>
    </w:rPr>
  </w:style>
  <w:style w:type="character" w:customStyle="1" w:styleId="30">
    <w:name w:val="标题 7 字符"/>
    <w:basedOn w:val="16"/>
    <w:link w:val="8"/>
    <w:semiHidden/>
    <w:qFormat/>
    <w:uiPriority w:val="9"/>
    <w:rPr>
      <w:sz w:val="24"/>
      <w:szCs w:val="24"/>
    </w:rPr>
  </w:style>
  <w:style w:type="character" w:customStyle="1" w:styleId="31">
    <w:name w:val="标题 8 字符"/>
    <w:basedOn w:val="16"/>
    <w:link w:val="9"/>
    <w:semiHidden/>
    <w:qFormat/>
    <w:uiPriority w:val="9"/>
    <w:rPr>
      <w:i/>
      <w:iCs/>
      <w:sz w:val="24"/>
      <w:szCs w:val="24"/>
    </w:rPr>
  </w:style>
  <w:style w:type="character" w:customStyle="1" w:styleId="32">
    <w:name w:val="标题 9 字符"/>
    <w:basedOn w:val="16"/>
    <w:link w:val="10"/>
    <w:semiHidden/>
    <w:qFormat/>
    <w:uiPriority w:val="9"/>
    <w:rPr>
      <w:rFonts w:ascii="Cambria" w:hAnsi="Cambria" w:eastAsia="宋体"/>
    </w:rPr>
  </w:style>
  <w:style w:type="character" w:customStyle="1" w:styleId="33">
    <w:name w:val="标题 字符"/>
    <w:basedOn w:val="16"/>
    <w:link w:val="15"/>
    <w:qFormat/>
    <w:uiPriority w:val="10"/>
    <w:rPr>
      <w:rFonts w:ascii="Cambria" w:hAnsi="Cambria" w:eastAsia="宋体"/>
      <w:b/>
      <w:bCs/>
      <w:kern w:val="28"/>
      <w:sz w:val="32"/>
      <w:szCs w:val="32"/>
    </w:rPr>
  </w:style>
  <w:style w:type="character" w:customStyle="1" w:styleId="34">
    <w:name w:val="副标题 字符"/>
    <w:basedOn w:val="16"/>
    <w:link w:val="14"/>
    <w:qFormat/>
    <w:uiPriority w:val="11"/>
    <w:rPr>
      <w:rFonts w:ascii="Cambria" w:hAnsi="Cambria" w:eastAsia="宋体"/>
      <w:sz w:val="24"/>
      <w:szCs w:val="24"/>
    </w:rPr>
  </w:style>
  <w:style w:type="character" w:customStyle="1" w:styleId="35">
    <w:name w:val="引用 字符"/>
    <w:basedOn w:val="16"/>
    <w:link w:val="21"/>
    <w:qFormat/>
    <w:uiPriority w:val="29"/>
    <w:rPr>
      <w:i/>
      <w:sz w:val="24"/>
      <w:szCs w:val="24"/>
    </w:rPr>
  </w:style>
  <w:style w:type="character" w:customStyle="1" w:styleId="36">
    <w:name w:val="明显引用 字符"/>
    <w:basedOn w:val="16"/>
    <w:link w:val="22"/>
    <w:qFormat/>
    <w:uiPriority w:val="30"/>
    <w:rPr>
      <w:b/>
      <w:i/>
      <w:sz w:val="24"/>
    </w:rPr>
  </w:style>
  <w:style w:type="character" w:customStyle="1" w:styleId="37">
    <w:name w:val="不明显强调1"/>
    <w:qFormat/>
    <w:uiPriority w:val="19"/>
    <w:rPr>
      <w:i/>
      <w:color w:val="565656"/>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Cambria" w:hAnsi="Cambria" w:eastAsia="宋体"/>
      <w:b/>
      <w:i/>
      <w:sz w:val="24"/>
      <w:szCs w:val="24"/>
    </w:rPr>
  </w:style>
  <w:style w:type="character" w:customStyle="1" w:styleId="42">
    <w:name w:val="页眉 字符"/>
    <w:basedOn w:val="16"/>
    <w:link w:val="13"/>
    <w:qFormat/>
    <w:uiPriority w:val="99"/>
    <w:rPr>
      <w:rFonts w:ascii="Calibri" w:hAnsi="Calibri" w:eastAsia="宋体"/>
      <w:kern w:val="2"/>
      <w:sz w:val="18"/>
      <w:szCs w:val="18"/>
    </w:rPr>
  </w:style>
  <w:style w:type="character" w:customStyle="1" w:styleId="43">
    <w:name w:val="页脚 字符"/>
    <w:basedOn w:val="16"/>
    <w:link w:val="12"/>
    <w:qFormat/>
    <w:uiPriority w:val="99"/>
    <w:rPr>
      <w:rFonts w:ascii="Calibri" w:hAnsi="Calibri" w:eastAsia="宋体"/>
      <w:kern w:val="2"/>
      <w:sz w:val="18"/>
      <w:szCs w:val="18"/>
    </w:rPr>
  </w:style>
  <w:style w:type="character" w:customStyle="1" w:styleId="44">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6646</Words>
  <Characters>6927</Characters>
  <Lines>5</Lines>
  <Paragraphs>1</Paragraphs>
  <TotalTime>0</TotalTime>
  <ScaleCrop>false</ScaleCrop>
  <LinksUpToDate>false</LinksUpToDate>
  <CharactersWithSpaces>0</CharactersWithSpaces>
  <Application>WPS Office 专业版_8.1.0.0_{F1E327BC-269C-435d-A152-05C5408002CA}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2018-12-31T10:56:00Z</cp:lastPrinted>
  <dcterms:modified xsi:type="dcterms:W3CDTF">2025-11-06T15:40:06Z</dcterms:modified>
  <dc:title>附件2：</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2052-8.1.0.0</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