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3480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6BA32EB">
      <w:pPr>
        <w:spacing w:line="540" w:lineRule="exact"/>
        <w:jc w:val="center"/>
        <w:rPr>
          <w:rFonts w:ascii="华文中宋" w:hAnsi="华文中宋" w:eastAsia="华文中宋" w:cs="宋体"/>
          <w:b/>
          <w:kern w:val="0"/>
          <w:sz w:val="52"/>
          <w:szCs w:val="52"/>
        </w:rPr>
      </w:pPr>
    </w:p>
    <w:p w14:paraId="69FB09F3">
      <w:pPr>
        <w:spacing w:line="540" w:lineRule="exact"/>
        <w:jc w:val="center"/>
        <w:rPr>
          <w:rFonts w:ascii="华文中宋" w:hAnsi="华文中宋" w:eastAsia="华文中宋" w:cs="宋体"/>
          <w:b/>
          <w:kern w:val="0"/>
          <w:sz w:val="52"/>
          <w:szCs w:val="52"/>
        </w:rPr>
      </w:pPr>
    </w:p>
    <w:p w14:paraId="522E29AF">
      <w:pPr>
        <w:spacing w:line="540" w:lineRule="exact"/>
        <w:jc w:val="center"/>
        <w:rPr>
          <w:rFonts w:ascii="华文中宋" w:hAnsi="华文中宋" w:eastAsia="华文中宋" w:cs="宋体"/>
          <w:b/>
          <w:kern w:val="0"/>
          <w:sz w:val="52"/>
          <w:szCs w:val="52"/>
        </w:rPr>
      </w:pPr>
    </w:p>
    <w:p w14:paraId="5B4C6414">
      <w:pPr>
        <w:spacing w:line="540" w:lineRule="exact"/>
        <w:jc w:val="center"/>
        <w:rPr>
          <w:rFonts w:hint="eastAsia" w:ascii="华文中宋" w:hAnsi="华文中宋" w:eastAsia="华文中宋" w:cs="宋体"/>
          <w:b/>
          <w:kern w:val="0"/>
          <w:sz w:val="52"/>
          <w:szCs w:val="52"/>
          <w:lang w:eastAsia="zh-CN"/>
        </w:rPr>
      </w:pPr>
    </w:p>
    <w:p w14:paraId="1CD27813">
      <w:pPr>
        <w:spacing w:line="540" w:lineRule="exact"/>
        <w:jc w:val="center"/>
        <w:rPr>
          <w:rFonts w:ascii="华文中宋" w:hAnsi="华文中宋" w:eastAsia="华文中宋" w:cs="宋体"/>
          <w:b/>
          <w:kern w:val="0"/>
          <w:sz w:val="52"/>
          <w:szCs w:val="52"/>
        </w:rPr>
      </w:pPr>
    </w:p>
    <w:p w14:paraId="2C5A79DF">
      <w:pPr>
        <w:spacing w:line="540" w:lineRule="exact"/>
        <w:jc w:val="center"/>
        <w:rPr>
          <w:rFonts w:ascii="华文中宋" w:hAnsi="华文中宋" w:eastAsia="华文中宋" w:cs="宋体"/>
          <w:b/>
          <w:kern w:val="0"/>
          <w:sz w:val="52"/>
          <w:szCs w:val="52"/>
        </w:rPr>
      </w:pPr>
    </w:p>
    <w:p w14:paraId="080886CC">
      <w:pPr>
        <w:spacing w:line="540" w:lineRule="exact"/>
        <w:jc w:val="center"/>
        <w:rPr>
          <w:rFonts w:ascii="方正小标宋_GBK" w:hAnsi="华文中宋" w:eastAsia="方正小标宋_GBK" w:cs="宋体"/>
          <w:b/>
          <w:kern w:val="0"/>
          <w:sz w:val="48"/>
          <w:szCs w:val="48"/>
        </w:rPr>
      </w:pPr>
      <w:r>
        <w:rPr>
          <w:rFonts w:hint="eastAsia" w:ascii="微软雅黑" w:hAnsi="微软雅黑" w:eastAsia="微软雅黑" w:cs="微软雅黑"/>
          <w:b/>
          <w:kern w:val="0"/>
          <w:sz w:val="48"/>
          <w:szCs w:val="48"/>
        </w:rPr>
        <w:t>项目支出绩效自评报告</w:t>
      </w:r>
    </w:p>
    <w:p w14:paraId="431CFA4C">
      <w:pPr>
        <w:spacing w:line="540" w:lineRule="exact"/>
        <w:jc w:val="center"/>
        <w:rPr>
          <w:rFonts w:ascii="华文中宋" w:hAnsi="华文中宋" w:eastAsia="华文中宋" w:cs="宋体"/>
          <w:b/>
          <w:kern w:val="0"/>
          <w:sz w:val="52"/>
          <w:szCs w:val="52"/>
        </w:rPr>
      </w:pPr>
    </w:p>
    <w:p w14:paraId="7A83789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C34632C">
      <w:pPr>
        <w:spacing w:line="540" w:lineRule="exact"/>
        <w:jc w:val="center"/>
        <w:rPr>
          <w:rFonts w:hAnsi="宋体" w:eastAsia="仿宋_GB2312" w:cs="宋体"/>
          <w:kern w:val="0"/>
          <w:sz w:val="30"/>
          <w:szCs w:val="30"/>
        </w:rPr>
      </w:pPr>
    </w:p>
    <w:p w14:paraId="7A02E2BE">
      <w:pPr>
        <w:spacing w:line="540" w:lineRule="exact"/>
        <w:jc w:val="center"/>
        <w:rPr>
          <w:rFonts w:hAnsi="宋体" w:eastAsia="仿宋_GB2312" w:cs="宋体"/>
          <w:kern w:val="0"/>
          <w:sz w:val="30"/>
          <w:szCs w:val="30"/>
        </w:rPr>
      </w:pPr>
    </w:p>
    <w:p w14:paraId="4787BAFD">
      <w:pPr>
        <w:spacing w:line="540" w:lineRule="exact"/>
        <w:jc w:val="center"/>
        <w:rPr>
          <w:rFonts w:hAnsi="宋体" w:eastAsia="仿宋_GB2312" w:cs="宋体"/>
          <w:kern w:val="0"/>
          <w:sz w:val="30"/>
          <w:szCs w:val="30"/>
        </w:rPr>
      </w:pPr>
    </w:p>
    <w:p w14:paraId="1CE186A4">
      <w:pPr>
        <w:spacing w:line="540" w:lineRule="exact"/>
        <w:jc w:val="center"/>
        <w:rPr>
          <w:rFonts w:hAnsi="宋体" w:eastAsia="仿宋_GB2312" w:cs="宋体"/>
          <w:kern w:val="0"/>
          <w:sz w:val="30"/>
          <w:szCs w:val="30"/>
        </w:rPr>
      </w:pPr>
    </w:p>
    <w:p w14:paraId="5A6930A8">
      <w:pPr>
        <w:spacing w:line="540" w:lineRule="exact"/>
        <w:jc w:val="center"/>
        <w:rPr>
          <w:rFonts w:hAnsi="宋体" w:eastAsia="仿宋_GB2312" w:cs="宋体"/>
          <w:kern w:val="0"/>
          <w:sz w:val="30"/>
          <w:szCs w:val="30"/>
        </w:rPr>
      </w:pPr>
    </w:p>
    <w:p w14:paraId="601C1D87">
      <w:pPr>
        <w:spacing w:line="540" w:lineRule="exact"/>
        <w:jc w:val="center"/>
        <w:rPr>
          <w:rFonts w:hAnsi="宋体" w:eastAsia="仿宋_GB2312" w:cs="宋体"/>
          <w:kern w:val="0"/>
          <w:sz w:val="30"/>
          <w:szCs w:val="30"/>
        </w:rPr>
      </w:pPr>
    </w:p>
    <w:p w14:paraId="695DDC87">
      <w:pPr>
        <w:spacing w:line="540" w:lineRule="exact"/>
        <w:rPr>
          <w:rFonts w:hAnsi="宋体" w:eastAsia="仿宋_GB2312" w:cs="宋体"/>
          <w:kern w:val="0"/>
          <w:sz w:val="30"/>
          <w:szCs w:val="30"/>
        </w:rPr>
      </w:pPr>
    </w:p>
    <w:p w14:paraId="38A0628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015DDA2">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2"/>
          <w:szCs w:val="32"/>
        </w:rPr>
        <w:t>2024年基层农技推广体系改革与建设项目</w:t>
      </w:r>
    </w:p>
    <w:p w14:paraId="516A46C4">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9"/>
          <w:rFonts w:hint="eastAsia" w:ascii="楷体" w:hAnsi="楷体" w:eastAsia="楷体"/>
          <w:b w:val="0"/>
          <w:bCs w:val="0"/>
          <w:spacing w:val="-4"/>
          <w:sz w:val="32"/>
          <w:szCs w:val="32"/>
        </w:rPr>
        <w:t>哈密市伊州区农业农村技术推广中心</w:t>
      </w:r>
    </w:p>
    <w:p w14:paraId="379481EE">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9"/>
          <w:rFonts w:hint="eastAsia" w:ascii="楷体" w:hAnsi="楷体" w:eastAsia="楷体"/>
          <w:b w:val="0"/>
          <w:bCs w:val="0"/>
          <w:spacing w:val="-4"/>
          <w:sz w:val="32"/>
          <w:szCs w:val="32"/>
        </w:rPr>
        <w:t>哈密市伊州区农业农村局</w:t>
      </w:r>
    </w:p>
    <w:p w14:paraId="59CDB9F4">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9"/>
          <w:rFonts w:hint="eastAsia" w:ascii="楷体" w:hAnsi="楷体" w:eastAsia="楷体"/>
          <w:b w:val="0"/>
          <w:bCs w:val="0"/>
          <w:spacing w:val="-4"/>
          <w:sz w:val="32"/>
          <w:szCs w:val="32"/>
        </w:rPr>
        <w:t>赵德听</w:t>
      </w:r>
    </w:p>
    <w:p w14:paraId="11600A69">
      <w:pPr>
        <w:spacing w:line="540" w:lineRule="exact"/>
        <w:ind w:left="273" w:firstLine="567"/>
        <w:rPr>
          <w:rStyle w:val="19"/>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9"/>
          <w:rFonts w:hint="eastAsia" w:ascii="楷体" w:hAnsi="楷体" w:eastAsia="楷体"/>
          <w:b w:val="0"/>
          <w:bCs w:val="0"/>
          <w:spacing w:val="-4"/>
          <w:sz w:val="32"/>
          <w:szCs w:val="32"/>
        </w:rPr>
        <w:t>2025年05月16日</w:t>
      </w:r>
    </w:p>
    <w:p w14:paraId="3D580D86">
      <w:pPr>
        <w:spacing w:line="540" w:lineRule="exact"/>
        <w:rPr>
          <w:rStyle w:val="19"/>
          <w:rFonts w:ascii="黑体" w:hAnsi="黑体" w:eastAsia="黑体"/>
          <w:b w:val="0"/>
          <w:spacing w:val="-4"/>
          <w:sz w:val="32"/>
          <w:szCs w:val="32"/>
        </w:rPr>
      </w:pPr>
    </w:p>
    <w:p w14:paraId="22D81E3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46A5263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2AB7FB2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212D25D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为贯彻落实2024年中央一号文件关于“加强基层农技推广体系条件建设，强化公益性服务功能”精神，根据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要求，伊州区农业农村技术推广中心承担2024年伊州区基层农技推广体系改革与建设项目。</w:t>
      </w:r>
    </w:p>
    <w:p w14:paraId="0F0FD15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2.主要内容及实施情况</w:t>
      </w:r>
    </w:p>
    <w:p w14:paraId="2581B98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主要内容：</w:t>
      </w:r>
    </w:p>
    <w:p w14:paraId="2436D00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推介粮食、棉花、哈密瓜等作物主导品种,推广发布农业先进适用技术,建设两个及以上农业科技示范展示基地，农业主推技术到位率达到95%以上，培育农业科技示范主体30户，农业科技示范主体抽样满意度超过90%。招募特聘农技员15名,健全特聘农技员管理机制，对伊州区60名在编在岗基层农技人员开展知识更新培训。</w:t>
      </w:r>
    </w:p>
    <w:p w14:paraId="0A73E11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实施情况：</w:t>
      </w:r>
    </w:p>
    <w:p w14:paraId="09D6509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2024年伊州区落实项目资金40万元，以提高农技推广服务供给质量为导向，精心组织安排、紧盯关键环节、有序推进项目落实落细，共建设3个农业科技示范展示基地，培育科技示范户30户，农业主推技术到位率达到95%，农业科技示范主体抽样满意度超过90%，农业技术推广公共服务对象抽样满意度达90%，“中国农技推广APP”使用率达到85%。招募15名特聘农技员，健全特聘农技员管理机制。遴选全区60名以上农技人员参加骨干人才培训班。</w:t>
      </w:r>
    </w:p>
    <w:p w14:paraId="47154F9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14:paraId="10AA941C">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2024年伊州区基层农技推广体系改革与建设项目计划拨付40万元，项目于2024年3月1日批复预算资金40万元，截至2024年12月31日，项目资金支付40万元，资金到位率100%，预算执行率为</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w:t>
      </w:r>
    </w:p>
    <w:p w14:paraId="02FD07A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2081AA6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w:t>
      </w:r>
    </w:p>
    <w:p w14:paraId="019A706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推介粮食、棉花、哈密瓜等作物主导品种,推广发布农业先进适用技术,建设两个及以上农业科技示范展示基地，农业主推技术到位率达到95%以上，培育农业科技示范主体30户，农业科技示范主体抽样满意度超过90%。招募特聘农技员15名,健全特聘农技员管理机制，对伊州区60名在编在岗基层农技人员开展知识更新培训。</w:t>
      </w:r>
    </w:p>
    <w:p w14:paraId="19AC4FB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项目阶段性目标如下：</w:t>
      </w:r>
    </w:p>
    <w:p w14:paraId="6555BE3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数量指标：建立科技示范展示基地不少于2个；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质量指标：主推技术到位率≥95%；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时效指标：项目实施阶段，</w:t>
      </w:r>
      <w:r>
        <w:rPr>
          <w:rStyle w:val="19"/>
          <w:rFonts w:hint="eastAsia" w:ascii="楷体" w:hAnsi="楷体" w:eastAsia="楷体"/>
          <w:b w:val="0"/>
          <w:bCs w:val="0"/>
          <w:spacing w:val="-4"/>
          <w:sz w:val="32"/>
          <w:szCs w:val="32"/>
          <w:lang w:val="en-US" w:eastAsia="zh-CN"/>
        </w:rPr>
        <w:t>于</w:t>
      </w:r>
      <w:r>
        <w:rPr>
          <w:rStyle w:val="19"/>
          <w:rFonts w:hint="eastAsia" w:ascii="楷体" w:hAnsi="楷体" w:eastAsia="楷体"/>
          <w:b w:val="0"/>
          <w:bCs w:val="0"/>
          <w:spacing w:val="-4"/>
          <w:sz w:val="32"/>
          <w:szCs w:val="32"/>
        </w:rPr>
        <w:t>2024年实施完成；</w:t>
      </w:r>
    </w:p>
    <w:p w14:paraId="61A9A1A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经济成本指标：材料费开展集成示范推广应用，教育培训及基地规范运行等相关活动，材料费≤40万元。</w:t>
      </w:r>
    </w:p>
    <w:p w14:paraId="6DF877D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社会效益指标：为周边农户提供技术服务，至少一次；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通过主推技术的示范推广，化肥农药的使用量，有所降低；</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通过主推技术的示范推广，示范基地农作物产值，有所升高。</w:t>
      </w:r>
    </w:p>
    <w:p w14:paraId="4DCD555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服务对象满意度指标：农业技术推广服务对象满意度，≥95%。</w:t>
      </w:r>
    </w:p>
    <w:p w14:paraId="11F4AD0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D6B15DA">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5F9C4E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（一）绩效评价目的、对象和范围</w:t>
      </w:r>
    </w:p>
    <w:p w14:paraId="1AC4228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文件精神，对2024年伊州区基层农技推广体系改革与建设项目绩效目标实现情况进行自评。</w:t>
      </w:r>
    </w:p>
    <w:p w14:paraId="3C282DC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5B5660D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6FFBEE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54CA8EC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14:paraId="20D9D84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14:paraId="4E75644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p>
    <w:p w14:paraId="1182FC6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14:paraId="41E83540">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w:t>
      </w:r>
      <w:r>
        <w:rPr>
          <w:rStyle w:val="19"/>
          <w:rFonts w:hint="eastAsia" w:ascii="楷体" w:hAnsi="楷体" w:eastAsia="楷体"/>
          <w:b w:val="0"/>
          <w:bCs w:val="0"/>
          <w:spacing w:val="-4"/>
          <w:sz w:val="32"/>
          <w:szCs w:val="32"/>
          <w:lang w:eastAsia="zh-CN"/>
        </w:rPr>
        <w:t>。</w:t>
      </w:r>
    </w:p>
    <w:p w14:paraId="5ECE3973">
      <w:pPr>
        <w:numPr>
          <w:ilvl w:val="0"/>
          <w:numId w:val="1"/>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绩效目标：绩效目标明确性，权重3分；绩效目标合理性，权重3分。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预算编制：测算标准合理性，权重4分；测算过程细化度，权重3分。</w:t>
      </w:r>
    </w:p>
    <w:p w14:paraId="56509F9A">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组织实施：管理制度健全性，权重5分，制度执行有效性，权重6分。</w:t>
      </w:r>
    </w:p>
    <w:p w14:paraId="4191983C">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数量指标：建设农业科技示范基地数量权重6分；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质量指标：主推技术到位率，权重6分；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时效指标：项目实施阶段，权重6分；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成本指标：材料费开展集成示范推广应用，教育培训及基地规范运行等相关活动，权重4分。</w:t>
      </w:r>
    </w:p>
    <w:p w14:paraId="2B5392BD">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社会效益指标：为周边农户提供技术服务，权重10分；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通过主推技术的示范推广，化肥农药的使用量，权重10分。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通过主推技术的示范推广，示范基地农作物产值，权重10分</w:t>
      </w:r>
    </w:p>
    <w:p w14:paraId="48CABDBC">
      <w:pPr>
        <w:numPr>
          <w:ilvl w:val="0"/>
          <w:numId w:val="1"/>
        </w:num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服务对象满意度指标：农业技术推广服务对象满意度，权重8分。</w:t>
      </w:r>
    </w:p>
    <w:p w14:paraId="15800AA3">
      <w:pPr>
        <w:numPr>
          <w:ilvl w:val="0"/>
          <w:numId w:val="0"/>
        </w:num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3.评价方法</w:t>
      </w:r>
    </w:p>
    <w:p w14:paraId="31769690">
      <w:pPr>
        <w:numPr>
          <w:ilvl w:val="0"/>
          <w:numId w:val="0"/>
        </w:num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伊州区基层农技推广体系改革与建设项目绩效评价主要通过项目单位自评、主管部门监督、财政部门参评的方式开展绩效评价工作。</w:t>
      </w:r>
    </w:p>
    <w:p w14:paraId="23F7B1AE">
      <w:pPr>
        <w:numPr>
          <w:ilvl w:val="0"/>
          <w:numId w:val="0"/>
        </w:numPr>
        <w:spacing w:line="540" w:lineRule="exact"/>
        <w:ind w:firstLine="936" w:firstLineChars="3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lang w:eastAsia="zh-CN"/>
        </w:rPr>
        <w:t>。</w:t>
      </w:r>
    </w:p>
    <w:p w14:paraId="2D9E52A1">
      <w:pPr>
        <w:numPr>
          <w:ilvl w:val="0"/>
          <w:numId w:val="0"/>
        </w:num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5BDF2639">
      <w:pPr>
        <w:numPr>
          <w:ilvl w:val="0"/>
          <w:numId w:val="0"/>
        </w:num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28EA35A4">
      <w:pPr>
        <w:numPr>
          <w:ilvl w:val="0"/>
          <w:numId w:val="0"/>
        </w:numPr>
        <w:spacing w:line="540" w:lineRule="exact"/>
        <w:ind w:firstLine="936" w:firstLineChars="3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5592D872">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3F32236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2DAD878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42A3571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14:paraId="07F0305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41D76AD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发放调查问卷开展受益农民满意度调查工作。</w:t>
      </w:r>
    </w:p>
    <w:p w14:paraId="7A73DB8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（3）撰写报告情况</w:t>
      </w:r>
    </w:p>
    <w:p w14:paraId="548ECA8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2530878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40A2CA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本次项目自评满分100分，自评得分100分，自评结果为“优”，其中项目决策得分17分，项目过程得分23分，项目产出得分22分，项目效益得分30分，项目满意度得分8分。</w:t>
      </w:r>
    </w:p>
    <w:p w14:paraId="6B92C0C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清楚分析项目内容研究现状，确定项目研究方向，明确制定项目目标根据项目明细，合理测算项目经费，严格执行经费使用制度；项目过程方面，严格按照项目要求实施，健全管理制度，有效执行制度，严格按照要求使用项目资金；项目产出方面，按照项目细化目标，逐步开展工作，确保完成每项指标值；项目效益方面，通过项目实施，减少化肥农药使用，生态效益等明显提高；项目满意度方面，通过项目的实施，对农民进行培训，提高农民满意度。</w:t>
      </w:r>
    </w:p>
    <w:p w14:paraId="6793925E">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FF1A6C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77E508C5">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29EA0746">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立项依据充分性，满分4分，得分4分，得分率100%。</w:t>
      </w:r>
    </w:p>
    <w:p w14:paraId="5225030C">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文件精神，伊州区农业农村技</w:t>
      </w:r>
      <w:bookmarkStart w:id="0" w:name="_GoBack"/>
      <w:bookmarkEnd w:id="0"/>
      <w:r>
        <w:rPr>
          <w:rStyle w:val="19"/>
          <w:rFonts w:hint="eastAsia" w:ascii="楷体" w:hAnsi="楷体" w:eastAsia="楷体"/>
          <w:b w:val="0"/>
          <w:bCs w:val="0"/>
          <w:spacing w:val="-4"/>
          <w:sz w:val="32"/>
          <w:szCs w:val="32"/>
        </w:rPr>
        <w:t>术推广中心承担2024年伊州区基层农技推广体系改革与建设项目。该项目的实施与本单位职责范围相符，属于部门履职所需，项目符合国家法律法规、国民经济</w:t>
      </w:r>
      <w:r>
        <w:rPr>
          <w:rStyle w:val="19"/>
          <w:rFonts w:hint="eastAsia" w:ascii="楷体" w:hAnsi="楷体" w:eastAsia="楷体"/>
          <w:b w:val="0"/>
          <w:bCs w:val="0"/>
          <w:spacing w:val="-4"/>
          <w:sz w:val="32"/>
          <w:szCs w:val="32"/>
          <w:lang w:val="en-US" w:eastAsia="zh-CN"/>
        </w:rPr>
        <w:t>和社会</w:t>
      </w:r>
      <w:r>
        <w:rPr>
          <w:rStyle w:val="19"/>
          <w:rFonts w:hint="eastAsia" w:ascii="楷体" w:hAnsi="楷体" w:eastAsia="楷体"/>
          <w:b w:val="0"/>
          <w:bCs w:val="0"/>
          <w:spacing w:val="-4"/>
          <w:sz w:val="32"/>
          <w:szCs w:val="32"/>
        </w:rPr>
        <w:t>发展规划和相关政策，符合行业发展规划和政策要求，属于公共财政支持范围，符合市、区两级政府事权支出责任划分原则，与相关部门同类项目或部门相关项目不存在政策交叉重复。</w:t>
      </w:r>
    </w:p>
    <w:p w14:paraId="3DB1B6D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0408809F">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本项目绩效目标为“该项目计划投入40万元，推进基层农技推广体系改革与建设”，细化分解为6条指标，通过清晰、可衡量的指标值予以体现，与项目目标任务数或计划数相对应。</w:t>
      </w:r>
    </w:p>
    <w:p w14:paraId="3E520619">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绩效目标为“该项目计划投入40万元，推进基层农技推广体系改革与建设”，细化分解为6条指标，项目绩效目标细化分解为具体的绩效指标，与实际工作内容具有相关性，产出效益和效果符合正常的业绩水平，与预算确定的项目投资额</w:t>
      </w:r>
      <w:r>
        <w:rPr>
          <w:rStyle w:val="19"/>
          <w:rFonts w:hint="eastAsia" w:ascii="楷体" w:hAnsi="楷体" w:eastAsia="楷体"/>
          <w:b w:val="0"/>
          <w:bCs w:val="0"/>
          <w:spacing w:val="-4"/>
          <w:sz w:val="32"/>
          <w:szCs w:val="32"/>
          <w:lang w:val="en-US" w:eastAsia="zh-CN"/>
        </w:rPr>
        <w:t>和</w:t>
      </w:r>
      <w:r>
        <w:rPr>
          <w:rStyle w:val="19"/>
          <w:rFonts w:hint="eastAsia" w:ascii="楷体" w:hAnsi="楷体" w:eastAsia="楷体"/>
          <w:b w:val="0"/>
          <w:bCs w:val="0"/>
          <w:spacing w:val="-4"/>
          <w:sz w:val="32"/>
          <w:szCs w:val="32"/>
        </w:rPr>
        <w:t>资金量相匹配</w:t>
      </w:r>
      <w:r>
        <w:rPr>
          <w:rStyle w:val="19"/>
          <w:rFonts w:hint="eastAsia" w:ascii="楷体" w:hAnsi="楷体" w:eastAsia="楷体"/>
          <w:b w:val="0"/>
          <w:bCs w:val="0"/>
          <w:spacing w:val="-4"/>
          <w:sz w:val="32"/>
          <w:szCs w:val="32"/>
          <w:lang w:eastAsia="zh-CN"/>
        </w:rPr>
        <w:t>。</w:t>
      </w:r>
    </w:p>
    <w:p w14:paraId="6601331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43D78F65">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结合项目各实施指标，测算各指标所需经费，预算测算内容符合相关政策文件规定和相关行业、领域管理标准，符合上级管理部门的标准或社会实际支出水平。</w:t>
      </w:r>
    </w:p>
    <w:p w14:paraId="30DE8140">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根据项目实施内容，项目实施所需生产材料、示范推广等分别测算成本，预算根据事权划分准确核定本级财政支出。</w:t>
      </w:r>
      <w:r>
        <w:rPr>
          <w:rStyle w:val="19"/>
          <w:rFonts w:hint="eastAsia" w:ascii="楷体" w:hAnsi="楷体" w:eastAsia="楷体"/>
          <w:b w:val="0"/>
          <w:bCs w:val="0"/>
          <w:spacing w:val="-4"/>
          <w:sz w:val="32"/>
          <w:szCs w:val="32"/>
          <w:lang w:eastAsia="zh-CN"/>
        </w:rPr>
        <w:tab/>
      </w:r>
    </w:p>
    <w:p w14:paraId="5C3B4A92">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7928E63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427F4C0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项目总资金40万元，于2024年3月批复。</w:t>
      </w:r>
    </w:p>
    <w:p w14:paraId="3FE8B94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项目预算下达时间2024年3月，下达金额40万元，截止2024年12月31日，支付资金</w:t>
      </w:r>
      <w:r>
        <w:rPr>
          <w:rStyle w:val="19"/>
          <w:rFonts w:hint="eastAsia" w:ascii="楷体" w:hAnsi="楷体" w:eastAsia="楷体"/>
          <w:b w:val="0"/>
          <w:bCs w:val="0"/>
          <w:spacing w:val="-4"/>
          <w:sz w:val="32"/>
          <w:szCs w:val="32"/>
          <w:lang w:val="en-US" w:eastAsia="zh-CN"/>
        </w:rPr>
        <w:t>40</w:t>
      </w:r>
      <w:r>
        <w:rPr>
          <w:rStyle w:val="19"/>
          <w:rFonts w:hint="eastAsia" w:ascii="楷体" w:hAnsi="楷体" w:eastAsia="楷体"/>
          <w:b w:val="0"/>
          <w:bCs w:val="0"/>
          <w:spacing w:val="-4"/>
          <w:sz w:val="32"/>
          <w:szCs w:val="32"/>
        </w:rPr>
        <w:t>万元，执行率</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w:t>
      </w:r>
    </w:p>
    <w:p w14:paraId="33DCC31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p>
    <w:p w14:paraId="3BEF0D1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（1）管理制度健全性，满分5分，得分5分，得分率100%。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我单位的财务和业务管理制度健全，财务和业务管理制度合法、合规、完整。依据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文件，预算资金设立专项账户，并制定专人管理。同时要建立健全财务管理制度，加强会计日常核算和监督，加强资金的预算、控制、分析和检查工作，做好项目财务管理基础工作。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项目资金严格按照</w:t>
      </w:r>
      <w:r>
        <w:rPr>
          <w:rStyle w:val="19"/>
          <w:rFonts w:hint="eastAsia" w:ascii="楷体" w:hAnsi="楷体" w:eastAsia="楷体"/>
          <w:b w:val="0"/>
          <w:bCs w:val="0"/>
          <w:spacing w:val="-4"/>
          <w:sz w:val="32"/>
          <w:szCs w:val="32"/>
          <w:lang w:val="en-US" w:eastAsia="zh-CN"/>
        </w:rPr>
        <w:t>相关管理办法</w:t>
      </w:r>
      <w:r>
        <w:rPr>
          <w:rStyle w:val="19"/>
          <w:rFonts w:hint="eastAsia" w:ascii="楷体" w:hAnsi="楷体" w:eastAsia="楷体"/>
          <w:b w:val="0"/>
          <w:bCs w:val="0"/>
          <w:spacing w:val="-4"/>
          <w:sz w:val="32"/>
          <w:szCs w:val="32"/>
        </w:rPr>
        <w:t>，加强对项目资金的预算执行及日常监督管理，确保每个项目按照规定的用途实施，严格遵守相关法律法规和相关管理规定。资金拨付坚持按项目、预算、进度、指定用途拨款，确保财政专项资金规范使用，项目资金全程按照合同书使用，未发生过调整，项目合同书、技术鉴定等资料齐全并及时归档，项目实施的人员条件、地块设备、信息支撑等落实到位。</w:t>
      </w:r>
    </w:p>
    <w:p w14:paraId="7F4C8CA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0225715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建设农业科技示范基地数量，满分6分，得分6分，得分率100%。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依据项目实施方案，建设农业科技示范展示基地数量2个的要求，根据项目总结，实际建设农业科技示范展示基地数量3个。达成指标值。</w:t>
      </w:r>
    </w:p>
    <w:p w14:paraId="4C8C9BE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p>
    <w:p w14:paraId="66FF6EA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（1）主推技术到位率，满分6分，得分6分，得分率100%。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依据项目实施方案，主推技术到位率不小于95%的要求，根据项目发布主推技术及主导品种通知以及示范基地展示主推技术情况，主推技术到位率达到95%以上。达成指标值。</w:t>
      </w:r>
    </w:p>
    <w:p w14:paraId="2EB674D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（2）项目实施阶段，于2024年实施完成，满分6分，得分6分，得分率100%。</w:t>
      </w:r>
    </w:p>
    <w:p w14:paraId="664FB6A0">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依据项目实施方案，项目应于2024年1</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月31日实施完成，根据项目总结及绩效评价，项目已于2024年1</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rPr>
        <w:t>月31日前全部实施完成。达成指标值。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材料费：开展集成示范推广应用，教育培训及基地规范运行等相关活动，满分4分，得分4分，得分率100%。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依据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，下达资金40万元，全部用于开展集成示范推广应用，教育培训及基地规范运行等相关活动。根据财务支付凭证，实际支付金额</w:t>
      </w:r>
      <w:r>
        <w:rPr>
          <w:rStyle w:val="19"/>
          <w:rFonts w:hint="eastAsia" w:ascii="楷体" w:hAnsi="楷体" w:eastAsia="楷体"/>
          <w:b w:val="0"/>
          <w:bCs w:val="0"/>
          <w:spacing w:val="-4"/>
          <w:sz w:val="32"/>
          <w:szCs w:val="32"/>
          <w:lang w:val="en-US" w:eastAsia="zh-CN"/>
        </w:rPr>
        <w:t>40</w:t>
      </w:r>
      <w:r>
        <w:rPr>
          <w:rStyle w:val="19"/>
          <w:rFonts w:hint="eastAsia" w:ascii="楷体" w:hAnsi="楷体" w:eastAsia="楷体"/>
          <w:b w:val="0"/>
          <w:bCs w:val="0"/>
          <w:spacing w:val="-4"/>
          <w:sz w:val="32"/>
          <w:szCs w:val="32"/>
        </w:rPr>
        <w:t>万元。达成指标值。</w:t>
      </w:r>
    </w:p>
    <w:p w14:paraId="6BE3C4D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3E94521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效益指标</w:t>
      </w:r>
    </w:p>
    <w:p w14:paraId="0927D9EF">
      <w:pPr>
        <w:numPr>
          <w:ilvl w:val="0"/>
          <w:numId w:val="2"/>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为周边农户提供技术服务，满分10分，得分10分；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根据项目实施方案，为周边农户提供技术服务不少于1次，根据项目实际开展情况，为周边农户提供技术服务150余次。达成指标值。</w:t>
      </w:r>
    </w:p>
    <w:p w14:paraId="0E7DD453">
      <w:pPr>
        <w:numPr>
          <w:ilvl w:val="0"/>
          <w:numId w:val="2"/>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通过主推技术的示范推广，减少化肥农药的使用量，满分10分，得分10分；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根据项目实施方案，通过主推技术的示范推广，减少化肥农药的使用量，根据项目实际开展情况，通过示范推广化肥减量技术，化肥农药施用量有所降低。达成指标值。</w:t>
      </w:r>
    </w:p>
    <w:p w14:paraId="0BEC45C8">
      <w:pPr>
        <w:numPr>
          <w:ilvl w:val="0"/>
          <w:numId w:val="2"/>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通过主推技术的示范推广，增加示范基地农作物产值，满分10分，得分10分；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根据项目实施方案，通过主推技术的示范推广，增加示范基地农作物产值，根据项目实际开展情况，通过示范推广化肥减量技术、病虫害绿色防控技术等主推技术，示范基地农作物产值有所提高。达成指标值。</w:t>
      </w:r>
    </w:p>
    <w:p w14:paraId="6C79E83C">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1844C9CA">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农业技术推广服务对象满意度，满分8分，得分8分，得分率100%。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根据项目实施方案，农业技术推广服务对象满意度应达到不少于95%。根据满意度问卷调查，满意度指标达到100%。达到指标值。</w:t>
      </w:r>
    </w:p>
    <w:p w14:paraId="7CA2263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36DB19A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主要经验及做法：</w:t>
      </w:r>
    </w:p>
    <w:p w14:paraId="76434E9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伊州区农业农村技术推广中心承担了2024年伊州区基层农技推广体系改革与建设项目，认真贯彻落实哈密市工作方案，以提高农技推广服务供给质量为导向，精心组织安排、紧盯关键环节、有序推进项目落实落细，通过推广一批符合质量安全、节本增效、绿色生态等要求的农业先进适用技术模式，推介一批重要粮油作物主导品种，推广一批农业先进适用技术，加快培育精干高效队伍，推动农村科技服务体系不断发展壮大。</w:t>
      </w:r>
    </w:p>
    <w:p w14:paraId="5473F581">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要求，明确责任领导、责任科室、责任人、完成时限等。</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1、坚决落实稳粮保供任务。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2、多形式提升基层农技人员素质能力。</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3、加快推广农业主导品种主推技术</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4、培育农业科技示范主体。</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5、持续加大农技推广服务特聘计划实施力度。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6、全力支持农业科技社会化服务发展。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7、组织多元化农技推广服务。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8、高水平打造农业科技</w:t>
      </w:r>
      <w:r>
        <w:rPr>
          <w:rStyle w:val="19"/>
          <w:rFonts w:hint="eastAsia" w:ascii="楷体" w:hAnsi="楷体" w:eastAsia="楷体"/>
          <w:b w:val="0"/>
          <w:bCs w:val="0"/>
          <w:spacing w:val="-4"/>
          <w:sz w:val="32"/>
          <w:szCs w:val="32"/>
          <w:lang w:val="en-US" w:eastAsia="zh-CN"/>
        </w:rPr>
        <w:t>示范</w:t>
      </w:r>
      <w:r>
        <w:rPr>
          <w:rStyle w:val="19"/>
          <w:rFonts w:hint="eastAsia" w:ascii="楷体" w:hAnsi="楷体" w:eastAsia="楷体"/>
          <w:b w:val="0"/>
          <w:bCs w:val="0"/>
          <w:spacing w:val="-4"/>
          <w:sz w:val="32"/>
          <w:szCs w:val="32"/>
        </w:rPr>
        <w:t>基地。</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9、提高农技推广服务信息化水平。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1.区县农业技术人员抽调较多，部分人员在岗时间难以连续，工作断档、不接茬问题时有发生；乡镇技术人员从事农业技术推广服务人员较少，中国农技推广APP使用率较低。</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 xml:space="preserve">2.乡镇、村青年劳动力不足，招募特聘农技员年龄普遍较大，开展工作存在一定困难。 </w:t>
      </w:r>
    </w:p>
    <w:p w14:paraId="02D77A23">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059C1A00">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无</w:t>
      </w:r>
    </w:p>
    <w:p w14:paraId="34AA278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3A45D34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706A6F64">
      <w:pPr>
        <w:spacing w:line="540" w:lineRule="exact"/>
        <w:ind w:firstLine="567"/>
        <w:rPr>
          <w:rStyle w:val="19"/>
          <w:rFonts w:ascii="仿宋" w:hAnsi="仿宋" w:eastAsia="仿宋"/>
          <w:b w:val="0"/>
          <w:spacing w:val="-4"/>
          <w:sz w:val="32"/>
          <w:szCs w:val="32"/>
        </w:rPr>
      </w:pPr>
    </w:p>
    <w:p w14:paraId="2A72B7A7">
      <w:pPr>
        <w:spacing w:line="540" w:lineRule="exact"/>
        <w:ind w:firstLine="567"/>
        <w:rPr>
          <w:rStyle w:val="19"/>
          <w:rFonts w:ascii="仿宋" w:hAnsi="仿宋" w:eastAsia="仿宋"/>
          <w:b w:val="0"/>
          <w:spacing w:val="-4"/>
          <w:sz w:val="32"/>
          <w:szCs w:val="32"/>
        </w:rPr>
      </w:pPr>
    </w:p>
    <w:p w14:paraId="6E388425">
      <w:pPr>
        <w:spacing w:line="540" w:lineRule="exact"/>
        <w:ind w:firstLine="567"/>
        <w:rPr>
          <w:rStyle w:val="19"/>
          <w:rFonts w:ascii="仿宋" w:hAnsi="仿宋" w:eastAsia="仿宋"/>
          <w:b w:val="0"/>
          <w:spacing w:val="-4"/>
          <w:sz w:val="32"/>
          <w:szCs w:val="32"/>
        </w:rPr>
      </w:pPr>
    </w:p>
    <w:p w14:paraId="546177EE">
      <w:pPr>
        <w:spacing w:line="540" w:lineRule="exact"/>
        <w:ind w:firstLine="567"/>
        <w:rPr>
          <w:rStyle w:val="19"/>
          <w:rFonts w:ascii="仿宋" w:hAnsi="仿宋" w:eastAsia="仿宋"/>
          <w:b w:val="0"/>
          <w:spacing w:val="-4"/>
          <w:sz w:val="32"/>
          <w:szCs w:val="32"/>
        </w:rPr>
      </w:pPr>
    </w:p>
    <w:p w14:paraId="1EF8E148">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9BF784F">
        <w:pPr>
          <w:pStyle w:val="12"/>
          <w:jc w:val="center"/>
        </w:pPr>
        <w:r>
          <w:fldChar w:fldCharType="begin"/>
        </w:r>
        <w:r>
          <w:instrText xml:space="preserve">PAGE   \* MERGEFORMAT</w:instrText>
        </w:r>
        <w:r>
          <w:fldChar w:fldCharType="separate"/>
        </w:r>
        <w:r>
          <w:rPr>
            <w:lang w:val="zh-CN"/>
          </w:rPr>
          <w:t>1</w:t>
        </w:r>
        <w:r>
          <w:fldChar w:fldCharType="end"/>
        </w:r>
      </w:p>
    </w:sdtContent>
  </w:sdt>
  <w:p w14:paraId="45036678">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B42BC">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nothing"/>
      <w:lvlText w:val="（%1）"/>
      <w:lvlJc w:val="left"/>
    </w:lvl>
  </w:abstractNum>
  <w:abstractNum w:abstractNumId="1">
    <w:nsid w:val="77F76A90"/>
    <w:multiLevelType w:val="singleLevel"/>
    <w:tmpl w:val="77F76A9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4FE574D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14</Pages>
  <Words>5972</Words>
  <Characters>6225</Characters>
  <Lines>5</Lines>
  <Paragraphs>1</Paragraphs>
  <TotalTime>1</TotalTime>
  <ScaleCrop>false</ScaleCrop>
  <LinksUpToDate>false</LinksUpToDate>
  <CharactersWithSpaces>6240</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2025-11-06T08:14:29Z</dcterms:modified>
  <cp:revision>19</cp:revision>
</cp:coreProperties>
</file>

<file path=customXml/itemProps1.xml><?xml version="1.0" encoding="utf-8"?>
<ds:datastoreItem xmlns:ds="http://schemas.openxmlformats.org/officeDocument/2006/customXml" ds:itemID="{8784b03a-b06e-4af5-b2ae-30edbfd35af1}">
  <ds:schemaRefs/>
</ds:datastoreItem>
</file>

<file path=customXml/itemProps2.xml><?xml version="1.0" encoding="utf-8"?>
<ds:datastoreItem xmlns:ds="http://schemas.openxmlformats.org/officeDocument/2006/customXml" ds:itemID="{ff8f6bc6-f7de-4df1-a9c3-ff5123b96639}">
  <ds:schemaRefs/>
</ds:datastoreItem>
</file>

<file path=customXml/itemProps3.xml><?xml version="1.0" encoding="utf-8"?>
<ds:datastoreItem xmlns:ds="http://schemas.openxmlformats.org/officeDocument/2006/customXml" ds:itemID="{d1236782-ee0d-435f-aef3-5b0ccdc2f97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5963</Words>
  <Characters>6216</Characters>
  <Lines>5</Lines>
  <Paragraphs>1</Paragraphs>
  <TotalTime>6</TotalTime>
  <ScaleCrop>false</ScaleCrop>
  <LinksUpToDate>false</LinksUpToDate>
  <CharactersWithSpaces>6231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石头</cp:lastModifiedBy>
  <cp:lastPrinted>2018-12-31T10:56:00Z</cp:lastPrinted>
  <dcterms:modified xsi:type="dcterms:W3CDTF">2025-11-06T12:28:02Z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