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2D7D6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5440306">
      <w:pPr>
        <w:spacing w:line="540" w:lineRule="exact"/>
        <w:jc w:val="center"/>
        <w:rPr>
          <w:rFonts w:ascii="华文中宋" w:hAnsi="华文中宋" w:eastAsia="华文中宋" w:cs="宋体"/>
          <w:b/>
          <w:kern w:val="0"/>
          <w:sz w:val="52"/>
          <w:szCs w:val="52"/>
        </w:rPr>
      </w:pPr>
    </w:p>
    <w:p w14:paraId="05EA3F73">
      <w:pPr>
        <w:spacing w:line="540" w:lineRule="exact"/>
        <w:jc w:val="center"/>
        <w:rPr>
          <w:rFonts w:ascii="华文中宋" w:hAnsi="华文中宋" w:eastAsia="华文中宋" w:cs="宋体"/>
          <w:b/>
          <w:kern w:val="0"/>
          <w:sz w:val="52"/>
          <w:szCs w:val="52"/>
        </w:rPr>
      </w:pPr>
    </w:p>
    <w:p w14:paraId="70B69851">
      <w:pPr>
        <w:spacing w:line="540" w:lineRule="exact"/>
        <w:jc w:val="center"/>
        <w:rPr>
          <w:rFonts w:ascii="华文中宋" w:hAnsi="华文中宋" w:eastAsia="华文中宋" w:cs="宋体"/>
          <w:b/>
          <w:kern w:val="0"/>
          <w:sz w:val="52"/>
          <w:szCs w:val="52"/>
        </w:rPr>
      </w:pPr>
    </w:p>
    <w:p w14:paraId="76A65F60">
      <w:pPr>
        <w:spacing w:line="540" w:lineRule="exact"/>
        <w:jc w:val="center"/>
        <w:rPr>
          <w:rFonts w:hint="eastAsia" w:ascii="华文中宋" w:hAnsi="华文中宋" w:eastAsia="华文中宋" w:cs="宋体"/>
          <w:b/>
          <w:kern w:val="0"/>
          <w:sz w:val="52"/>
          <w:szCs w:val="52"/>
          <w:lang w:eastAsia="zh-CN"/>
        </w:rPr>
      </w:pPr>
    </w:p>
    <w:p w14:paraId="7E0399B6">
      <w:pPr>
        <w:spacing w:line="540" w:lineRule="exact"/>
        <w:jc w:val="center"/>
        <w:rPr>
          <w:rFonts w:ascii="华文中宋" w:hAnsi="华文中宋" w:eastAsia="华文中宋" w:cs="宋体"/>
          <w:b/>
          <w:kern w:val="0"/>
          <w:sz w:val="52"/>
          <w:szCs w:val="52"/>
        </w:rPr>
      </w:pPr>
    </w:p>
    <w:p w14:paraId="725CD0B3">
      <w:pPr>
        <w:spacing w:line="540" w:lineRule="exact"/>
        <w:jc w:val="center"/>
        <w:rPr>
          <w:rFonts w:ascii="华文中宋" w:hAnsi="华文中宋" w:eastAsia="华文中宋" w:cs="宋体"/>
          <w:b/>
          <w:kern w:val="0"/>
          <w:sz w:val="52"/>
          <w:szCs w:val="52"/>
        </w:rPr>
      </w:pPr>
    </w:p>
    <w:p w14:paraId="487AD113">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655D7C03">
      <w:pPr>
        <w:spacing w:line="540" w:lineRule="exact"/>
        <w:jc w:val="center"/>
        <w:rPr>
          <w:rFonts w:ascii="华文中宋" w:hAnsi="华文中宋" w:eastAsia="华文中宋" w:cs="宋体"/>
          <w:b/>
          <w:kern w:val="0"/>
          <w:sz w:val="52"/>
          <w:szCs w:val="52"/>
        </w:rPr>
      </w:pPr>
    </w:p>
    <w:p w14:paraId="055D017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AB7228C">
      <w:pPr>
        <w:spacing w:line="540" w:lineRule="exact"/>
        <w:jc w:val="center"/>
        <w:rPr>
          <w:rFonts w:hAnsi="宋体" w:eastAsia="仿宋_GB2312" w:cs="宋体"/>
          <w:kern w:val="0"/>
          <w:sz w:val="30"/>
          <w:szCs w:val="30"/>
        </w:rPr>
      </w:pPr>
    </w:p>
    <w:p w14:paraId="180AA5E2">
      <w:pPr>
        <w:spacing w:line="540" w:lineRule="exact"/>
        <w:jc w:val="center"/>
        <w:rPr>
          <w:rFonts w:hAnsi="宋体" w:eastAsia="仿宋_GB2312" w:cs="宋体"/>
          <w:kern w:val="0"/>
          <w:sz w:val="30"/>
          <w:szCs w:val="30"/>
        </w:rPr>
      </w:pPr>
    </w:p>
    <w:p w14:paraId="032886F9">
      <w:pPr>
        <w:spacing w:line="540" w:lineRule="exact"/>
        <w:jc w:val="center"/>
        <w:rPr>
          <w:rFonts w:hAnsi="宋体" w:eastAsia="仿宋_GB2312" w:cs="宋体"/>
          <w:kern w:val="0"/>
          <w:sz w:val="30"/>
          <w:szCs w:val="30"/>
        </w:rPr>
      </w:pPr>
    </w:p>
    <w:p w14:paraId="22CDEDD0">
      <w:pPr>
        <w:spacing w:line="540" w:lineRule="exact"/>
        <w:jc w:val="center"/>
        <w:rPr>
          <w:rFonts w:hAnsi="宋体" w:eastAsia="仿宋_GB2312" w:cs="宋体"/>
          <w:kern w:val="0"/>
          <w:sz w:val="30"/>
          <w:szCs w:val="30"/>
        </w:rPr>
      </w:pPr>
    </w:p>
    <w:p w14:paraId="0EFECB72">
      <w:pPr>
        <w:spacing w:line="540" w:lineRule="exact"/>
        <w:jc w:val="center"/>
        <w:rPr>
          <w:rFonts w:hAnsi="宋体" w:eastAsia="仿宋_GB2312" w:cs="宋体"/>
          <w:kern w:val="0"/>
          <w:sz w:val="30"/>
          <w:szCs w:val="30"/>
        </w:rPr>
      </w:pPr>
    </w:p>
    <w:p w14:paraId="1AC5AB76">
      <w:pPr>
        <w:spacing w:line="540" w:lineRule="exact"/>
        <w:jc w:val="center"/>
        <w:rPr>
          <w:rFonts w:hAnsi="宋体" w:eastAsia="仿宋_GB2312" w:cs="宋体"/>
          <w:kern w:val="0"/>
          <w:sz w:val="30"/>
          <w:szCs w:val="30"/>
        </w:rPr>
      </w:pPr>
    </w:p>
    <w:p w14:paraId="20350D72">
      <w:pPr>
        <w:spacing w:line="540" w:lineRule="exact"/>
        <w:rPr>
          <w:rFonts w:hAnsi="宋体" w:eastAsia="仿宋_GB2312" w:cs="宋体"/>
          <w:kern w:val="0"/>
          <w:sz w:val="30"/>
          <w:szCs w:val="30"/>
        </w:rPr>
      </w:pPr>
    </w:p>
    <w:p w14:paraId="095815C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2A728B3">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2"/>
          <w:szCs w:val="32"/>
        </w:rPr>
        <w:t>关于提前下达2024年中央农业生态资源保护资金预算的通知</w:t>
      </w:r>
    </w:p>
    <w:p w14:paraId="59749C14">
      <w:pPr>
        <w:spacing w:line="540" w:lineRule="exact"/>
        <w:ind w:firstLine="567"/>
        <w:rPr>
          <w:rStyle w:val="19"/>
          <w:rFonts w:hint="eastAsia"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9"/>
          <w:rFonts w:hint="eastAsia" w:ascii="楷体" w:hAnsi="楷体" w:eastAsia="楷体"/>
          <w:b w:val="0"/>
          <w:bCs w:val="0"/>
          <w:spacing w:val="-4"/>
          <w:sz w:val="32"/>
          <w:szCs w:val="32"/>
        </w:rPr>
        <w:t>哈密市伊州区农业农村局</w:t>
      </w:r>
    </w:p>
    <w:p w14:paraId="4425C4E6">
      <w:pPr>
        <w:spacing w:line="540" w:lineRule="exact"/>
        <w:ind w:firstLine="900" w:firstLineChars="250"/>
        <w:rPr>
          <w:rStyle w:val="19"/>
          <w:rFonts w:hint="eastAsia" w:ascii="楷体" w:hAnsi="楷体" w:eastAsia="楷体"/>
          <w:b w:val="0"/>
          <w:bCs w:val="0"/>
          <w:spacing w:val="-4"/>
          <w:sz w:val="32"/>
          <w:szCs w:val="32"/>
        </w:rPr>
      </w:pPr>
      <w:r>
        <w:rPr>
          <w:rFonts w:hint="eastAsia" w:hAnsi="宋体" w:eastAsia="仿宋_GB2312" w:cs="宋体"/>
          <w:b w:val="0"/>
          <w:bCs w:val="0"/>
          <w:kern w:val="0"/>
          <w:sz w:val="36"/>
          <w:szCs w:val="36"/>
        </w:rPr>
        <w:t>主管部门（公章）：</w:t>
      </w:r>
      <w:r>
        <w:rPr>
          <w:rStyle w:val="19"/>
          <w:rFonts w:hint="eastAsia" w:ascii="楷体" w:hAnsi="楷体" w:eastAsia="楷体"/>
          <w:b w:val="0"/>
          <w:bCs w:val="0"/>
          <w:spacing w:val="-4"/>
          <w:sz w:val="32"/>
          <w:szCs w:val="32"/>
        </w:rPr>
        <w:t>哈密市伊州区农业农村局</w:t>
      </w:r>
    </w:p>
    <w:p w14:paraId="660EEB5F">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9"/>
          <w:rFonts w:hint="eastAsia" w:ascii="楷体" w:hAnsi="楷体" w:eastAsia="楷体"/>
          <w:b w:val="0"/>
          <w:bCs w:val="0"/>
          <w:spacing w:val="-4"/>
          <w:sz w:val="32"/>
          <w:szCs w:val="32"/>
        </w:rPr>
        <w:t>郝洋子</w:t>
      </w:r>
    </w:p>
    <w:p w14:paraId="7770907B">
      <w:pPr>
        <w:spacing w:line="540" w:lineRule="exact"/>
        <w:ind w:left="273" w:firstLine="567"/>
        <w:rPr>
          <w:rStyle w:val="19"/>
          <w:rFonts w:ascii="黑体" w:hAnsi="黑体" w:eastAsia="黑体"/>
          <w:b w:val="0"/>
          <w:bCs w:val="0"/>
          <w:spacing w:val="-4"/>
          <w:sz w:val="32"/>
          <w:szCs w:val="32"/>
        </w:rPr>
      </w:pPr>
      <w:r>
        <w:rPr>
          <w:rFonts w:hint="eastAsia" w:hAnsi="宋体" w:eastAsia="仿宋_GB2312" w:cs="宋体"/>
          <w:b w:val="0"/>
          <w:bCs w:val="0"/>
          <w:kern w:val="0"/>
          <w:sz w:val="36"/>
          <w:szCs w:val="36"/>
        </w:rPr>
        <w:t>填报时间：</w:t>
      </w:r>
      <w:r>
        <w:rPr>
          <w:rStyle w:val="19"/>
          <w:rFonts w:hint="eastAsia" w:ascii="楷体" w:hAnsi="楷体" w:eastAsia="楷体"/>
          <w:b w:val="0"/>
          <w:bCs w:val="0"/>
          <w:spacing w:val="-4"/>
          <w:sz w:val="32"/>
          <w:szCs w:val="32"/>
        </w:rPr>
        <w:t>2025年05月23日</w:t>
      </w:r>
    </w:p>
    <w:p w14:paraId="55F1AB0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5F17574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76DFDEC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2CDA9E7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color w:val="FF0000"/>
          <w:spacing w:val="-4"/>
          <w:sz w:val="32"/>
          <w:szCs w:val="32"/>
        </w:rPr>
        <w:t>文件要求</w:t>
      </w:r>
      <w:r>
        <w:rPr>
          <w:rStyle w:val="19"/>
          <w:rFonts w:hint="eastAsia" w:ascii="楷体" w:hAnsi="楷体" w:eastAsia="楷体"/>
          <w:b w:val="0"/>
          <w:bCs w:val="0"/>
          <w:spacing w:val="-4"/>
          <w:sz w:val="32"/>
          <w:szCs w:val="32"/>
        </w:rPr>
        <w:t>，为了解决草原保护与生态恢复问题，达到草原生态保护、农牧民生活改善、草牧业生产转型和可持续发展，实现牧区生产生活互促共赢的效果，我单位申报实施了2024年第三轮草原生态保护补助项目。同时，为了确保该项目的顺利实施，单位于2024年制定印发了绩效考核管理办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本项目于2024年1月开始实施，</w:t>
      </w:r>
      <w:r>
        <w:rPr>
          <w:rStyle w:val="19"/>
          <w:rFonts w:hint="eastAsia" w:ascii="楷体" w:hAnsi="楷体" w:eastAsia="楷体"/>
          <w:b w:val="0"/>
          <w:bCs w:val="0"/>
          <w:spacing w:val="-4"/>
          <w:sz w:val="32"/>
          <w:szCs w:val="32"/>
          <w:lang w:val="en-US" w:eastAsia="zh-CN"/>
        </w:rPr>
        <w:t>截至</w:t>
      </w:r>
      <w:r>
        <w:rPr>
          <w:rStyle w:val="19"/>
          <w:rFonts w:hint="eastAsia" w:ascii="楷体" w:hAnsi="楷体" w:eastAsia="楷体"/>
          <w:b w:val="0"/>
          <w:bCs w:val="0"/>
          <w:spacing w:val="-4"/>
          <w:sz w:val="32"/>
          <w:szCs w:val="32"/>
        </w:rPr>
        <w:t>2024年12月已全部完成，通过本项目的实施，有效促进了草原生态环境稳固恢复，尤其是继续实施水源涵养区禁牧和喀尔里克冰川草原禁牧，持续巩固东天山生态保护与修复成果，为顺利实施东天山生态保护与修复工程奠定基础。同时引导农牧民合理配置载畜量，科学利用天然草原，促进草原生态环境持续改善，加快草原畜牧业生产方式转变，促进牛羊生产高质高效发展，稳步提升农牧民收入水平和改善生活条件，为加快实施乡村振兴战略、建设生态文明、维护民族团结和边疆稳定做出积极贡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2024年第三轮草原生态保护补助项目计划拨付7354.</w:t>
      </w:r>
      <w:r>
        <w:rPr>
          <w:rStyle w:val="19"/>
          <w:rFonts w:hint="eastAsia" w:ascii="楷体" w:hAnsi="楷体" w:eastAsia="楷体"/>
          <w:b w:val="0"/>
          <w:bCs w:val="0"/>
          <w:spacing w:val="-4"/>
          <w:sz w:val="32"/>
          <w:szCs w:val="32"/>
          <w:lang w:val="en-US" w:eastAsia="zh-CN"/>
        </w:rPr>
        <w:t>11</w:t>
      </w:r>
      <w:r>
        <w:rPr>
          <w:rStyle w:val="19"/>
          <w:rFonts w:hint="eastAsia" w:ascii="楷体" w:hAnsi="楷体" w:eastAsia="楷体"/>
          <w:b w:val="0"/>
          <w:bCs w:val="0"/>
          <w:spacing w:val="-4"/>
          <w:sz w:val="32"/>
          <w:szCs w:val="32"/>
        </w:rPr>
        <w:t>万元，项目于2023年12月15日批复预算资金7354.</w:t>
      </w:r>
      <w:r>
        <w:rPr>
          <w:rStyle w:val="19"/>
          <w:rFonts w:hint="eastAsia" w:ascii="楷体" w:hAnsi="楷体" w:eastAsia="楷体"/>
          <w:b w:val="0"/>
          <w:bCs w:val="0"/>
          <w:spacing w:val="-4"/>
          <w:sz w:val="32"/>
          <w:szCs w:val="32"/>
          <w:lang w:val="en-US" w:eastAsia="zh-CN"/>
        </w:rPr>
        <w:t>11</w:t>
      </w:r>
      <w:r>
        <w:rPr>
          <w:rStyle w:val="19"/>
          <w:rFonts w:hint="eastAsia" w:ascii="楷体" w:hAnsi="楷体" w:eastAsia="楷体"/>
          <w:b w:val="0"/>
          <w:bCs w:val="0"/>
          <w:spacing w:val="-4"/>
          <w:sz w:val="32"/>
          <w:szCs w:val="32"/>
        </w:rPr>
        <w:t>万元，截至2024年12月31日，根据自治区</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要求，伊州区林草局核对被征收、征用的草场面积共0.21928万亩，</w:t>
      </w:r>
      <w:r>
        <w:rPr>
          <w:rStyle w:val="19"/>
          <w:rFonts w:hint="eastAsia" w:ascii="楷体" w:hAnsi="楷体" w:eastAsia="楷体"/>
          <w:b w:val="0"/>
          <w:bCs w:val="0"/>
          <w:spacing w:val="-4"/>
          <w:sz w:val="32"/>
          <w:szCs w:val="32"/>
          <w:lang w:val="en-US" w:eastAsia="zh-CN"/>
        </w:rPr>
        <w:t>预算</w:t>
      </w:r>
      <w:r>
        <w:rPr>
          <w:rStyle w:val="19"/>
          <w:rFonts w:hint="eastAsia" w:ascii="楷体" w:hAnsi="楷体" w:eastAsia="楷体"/>
          <w:b w:val="0"/>
          <w:bCs w:val="0"/>
          <w:spacing w:val="-4"/>
          <w:sz w:val="32"/>
          <w:szCs w:val="32"/>
        </w:rPr>
        <w:t>资金0.6</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万元，实发资金7354.11万元。项目用于支付各乡镇农牧民草原保护生态保护补助资金，项目资金支付7354.11万元，资金到位率100%，预算执行率为100%。</w:t>
      </w:r>
    </w:p>
    <w:p w14:paraId="16DE83E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F6BB37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本项目总体目标为：本项目计划投入7354.</w:t>
      </w:r>
      <w:r>
        <w:rPr>
          <w:rStyle w:val="19"/>
          <w:rFonts w:hint="eastAsia" w:ascii="楷体" w:hAnsi="楷体" w:eastAsia="楷体"/>
          <w:b w:val="0"/>
          <w:bCs w:val="0"/>
          <w:spacing w:val="-4"/>
          <w:sz w:val="32"/>
          <w:szCs w:val="32"/>
          <w:lang w:val="en-US" w:eastAsia="zh-CN"/>
        </w:rPr>
        <w:t>11</w:t>
      </w:r>
      <w:r>
        <w:rPr>
          <w:rStyle w:val="19"/>
          <w:rFonts w:hint="eastAsia" w:ascii="楷体" w:hAnsi="楷体" w:eastAsia="楷体"/>
          <w:b w:val="0"/>
          <w:bCs w:val="0"/>
          <w:spacing w:val="-4"/>
          <w:sz w:val="32"/>
          <w:szCs w:val="32"/>
        </w:rPr>
        <w:t>万元资金，全区共落实草原生态保护奖励总面积2002.4505万亩，其中:禁牧草原439.2387万亩，补助资金3446.73万元(严重退化区禁牧388.4735万亩（6元/亩）补助资金2330.84万元，水源涵养区草原禁牧7万亩（50元/亩）补助资金350万元，喀尔里克冰川周边草原禁牧区43.7652万亩（17.50元/亩）补助资金765.89万元)，草畜平衡1563.2118万亩（2.5元/亩）补助资金3908.0</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万元。</w:t>
      </w:r>
    </w:p>
    <w:p w14:paraId="31BE75B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2024年伊州区共发放草原生态保护奖励总面积2002.4505万亩，其中：禁牧草原439.2387万亩，资金3446.73万元（已征收征用0.028602万亩、0.17万元）实发3446.56万元，草畜平衡1563.2118万亩，资金3908.0</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万元（已征收征用0.190678万亩、0.4</w:t>
      </w:r>
      <w:r>
        <w:rPr>
          <w:rStyle w:val="19"/>
          <w:rFonts w:hint="eastAsia" w:ascii="楷体" w:hAnsi="楷体" w:eastAsia="楷体"/>
          <w:b w:val="0"/>
          <w:bCs w:val="0"/>
          <w:spacing w:val="-4"/>
          <w:sz w:val="32"/>
          <w:szCs w:val="32"/>
          <w:lang w:val="en-US" w:eastAsia="zh-CN"/>
        </w:rPr>
        <w:t>8</w:t>
      </w:r>
      <w:r>
        <w:rPr>
          <w:rStyle w:val="19"/>
          <w:rFonts w:hint="eastAsia" w:ascii="楷体" w:hAnsi="楷体" w:eastAsia="楷体"/>
          <w:b w:val="0"/>
          <w:bCs w:val="0"/>
          <w:spacing w:val="-4"/>
          <w:sz w:val="32"/>
          <w:szCs w:val="32"/>
        </w:rPr>
        <w:t>万元）应发3907.55万元，共征收征用资金0.6</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万元，共实发资金7354.11万元。</w:t>
      </w:r>
    </w:p>
    <w:p w14:paraId="30DE273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 xml:space="preserve">通过实施草原生态保护补助奖励政策，继续推行草原禁牧和草畜平衡制度，促进草原生态稳固恢复，促进草原生态环境持续改善。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数量指标：①发放草原生态保护补助奖励禁牧区面积不低于439.24万亩；②发放草原生态保护补助奖励草畜平衡面积不低于1563.21万亩；</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质量指标：资金使用合规率达到100%；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时效指标：补助奖励资金发放及时率达到100%。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经济成本指标：①禁牧区补助奖励金额不高于3446.56万元；②草畜平衡补助奖励金不高于3907.55万元。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生态效益指标：全区生态草原环境进一步改善。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可持续影响指标：天然草原生产能力有所提高。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满意度指标：群众对草原生态保护补助奖励政策满意度不低于95%。</w:t>
      </w:r>
    </w:p>
    <w:p w14:paraId="2F620EC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376F3104">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067000F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绩效评价目的、对象和范围：</w:t>
      </w:r>
    </w:p>
    <w:p w14:paraId="0DE55C0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文件精神，对2024年第三轮草原生态保护补助项目绩效目标实现情况进行自评。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70F7D3F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DB0C624">
      <w:pPr>
        <w:spacing w:line="540" w:lineRule="exact"/>
        <w:ind w:left="319" w:leftChars="152" w:firstLine="530" w:firstLineChars="17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绩效评价原则、评价指标体系、评价方法、评价标准：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预算编制：预算编制科学性，权重3分；资金分配合理性，权重2分。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组织实施：管理制度健全性，权重5分，制度执行有效性，权重6分。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产出数量：发放草原生态保护补助奖励禁牧区面积，权重3分。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产出数量：发放草原生态保护补助奖励草畜平衡面积，权重3分</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产出质量指标：资金使用合规率，权重5分。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产出时效指标：补助奖励资金发放及时率，权重5分。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产出成本指标：禁牧区补助奖励金额，权重3分。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产出成本指标：草畜平衡补助奖励金，权重3分。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生态效益指标：全区生态草原环境进一步改善，权重15分。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可持续影响指标：天然草原生产能力有所提高，权重15分。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 xml:space="preserve"> （</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服务对象满意度指标：群众对草原生态保护补助奖励政策满意度，权重8分。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2024年第三轮草原生态保护补助项目绩效评价主要通过项目单位自评、主管部门监督、财政部门参评的方式开展绩效评价</w:t>
      </w:r>
      <w:r>
        <w:rPr>
          <w:rStyle w:val="19"/>
          <w:rFonts w:hint="eastAsia" w:ascii="楷体" w:hAnsi="楷体" w:eastAsia="楷体"/>
          <w:b w:val="0"/>
          <w:bCs w:val="0"/>
          <w:spacing w:val="-4"/>
          <w:sz w:val="32"/>
          <w:szCs w:val="32"/>
          <w:lang w:val="en-US" w:eastAsia="zh-CN"/>
        </w:rPr>
        <w:t>工</w:t>
      </w:r>
      <w:r>
        <w:rPr>
          <w:rStyle w:val="19"/>
          <w:rFonts w:hint="eastAsia" w:ascii="楷体" w:hAnsi="楷体" w:eastAsia="楷体"/>
          <w:b w:val="0"/>
          <w:bCs w:val="0"/>
          <w:spacing w:val="-4"/>
          <w:sz w:val="32"/>
          <w:szCs w:val="32"/>
        </w:rPr>
        <w:t>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单位自评采用定量与定性评价相结合的比较法，总分由各项指标得分汇总形成。</w:t>
      </w:r>
    </w:p>
    <w:p w14:paraId="0AEBCC15">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2820A62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绩效评价工作过程：</w:t>
      </w:r>
    </w:p>
    <w:p w14:paraId="7F5D701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21B84DC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5EDC9CA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（1）项目全过程资料档案复核</w:t>
      </w:r>
    </w:p>
    <w:p w14:paraId="67D96C7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14:paraId="0C902D7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14:paraId="0849F87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发放调查问卷开展群众对草原生态保护补助奖励政策满意度调查工作。</w:t>
      </w:r>
    </w:p>
    <w:p w14:paraId="68D3AF3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（3）撰写报告情况</w:t>
      </w:r>
    </w:p>
    <w:p w14:paraId="3C5411E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0D6E983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30F54BC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分，自评结果为“优”，其中项目决策得分17分，项目过程得分20.99分，项目产出得分21.96分，项目效益得分30分，项目满意度得分8分。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综合评价结论：项目决策方面，项目立项依据充分，绩效目标明确、合理，预算编制的测算标准合理、但是测算过程细化度不够，需要进一步加强预算编制水平；项目过程方面，资金到位及时，同时预算执行资金与预算编制资金一致，执行率为100%，单位的管理制度健全性和制度执行有效性需要进一步完善提升；项目产出方面，产出数量、产出质量、产出时效、产出成本都按照实施方案执行，项目结果与预期目标一致；项目效益方面，通过实施项目以及向农牧民宣传政策，经济效益和生态效益达到了理想的效果；项目满意度方面，根据对享受项目政策的农牧民培养正确的消费观，同时通过一卡通发放农牧民的资金，群众对草原生态保护补助奖励政策满意度达到较高。</w:t>
      </w:r>
    </w:p>
    <w:p w14:paraId="2A1DBAB1">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3D127B4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51FA957E">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项目决策情况：</w:t>
      </w:r>
    </w:p>
    <w:p w14:paraId="6B6A56B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（1）本项目是由哈密市伊州区农业农村局提出申报，于2023年12月批复设立，2024年我单位根据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文件要求。组织实施该项目。项目立项符合国家法律法规、自治区和地区行业发展规划和政策要求，属于本部门履职所需。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（2）立项程序规范性，满分2分，得分2分，得分率100%。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项目立项符合规定程序，审批文件等材料合规、完整，有完整的评估程序和集体决策。</w:t>
      </w:r>
    </w:p>
    <w:p w14:paraId="469A10A1">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 xml:space="preserve"> 2.绩效目标</w:t>
      </w:r>
    </w:p>
    <w:p w14:paraId="318EE6B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本项目已将项目绩效目标细化分解为具体的绩效指标，并通过清晰、可衡量的指标值予以体现，与项目目标任务数或计划数相对应。</w:t>
      </w:r>
    </w:p>
    <w:p w14:paraId="51C019DF">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本项目制定了项目支出绩效目标，明确了项目总体思路及总目标、并对项目任务进行了详细分解，对目标进行了细化。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p>
    <w:p w14:paraId="2991DFFF">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（1）预算编制科学性，满分3分，得分3分，得分率100%。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预算编制经过科学论证，内容与项目内容匹配，项目投资额与工作任务相匹配，测算项目支出标准符合相关政策制度规定。</w:t>
      </w:r>
    </w:p>
    <w:p w14:paraId="7765749F">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（2）资金分配合理性，满分2分，得分2分，得分率100%。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项目资金预算分配依据充分，资金分配额度合理，测算成本与项目地方实际相适应。按照各乡（镇）具体草场面积合理分配</w:t>
      </w:r>
      <w:r>
        <w:rPr>
          <w:rStyle w:val="19"/>
          <w:rFonts w:hint="eastAsia" w:ascii="楷体" w:hAnsi="楷体" w:eastAsia="楷体"/>
          <w:b w:val="0"/>
          <w:bCs w:val="0"/>
          <w:spacing w:val="-4"/>
          <w:sz w:val="32"/>
          <w:szCs w:val="32"/>
          <w:lang w:eastAsia="zh-CN"/>
        </w:rPr>
        <w:tab/>
      </w:r>
    </w:p>
    <w:p w14:paraId="6EFB68BA">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53D91A0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项目过程情况：</w:t>
      </w:r>
    </w:p>
    <w:p w14:paraId="7911909D">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该项目所需财政资金能够足额拨付到位，牵头单位能够及时足额按照实施方案将专项资金拨付给单位。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（2）预算执行率，满分6分，得分5.99分，得分率99.8%。</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本项目预算编制较为详细，预算资金7354.</w:t>
      </w:r>
      <w:r>
        <w:rPr>
          <w:rStyle w:val="19"/>
          <w:rFonts w:hint="eastAsia" w:ascii="楷体" w:hAnsi="楷体" w:eastAsia="楷体"/>
          <w:b w:val="0"/>
          <w:bCs w:val="0"/>
          <w:spacing w:val="-4"/>
          <w:sz w:val="32"/>
          <w:szCs w:val="32"/>
          <w:lang w:val="en-US" w:eastAsia="zh-CN"/>
        </w:rPr>
        <w:t>11</w:t>
      </w:r>
      <w:r>
        <w:rPr>
          <w:rStyle w:val="19"/>
          <w:rFonts w:hint="eastAsia" w:ascii="楷体" w:hAnsi="楷体" w:eastAsia="楷体"/>
          <w:b w:val="0"/>
          <w:bCs w:val="0"/>
          <w:spacing w:val="-4"/>
          <w:sz w:val="32"/>
          <w:szCs w:val="32"/>
        </w:rPr>
        <w:t>万元，实际执行7354.11万元，征收征用不应发资金0.6</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万元，预算执行率为</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%，项目资金支出总体能够按照预算执行。</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（2）管理制度健全性，满分5分，得分4分，得分率80%。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我单位根据项目实施方案，各组织单位分工明确，同时对财政专项资金进行严格管理，基本做到了专款专用，但我单位管理制度还有一些方面不够完善，需要进一步改善。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（3）制度执行有效性，满分6分，得分5分，得分率83.33%。</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由部门提出经费预算支出可行性方案，经过与市政府分管领导沟通后，报党委会议研究执行，财务对资金的使用合法合规性进行监督，年底对资金使用效果进行自评，在项目实施和执行的过程中，对享受政策的农牧民户数的一些情况了解不够全面，信息收集方面需要加强。</w:t>
      </w:r>
    </w:p>
    <w:p w14:paraId="004040F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FF1070C">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项目产出情况：</w:t>
      </w:r>
    </w:p>
    <w:p w14:paraId="481F008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4F5FF6F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（1）发放草原生态保护补助奖励禁牧区面积，满分3分，得分2.99分，得分率99.67%。</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根据上</w:t>
      </w:r>
      <w:r>
        <w:rPr>
          <w:rStyle w:val="19"/>
          <w:rFonts w:hint="eastAsia" w:ascii="楷体" w:hAnsi="楷体" w:eastAsia="楷体"/>
          <w:b w:val="0"/>
          <w:bCs w:val="0"/>
          <w:spacing w:val="-4"/>
          <w:sz w:val="32"/>
          <w:szCs w:val="32"/>
        </w:rPr>
        <w:t>级下发的项目实施方案和农牧民草场证可知，实施草原补助奖励禁牧区总面积为439.24万亩，实际完成禁牧区总面积为439.21万亩，与预期目标有差距。</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（2）发放草原生态保护补助奖励草畜平衡面积，满分3分，得分2.99分，得分率99.67%。</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根据上级下发的项目实施方案和农牧民草场证可知，实施草原补助奖励草畜平衡管理补助奖励面积为1563.21万亩，实际完成,草畜平衡管理补助奖励面积为1563.02万亩，与预期目标有差距。</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资金使用合规率，满分5分，得分5分，得分率100%。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通过拨款凭证，该项目资金通过一卡通机构类批量代付户系统进行发放，该系统通过乡镇录入符合享受奖励政策的农牧民信息，再逐级审核最后通过银行拨付，符合专款专用，与预期指标一致。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补助奖励资金发放及时率，满分5分，得分5分，得分率100%。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根据资金支付凭证显示，该项目于2024年12月完成支付，按项目实施方案，资金已于2024年9月全部支付完毕，与预期目标指标一致。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（1）禁牧区补助奖励金额，满分3分，得分2.99分，得分率99.67%。</w:t>
      </w:r>
    </w:p>
    <w:p w14:paraId="18AE1D9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根据资金支付凭证和实施方案，以及资金发放明细，实施项目禁牧区资金3446.73万元，实际禁牧区补助奖励拨付金额3446.56万元，执行成本与预算成本有差距。</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（2）草畜平衡补助奖励金，满分3分，得分2.99分，得分率99.67%。</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根据资金支付凭证和实施方案，以及资金发放明细，实施项目草畜平衡资金3908.03万元，实际草畜平衡补助奖励金3907.55万元，执行成本与预算成本有差距。</w:t>
      </w:r>
    </w:p>
    <w:p w14:paraId="1E26F56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1CBE6DC1">
      <w:pPr>
        <w:spacing w:line="540" w:lineRule="exact"/>
        <w:ind w:firstLine="567"/>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项目效益情况：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1.生态效益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全区生态草原环境进一步改善，满分15分，得分15分，得分率100%。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根据连续三轮草原补助奖励政策实施，广大农牧民积极配合项目实施，变被动为主动，达到了保护天然草原、推进生态恢复、民生改善目标，促进了草原生态环境稳步恢复，持续巩固东天山生态保护与修复成果。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2.可持续影响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全区天然草原生产能力有所提高，满分15分，得分15分，得分率100%。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经过连续三轮的草原补助奖励政策实施，秉持“环保优先，生态立区”的理念，广大牧民基本上达到了在思想上认识、态度上接受、行动上配合草原禁牧和草畜平衡工作的开展，变被动实行草原禁牧和草畜平衡为主动自觉行为，达到保护天然草原、推进生态恢复、民生改善的目标。巩固了草原禁牧和草畜平衡成果，同时引导牧民合理使用补助奖励资金，大力实施“行业转人、草原减畜、生产能力转移”，创新了草原畜牧业发展模式，加快了传统畜牧业改造提升和生态文明样板区建设，促进草原生态环境稳步恢复。</w:t>
      </w:r>
    </w:p>
    <w:p w14:paraId="544BA373">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738CD53C">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服务对象满意度：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群众对草原生态保护补助奖励政策满意度，满分8分，得分8分，得分率100%。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根据对享受项目政策的农牧民培养正确的消费观，对农牧民的资金支出等方面调查可知，以及展开调查问卷，农牧民满意度达95%以上。</w:t>
      </w:r>
    </w:p>
    <w:p w14:paraId="1FF6627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229584F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主要经验及做法、存在的问题及原因分析</w:t>
      </w:r>
    </w:p>
    <w:p w14:paraId="5914C920">
      <w:pPr>
        <w:numPr>
          <w:ilvl w:val="0"/>
          <w:numId w:val="1"/>
        </w:num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主要经验及做法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1.聚焦重点任务，推动项目工作落地落实</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分工和工作流程，明确责任和时间节点，一项一项抓好具体落实，确保了项目按时保质完成，保障了项目效益发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2.坚持问题导向，加强执行监控，提高资金效益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3.强化绩效目标刚性约束，及时对项目进行跟踪问效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1.绩效预算认识不够充分，绩效理念有待进一步强化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部门绩效管理理念尚未牢固树立，绩效管理专业人员匮乏。单位对全面实施绩效管理认识不够，绩效水平不高，单位绩效管理工作力量薄弱，多数以财务人员牵头开展绩效管理，工作推动机制不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w:t>
      </w:r>
      <w:r>
        <w:rPr>
          <w:rStyle w:val="19"/>
          <w:rFonts w:hint="eastAsia" w:ascii="楷体" w:hAnsi="楷体" w:eastAsia="楷体"/>
          <w:b w:val="0"/>
          <w:bCs w:val="0"/>
          <w:spacing w:val="-4"/>
          <w:sz w:val="32"/>
          <w:szCs w:val="32"/>
        </w:rPr>
        <w:t>全，业务人员业务能力和素质还有待进一步提升。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2.绩效档案归档工作有待提高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对档案工作重视程度不高，意识淡薄。二是单位人员对档案管理工作缺少针对性和目的性，对绩效档案工作重要性的认识不足，缺乏熟练的业务知识，使绩效档案管理与实际业务存在一定偏差，未发挥其综合价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3.项目支出绩效评价存在</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限性，客观性有待加强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项目支出绩效评价工作还存在</w:t>
      </w:r>
      <w:r>
        <w:rPr>
          <w:rStyle w:val="19"/>
          <w:rFonts w:hint="eastAsia" w:ascii="楷体" w:hAnsi="楷体" w:eastAsia="楷体"/>
          <w:b w:val="0"/>
          <w:bCs w:val="0"/>
          <w:color w:val="FF0000"/>
          <w:spacing w:val="-4"/>
          <w:sz w:val="32"/>
          <w:szCs w:val="32"/>
        </w:rPr>
        <w:t>自我审定的</w:t>
      </w:r>
      <w:r>
        <w:rPr>
          <w:rStyle w:val="19"/>
          <w:rFonts w:hint="eastAsia" w:ascii="楷体" w:hAnsi="楷体" w:eastAsia="楷体"/>
          <w:b w:val="0"/>
          <w:bCs w:val="0"/>
          <w:color w:val="FF0000"/>
          <w:spacing w:val="-4"/>
          <w:sz w:val="32"/>
          <w:szCs w:val="32"/>
          <w:lang w:val="en-US" w:eastAsia="zh-CN"/>
        </w:rPr>
        <w:t>局</w:t>
      </w:r>
      <w:r>
        <w:rPr>
          <w:rStyle w:val="19"/>
          <w:rFonts w:hint="eastAsia" w:ascii="楷体" w:hAnsi="楷体" w:eastAsia="楷体"/>
          <w:b w:val="0"/>
          <w:bCs w:val="0"/>
          <w:color w:val="FF0000"/>
          <w:spacing w:val="-4"/>
          <w:sz w:val="32"/>
          <w:szCs w:val="32"/>
        </w:rPr>
        <w:t>限性</w:t>
      </w:r>
      <w:r>
        <w:rPr>
          <w:rStyle w:val="19"/>
          <w:rFonts w:hint="eastAsia" w:ascii="楷体" w:hAnsi="楷体" w:eastAsia="楷体"/>
          <w:b w:val="0"/>
          <w:bCs w:val="0"/>
          <w:spacing w:val="-4"/>
          <w:sz w:val="32"/>
          <w:szCs w:val="32"/>
        </w:rPr>
        <w:t>，项目支出绩效工作有较大弹性，评价报告多</w:t>
      </w:r>
      <w:r>
        <w:rPr>
          <w:rStyle w:val="19"/>
          <w:rFonts w:hint="eastAsia" w:ascii="楷体" w:hAnsi="楷体" w:eastAsia="楷体"/>
          <w:b w:val="0"/>
          <w:bCs w:val="0"/>
          <w:spacing w:val="-4"/>
          <w:sz w:val="32"/>
          <w:szCs w:val="32"/>
          <w:lang w:val="en-US" w:eastAsia="zh-CN"/>
        </w:rPr>
        <w:t>的</w:t>
      </w:r>
      <w:r>
        <w:rPr>
          <w:rStyle w:val="19"/>
          <w:rFonts w:hint="eastAsia" w:ascii="楷体" w:hAnsi="楷体" w:eastAsia="楷体"/>
          <w:b w:val="0"/>
          <w:bCs w:val="0"/>
          <w:spacing w:val="-4"/>
          <w:sz w:val="32"/>
          <w:szCs w:val="32"/>
        </w:rPr>
        <w:t>单位</w:t>
      </w:r>
      <w:r>
        <w:rPr>
          <w:rStyle w:val="19"/>
          <w:rFonts w:hint="eastAsia" w:ascii="楷体" w:hAnsi="楷体" w:eastAsia="楷体"/>
          <w:b w:val="0"/>
          <w:bCs w:val="0"/>
          <w:spacing w:val="-4"/>
          <w:sz w:val="32"/>
          <w:szCs w:val="32"/>
          <w:lang w:val="en-US" w:eastAsia="zh-CN"/>
        </w:rPr>
        <w:t>局</w:t>
      </w:r>
      <w:bookmarkStart w:id="0" w:name="_GoBack"/>
      <w:bookmarkEnd w:id="0"/>
      <w:r>
        <w:rPr>
          <w:rStyle w:val="19"/>
          <w:rFonts w:hint="eastAsia" w:ascii="楷体" w:hAnsi="楷体" w:eastAsia="楷体"/>
          <w:b w:val="0"/>
          <w:bCs w:val="0"/>
          <w:spacing w:val="-4"/>
          <w:sz w:val="32"/>
          <w:szCs w:val="32"/>
        </w:rPr>
        <w:t>限于描述项目实施情况，对问题避重就轻，对项目的打分松紧不一，会影响评价质量，在客观性和公正性上说服力不强。</w:t>
      </w:r>
    </w:p>
    <w:p w14:paraId="4DDF6FC5">
      <w:pPr>
        <w:spacing w:line="540" w:lineRule="exact"/>
        <w:ind w:firstLine="640"/>
        <w:rPr>
          <w:rStyle w:val="19"/>
          <w:rFonts w:hint="eastAsia" w:ascii="楷体" w:hAnsi="楷体" w:eastAsia="楷体"/>
          <w:b w:val="0"/>
          <w:bCs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2F33AC70">
      <w:pPr>
        <w:spacing w:line="540" w:lineRule="exact"/>
        <w:ind w:firstLine="64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1.加强培训，提高相关人员工作水平。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采取多种培训形式对单位财务人员、业务科室人员进行集中培训，进一步树牢绩效观念，提高本工作人员的绩效管理能力和工作水平，为预算绩效管理相关工作的顺利开展提供保障。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2.扎实推进档案规范化建设，提升档案管理水平。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 高度重视，加强领导。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053FF66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5F79178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7A9FC4BE">
      <w:pPr>
        <w:spacing w:line="540" w:lineRule="exact"/>
        <w:ind w:firstLine="567"/>
        <w:rPr>
          <w:rStyle w:val="19"/>
          <w:rFonts w:ascii="仿宋" w:hAnsi="仿宋" w:eastAsia="仿宋"/>
          <w:b w:val="0"/>
          <w:spacing w:val="-4"/>
          <w:sz w:val="32"/>
          <w:szCs w:val="32"/>
        </w:rPr>
      </w:pPr>
    </w:p>
    <w:p w14:paraId="1171351E">
      <w:pPr>
        <w:spacing w:line="540" w:lineRule="exact"/>
        <w:ind w:firstLine="567"/>
        <w:rPr>
          <w:rStyle w:val="19"/>
          <w:rFonts w:ascii="仿宋" w:hAnsi="仿宋" w:eastAsia="仿宋"/>
          <w:b w:val="0"/>
          <w:spacing w:val="-4"/>
          <w:sz w:val="32"/>
          <w:szCs w:val="32"/>
        </w:rPr>
      </w:pPr>
    </w:p>
    <w:p w14:paraId="75689415">
      <w:pPr>
        <w:spacing w:line="540" w:lineRule="exact"/>
        <w:ind w:firstLine="567"/>
        <w:rPr>
          <w:rStyle w:val="19"/>
          <w:rFonts w:ascii="仿宋" w:hAnsi="仿宋" w:eastAsia="仿宋"/>
          <w:b w:val="0"/>
          <w:spacing w:val="-4"/>
          <w:sz w:val="32"/>
          <w:szCs w:val="32"/>
        </w:rPr>
      </w:pPr>
    </w:p>
    <w:p w14:paraId="404407FD">
      <w:pPr>
        <w:spacing w:line="540" w:lineRule="exact"/>
        <w:ind w:firstLine="567"/>
        <w:rPr>
          <w:rStyle w:val="19"/>
          <w:rFonts w:ascii="仿宋" w:hAnsi="仿宋" w:eastAsia="仿宋"/>
          <w:b w:val="0"/>
          <w:spacing w:val="-4"/>
          <w:sz w:val="32"/>
          <w:szCs w:val="32"/>
        </w:rPr>
      </w:pPr>
    </w:p>
    <w:p w14:paraId="5B7A1A51">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94FB7EE">
        <w:pPr>
          <w:pStyle w:val="12"/>
          <w:jc w:val="center"/>
        </w:pPr>
        <w:r>
          <w:fldChar w:fldCharType="begin"/>
        </w:r>
        <w:r>
          <w:instrText xml:space="preserve">PAGE   \* MERGEFORMAT</w:instrText>
        </w:r>
        <w:r>
          <w:fldChar w:fldCharType="separate"/>
        </w:r>
        <w:r>
          <w:rPr>
            <w:lang w:val="zh-CN"/>
          </w:rPr>
          <w:t>1</w:t>
        </w:r>
        <w:r>
          <w:fldChar w:fldCharType="end"/>
        </w:r>
      </w:p>
    </w:sdtContent>
  </w:sdt>
  <w:p w14:paraId="03B48B41">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22A03">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6E4DF"/>
    <w:multiLevelType w:val="singleLevel"/>
    <w:tmpl w:val="EF06E4D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18415EA7"/>
    <w:rsid w:val="2EEF331E"/>
    <w:rsid w:val="7B17776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22</Pages>
  <Words>7402</Words>
  <Characters>7949</Characters>
  <Lines>5</Lines>
  <Paragraphs>1</Paragraphs>
  <TotalTime>13</TotalTime>
  <ScaleCrop>false</ScaleCrop>
  <LinksUpToDate>false</LinksUpToDate>
  <CharactersWithSpaces>8136</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2025-11-06T08:19:58Z</dcterms:modified>
  <cp:revision>19</cp:revision>
</cp:coreProperties>
</file>

<file path=customXml/itemProps1.xml><?xml version="1.0" encoding="utf-8"?>
<ds:datastoreItem xmlns:ds="http://schemas.openxmlformats.org/officeDocument/2006/customXml" ds:itemID="{c27009fb-09af-462a-b236-6353cab89d58}">
  <ds:schemaRefs/>
</ds:datastoreItem>
</file>

<file path=customXml/itemProps2.xml><?xml version="1.0" encoding="utf-8"?>
<ds:datastoreItem xmlns:ds="http://schemas.openxmlformats.org/officeDocument/2006/customXml" ds:itemID="{83e4c97e-9485-4326-9385-43d8a00768ad}">
  <ds:schemaRefs/>
</ds:datastoreItem>
</file>

<file path=customXml/itemProps3.xml><?xml version="1.0" encoding="utf-8"?>
<ds:datastoreItem xmlns:ds="http://schemas.openxmlformats.org/officeDocument/2006/customXml" ds:itemID="{18fa9bcd-7f1a-4bd4-b5af-945babcbdbe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7039</Words>
  <Characters>7530</Characters>
  <Lines>5</Lines>
  <Paragraphs>1</Paragraphs>
  <TotalTime>29</TotalTime>
  <ScaleCrop>false</ScaleCrop>
  <LinksUpToDate>false</LinksUpToDate>
  <CharactersWithSpaces>7834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2025-11-08T05:40:52Z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