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lang w:eastAsia="zh-CN"/>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特定类-信访工作经费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7"/>
          <w:rFonts w:hint="eastAsia" w:ascii="楷体" w:hAnsi="楷体" w:eastAsia="楷体"/>
          <w:spacing w:val="-4"/>
          <w:sz w:val="28"/>
          <w:szCs w:val="28"/>
        </w:rPr>
        <w:t>哈密市伊州区信访局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哈密市伊州区信访局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莫合塔尔·买买提</w:t>
      </w:r>
    </w:p>
    <w:p>
      <w:pPr>
        <w:spacing w:line="540" w:lineRule="exact"/>
        <w:ind w:left="273" w:firstLine="567"/>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2025年05月16日</w:t>
      </w:r>
    </w:p>
    <w:p>
      <w:pPr>
        <w:spacing w:line="700" w:lineRule="exact"/>
        <w:ind w:firstLine="708" w:firstLineChars="236"/>
        <w:jc w:val="left"/>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rPr>
          <w:rStyle w:val="17"/>
          <w:rFonts w:ascii="黑体" w:hAnsi="黑体" w:eastAsia="黑体"/>
          <w:b w:val="0"/>
          <w:spacing w:val="-4"/>
          <w:sz w:val="32"/>
          <w:szCs w:val="32"/>
        </w:rPr>
      </w:pPr>
      <w:r>
        <w:rPr>
          <w:rStyle w:val="17"/>
          <w:rFonts w:hint="eastAsia" w:ascii="黑体" w:hAnsi="黑体" w:eastAsia="黑体"/>
          <w:b w:val="0"/>
          <w:spacing w:val="-4"/>
          <w:sz w:val="32"/>
          <w:szCs w:val="32"/>
        </w:rPr>
        <w:t>一、基本情况</w:t>
      </w:r>
    </w:p>
    <w:p>
      <w:pPr>
        <w:spacing w:line="540" w:lineRule="exact"/>
        <w:rPr>
          <w:rStyle w:val="17"/>
          <w:rFonts w:ascii="楷体" w:hAnsi="楷体" w:eastAsia="楷体"/>
          <w:spacing w:val="-4"/>
          <w:sz w:val="32"/>
          <w:szCs w:val="32"/>
        </w:rPr>
      </w:pPr>
      <w:r>
        <w:rPr>
          <w:rStyle w:val="17"/>
          <w:rFonts w:hint="eastAsia" w:ascii="楷体" w:hAnsi="楷体" w:eastAsia="楷体"/>
          <w:spacing w:val="-4"/>
          <w:sz w:val="32"/>
          <w:szCs w:val="32"/>
        </w:rPr>
        <w:t>（一）项目概况</w:t>
      </w:r>
    </w:p>
    <w:p>
      <w:pPr>
        <w:spacing w:line="540" w:lineRule="exact"/>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1.项目背景</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信访工作目的是保持党和政府同人民群众密切联系，维护群众合法权益，化解人民内部矛盾，维护社会安定团结。</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2.主要内容及实施情况</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本项目于2024年1月1日开始实施，截</w:t>
      </w:r>
      <w:r>
        <w:rPr>
          <w:rStyle w:val="17"/>
          <w:rFonts w:hint="eastAsia" w:ascii="楷体" w:hAnsi="楷体" w:eastAsia="楷体"/>
          <w:b w:val="0"/>
          <w:bCs w:val="0"/>
          <w:spacing w:val="-4"/>
          <w:sz w:val="32"/>
          <w:szCs w:val="32"/>
          <w:lang w:val="en-US" w:eastAsia="zh-CN"/>
        </w:rPr>
        <w:t>至</w:t>
      </w:r>
      <w:r>
        <w:rPr>
          <w:rStyle w:val="17"/>
          <w:rFonts w:hint="eastAsia" w:ascii="楷体" w:hAnsi="楷体" w:eastAsia="楷体"/>
          <w:b w:val="0"/>
          <w:bCs w:val="0"/>
          <w:spacing w:val="-4"/>
          <w:sz w:val="32"/>
          <w:szCs w:val="32"/>
        </w:rPr>
        <w:t>2024年12月已全部完成，通过本项目的实施，项目主要用于进京赴乌工作差旅保障、网络的运行维护、信访工作点的慰问、设备的购买及维护等，保障信访工作人员正常办公，确保信访工作正常开展。</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3.资金投入和使用情况</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2024年计划拨付31.18万元，项目于2024年2月19日批复预算资金31.18万元，截止202</w:t>
      </w:r>
      <w:r>
        <w:rPr>
          <w:rStyle w:val="17"/>
          <w:rFonts w:hint="eastAsia" w:ascii="楷体" w:hAnsi="楷体" w:eastAsia="楷体"/>
          <w:b w:val="0"/>
          <w:bCs w:val="0"/>
          <w:spacing w:val="-4"/>
          <w:sz w:val="32"/>
          <w:szCs w:val="32"/>
          <w:lang w:val="en-US" w:eastAsia="zh-CN"/>
        </w:rPr>
        <w:t>4</w:t>
      </w:r>
      <w:r>
        <w:rPr>
          <w:rStyle w:val="17"/>
          <w:rFonts w:hint="eastAsia" w:ascii="楷体" w:hAnsi="楷体" w:eastAsia="楷体"/>
          <w:b w:val="0"/>
          <w:bCs w:val="0"/>
          <w:spacing w:val="-4"/>
          <w:sz w:val="32"/>
          <w:szCs w:val="32"/>
        </w:rPr>
        <w:t>年12月31日，项目用于进京赴乌工作差旅费、网络运行维护费、信访工作点慰问经费、设备购买及维护经费等，项目资金支付</w:t>
      </w:r>
      <w:r>
        <w:rPr>
          <w:rStyle w:val="17"/>
          <w:rFonts w:hint="eastAsia" w:ascii="楷体" w:hAnsi="楷体" w:eastAsia="楷体"/>
          <w:b w:val="0"/>
          <w:bCs w:val="0"/>
          <w:spacing w:val="-4"/>
          <w:sz w:val="32"/>
          <w:szCs w:val="32"/>
          <w:lang w:eastAsia="zh-CN"/>
        </w:rPr>
        <w:t>16.30</w:t>
      </w:r>
      <w:r>
        <w:rPr>
          <w:rStyle w:val="17"/>
          <w:rFonts w:hint="eastAsia" w:ascii="楷体" w:hAnsi="楷体" w:eastAsia="楷体"/>
          <w:b w:val="0"/>
          <w:bCs w:val="0"/>
          <w:spacing w:val="-4"/>
          <w:sz w:val="32"/>
          <w:szCs w:val="32"/>
        </w:rPr>
        <w:t>万元，资金</w:t>
      </w:r>
      <w:r>
        <w:rPr>
          <w:rStyle w:val="17"/>
          <w:rFonts w:hint="eastAsia" w:ascii="楷体" w:hAnsi="楷体" w:eastAsia="楷体"/>
          <w:b w:val="0"/>
          <w:bCs w:val="0"/>
          <w:spacing w:val="-4"/>
          <w:sz w:val="32"/>
          <w:szCs w:val="32"/>
          <w:lang w:val="en-US" w:eastAsia="zh-CN"/>
        </w:rPr>
        <w:t>到位率</w:t>
      </w:r>
      <w:r>
        <w:rPr>
          <w:rStyle w:val="17"/>
          <w:rFonts w:hint="eastAsia" w:ascii="楷体" w:hAnsi="楷体" w:eastAsia="楷体"/>
          <w:b w:val="0"/>
          <w:bCs w:val="0"/>
          <w:spacing w:val="-4"/>
          <w:sz w:val="32"/>
          <w:szCs w:val="32"/>
        </w:rPr>
        <w:t>100%，预算执行率为70.</w:t>
      </w:r>
      <w:r>
        <w:rPr>
          <w:rStyle w:val="17"/>
          <w:rFonts w:hint="eastAsia" w:ascii="楷体" w:hAnsi="楷体" w:eastAsia="楷体"/>
          <w:b w:val="0"/>
          <w:bCs w:val="0"/>
          <w:spacing w:val="-4"/>
          <w:sz w:val="32"/>
          <w:szCs w:val="32"/>
          <w:lang w:val="en-US" w:eastAsia="zh-CN"/>
        </w:rPr>
        <w:t>9</w:t>
      </w:r>
      <w:r>
        <w:rPr>
          <w:rStyle w:val="17"/>
          <w:rFonts w:hint="eastAsia" w:ascii="楷体" w:hAnsi="楷体" w:eastAsia="楷体"/>
          <w:b w:val="0"/>
          <w:bCs w:val="0"/>
          <w:spacing w:val="-4"/>
          <w:sz w:val="32"/>
          <w:szCs w:val="32"/>
        </w:rPr>
        <w:t>%。</w:t>
      </w:r>
    </w:p>
    <w:p>
      <w:pPr>
        <w:spacing w:line="540" w:lineRule="exact"/>
        <w:rPr>
          <w:rStyle w:val="17"/>
          <w:rFonts w:ascii="楷体" w:hAnsi="楷体" w:eastAsia="楷体"/>
          <w:spacing w:val="-4"/>
          <w:sz w:val="32"/>
          <w:szCs w:val="32"/>
        </w:rPr>
      </w:pPr>
      <w:r>
        <w:rPr>
          <w:rStyle w:val="17"/>
          <w:rFonts w:hint="eastAsia" w:ascii="楷体" w:hAnsi="楷体" w:eastAsia="楷体"/>
          <w:spacing w:val="-4"/>
          <w:sz w:val="32"/>
          <w:szCs w:val="32"/>
        </w:rPr>
        <w:t>（二）项目绩效目标</w:t>
      </w:r>
    </w:p>
    <w:p>
      <w:pPr>
        <w:spacing w:line="540" w:lineRule="exact"/>
        <w:ind w:firstLine="567"/>
        <w:rPr>
          <w:rStyle w:val="17"/>
          <w:rFonts w:hint="eastAsia" w:ascii="楷体" w:hAnsi="楷体" w:eastAsia="楷体"/>
          <w:b w:val="0"/>
          <w:bCs w:val="0"/>
          <w:spacing w:val="-4"/>
          <w:sz w:val="32"/>
          <w:szCs w:val="32"/>
        </w:rPr>
      </w:pPr>
      <w:r>
        <w:rPr>
          <w:rStyle w:val="17"/>
          <w:rFonts w:hint="eastAsia" w:ascii="楷体" w:hAnsi="楷体" w:eastAsia="楷体"/>
          <w:b w:val="0"/>
          <w:bCs w:val="0"/>
          <w:spacing w:val="-4"/>
          <w:sz w:val="32"/>
          <w:szCs w:val="32"/>
        </w:rPr>
        <w:t>本项目总体目标为：该项目预算资金31.18万元，计划出差4次，保障重要会议、敏感节点期间参加驻京、驻自治区开展信访工作的人员生活，确保重点时期平稳过渡。</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根据《自治区财政支出绩效评价管理暂行办法》（新财预〔2018〕189号）等文件精神，结合项目相关信息，将年度目标细化分解，最终确定该项目阶段性目标如下：</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1.产出指标</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数量指标：保障出差次数不低于4次；</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质量指标：信访举报办结率达到96%；</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时效指标：信访投诉及时处理率达到96%。</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2.成本指标</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经济成本指标：赴北京、自治区开展信访工作差旅费成本不高于13.48万元；</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经济成本指标：网络运行及维护费成本不高于6.02万元；</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经济成本指标：重要时期慰问信访工作人员成本不高于2万元；</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经济成本指标：设备购买及维修维护费成本不高于1.5万元。</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3.效益指标</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社会效益指标：保障重点时期平稳过渡，维护社会稳定</w:t>
      </w:r>
    </w:p>
    <w:p>
      <w:pPr>
        <w:spacing w:line="540" w:lineRule="exact"/>
        <w:rPr>
          <w:rStyle w:val="17"/>
          <w:rFonts w:ascii="黑体" w:hAnsi="黑体" w:eastAsia="黑体"/>
          <w:b w:val="0"/>
          <w:spacing w:val="-4"/>
          <w:sz w:val="32"/>
          <w:szCs w:val="32"/>
        </w:rPr>
      </w:pPr>
      <w:r>
        <w:rPr>
          <w:rStyle w:val="17"/>
          <w:rFonts w:hint="eastAsia" w:ascii="黑体" w:hAnsi="黑体" w:eastAsia="黑体"/>
          <w:b w:val="0"/>
          <w:spacing w:val="-4"/>
          <w:sz w:val="32"/>
          <w:szCs w:val="32"/>
        </w:rPr>
        <w:t>二、绩效评价工作开展情况</w:t>
      </w:r>
    </w:p>
    <w:p>
      <w:pPr>
        <w:spacing w:line="540" w:lineRule="exact"/>
        <w:rPr>
          <w:rStyle w:val="17"/>
          <w:rFonts w:ascii="楷体" w:hAnsi="楷体" w:eastAsia="楷体"/>
          <w:spacing w:val="-4"/>
          <w:sz w:val="32"/>
          <w:szCs w:val="32"/>
        </w:rPr>
      </w:pPr>
      <w:r>
        <w:rPr>
          <w:rStyle w:val="17"/>
          <w:rFonts w:hint="eastAsia" w:ascii="楷体" w:hAnsi="楷体" w:eastAsia="楷体"/>
          <w:spacing w:val="-4"/>
          <w:sz w:val="32"/>
          <w:szCs w:val="32"/>
        </w:rPr>
        <w:t>（一）绩效评价目的、对象和范围</w:t>
      </w:r>
    </w:p>
    <w:p>
      <w:pPr>
        <w:spacing w:line="540" w:lineRule="exact"/>
        <w:ind w:firstLine="567"/>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我单位根据《自治区财政支出绩效评价管理暂行办法》（新财预〔2018〕189号）文件精神，对信访工作经费项目绩效目标实现情况进行自评。</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pPr>
        <w:spacing w:line="540" w:lineRule="exact"/>
        <w:rPr>
          <w:rStyle w:val="17"/>
          <w:rFonts w:ascii="楷体" w:hAnsi="楷体" w:eastAsia="楷体"/>
          <w:spacing w:val="-4"/>
          <w:sz w:val="32"/>
          <w:szCs w:val="32"/>
        </w:rPr>
      </w:pPr>
      <w:r>
        <w:rPr>
          <w:rStyle w:val="17"/>
          <w:rFonts w:hint="eastAsia" w:ascii="楷体" w:hAnsi="楷体" w:eastAsia="楷体"/>
          <w:spacing w:val="-4"/>
          <w:sz w:val="32"/>
          <w:szCs w:val="32"/>
        </w:rPr>
        <w:t>（二）绩效评价原则、评价指标体系、评价方法、评价标准</w:t>
      </w:r>
    </w:p>
    <w:p>
      <w:pPr>
        <w:spacing w:line="540" w:lineRule="exact"/>
        <w:rPr>
          <w:rStyle w:val="17"/>
          <w:rFonts w:hint="eastAsia" w:ascii="楷体" w:hAnsi="楷体" w:eastAsia="楷体"/>
          <w:b w:val="0"/>
          <w:bCs w:val="0"/>
          <w:spacing w:val="-4"/>
          <w:sz w:val="32"/>
          <w:szCs w:val="32"/>
        </w:rPr>
      </w:pPr>
      <w:r>
        <w:rPr>
          <w:rStyle w:val="17"/>
          <w:rFonts w:hint="eastAsia" w:ascii="楷体" w:hAnsi="楷体" w:eastAsia="楷体"/>
          <w:b w:val="0"/>
          <w:bCs w:val="0"/>
          <w:spacing w:val="-4"/>
          <w:sz w:val="32"/>
          <w:szCs w:val="32"/>
        </w:rPr>
        <w:t>（1）科学公正。绩效评价应当运用科学合理的方法，按照规范的程序，对项目绩效进行客观、公正的反映。</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（3）激励约束。绩效评价结果应与预算安排、政策调整、改进管理实质性挂钩，体现奖优罚劣和激励导向，有效要安排、低效要压减、无效要问责。</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（4）公开透明。绩效评价结果应依法依规公开，并自觉接受社会监督。</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2.评价指标体系</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本项目评价指标体系采用项目绩效自评表与决策、过程自定指标相结合方式，其中项目决策17分，项目过程23分，项目产出22分，项目效益38分，详细情况见附件2：</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（1）项目决策</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项目立项：立项依据充分性，权重2分。立项程序规范性，权重2分。</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绩效目标：绩效目标明确性，权重4分；绩效目标合理性，权重4分。</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预算编制：测算标准合理性，权重3分；测算过程细化度，权重2分。</w:t>
      </w:r>
    </w:p>
    <w:p>
      <w:pPr>
        <w:spacing w:line="540" w:lineRule="exact"/>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（2）项目过程</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资金管理：资金到位率，权重6分；预算执行率，权重6分。</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组织实施：资金使用合规性，权重4分，管理制度健全性，权重4分，制度执行有效性，权重3分。</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（3）项目产出</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数量指标：保障出差次数，权重3分；</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质量指标：信访举报办结率，权重3分。</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时效指标：信访投诉及时处理率，权重3分。</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成本指标：赴北京、自治区开展信访工作差旅费成本，权重4分。</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成本指标：网络运行及维护费成本，权重3分。</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成本指标：重要时期慰问信访工作人员，权重3分。</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成本指标：设备购买及维修维护费成本，权重3分。</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（3）效益指标</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效益指标：保障重点时期平稳过渡，维护社会稳定，权重38分；</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3.评价方法</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信访工作经费项目绩效评价主要通过项目单位自评、主管部门监督、财政部门参评的方式开展绩效评价工作。</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绩效评价的方法主要包括：成本效益分析法、比较法、因素分析法、最低成本法、公众评判法、核实法等。根据评价指标的具体情况，可采用一种或多种方法。</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（1）成本效益分析法。是指将投入与产出、效益进行关联性分析的方法。</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（2）比较法。是指将实施情况与绩效目标、历史情况、不同部门和地区同类支出情况进行比较的方法。</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（3）因素分析法。是指综合分析影响绩效目标实现、实施效果的内外部因素的方法。</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（4）最低成本法。是指在绩效目标确定的前提下，成本最小者为优的方法。</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（5）公众评判法。是指通过专家评估、公众问卷及抽样调查等方式进行评判的方法。</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（6）核实法。是收集包括书面资料以外的信息以证实书面资料及其所反映经济活动的真实，合法，合理，有效和正确的方法。</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4.评价标准</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绩效评价标准通常包括计划标准、行业标准、历史标准等，用于对绩效指标完成情况进行比较。</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单位自评采用定量与定性评价相结合的比较法，总分由各项指标得分汇总形成。</w:t>
      </w:r>
    </w:p>
    <w:p>
      <w:pPr>
        <w:spacing w:line="540" w:lineRule="exact"/>
        <w:rPr>
          <w:rStyle w:val="17"/>
          <w:rFonts w:hint="eastAsia" w:ascii="楷体" w:hAnsi="楷体" w:eastAsia="楷体"/>
          <w:spacing w:val="-4"/>
          <w:sz w:val="32"/>
          <w:szCs w:val="32"/>
        </w:rPr>
      </w:pPr>
      <w:r>
        <w:rPr>
          <w:rStyle w:val="17"/>
          <w:rFonts w:hint="eastAsia" w:ascii="楷体" w:hAnsi="楷体" w:eastAsia="楷体"/>
          <w:spacing w:val="-4"/>
          <w:sz w:val="32"/>
          <w:szCs w:val="32"/>
        </w:rPr>
        <w:t>（三）绩效评价工作过程</w:t>
      </w:r>
    </w:p>
    <w:p>
      <w:pPr>
        <w:spacing w:line="540" w:lineRule="exact"/>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1.前期准备</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1）整理项目全过程资料建档：资金及项目批复文件、绩效目标申报表、可行性研究报告或实施方案、（招标文件）绩效目标过程监控表、验收报告（或决算）、资金支付或会计凭证、满意度调查问卷。作为评价基础资料。</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（2）采取“年初绩效目标预定与实施效果比较法”进行评价，评价指标体系以绩效目标申报指标为依据。</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2.组织过程</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（1）项目全过程资料档案复核</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（2）检查内容和过程</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（3）撰写报告情况</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根据所搜集的印证材料，按绩效评价原理和指标体系进行分析、评价和汇总，撰写绩效自评报告，并在规定时间上报。</w:t>
      </w:r>
    </w:p>
    <w:p>
      <w:pPr>
        <w:spacing w:line="540" w:lineRule="exact"/>
        <w:rPr>
          <w:rStyle w:val="17"/>
          <w:rFonts w:ascii="黑体" w:hAnsi="黑体" w:eastAsia="黑体"/>
          <w:b w:val="0"/>
          <w:spacing w:val="-4"/>
          <w:sz w:val="32"/>
          <w:szCs w:val="32"/>
        </w:rPr>
      </w:pPr>
      <w:r>
        <w:rPr>
          <w:rStyle w:val="17"/>
          <w:rFonts w:hint="eastAsia" w:ascii="黑体" w:hAnsi="黑体" w:eastAsia="黑体"/>
          <w:b w:val="0"/>
          <w:spacing w:val="-4"/>
          <w:sz w:val="32"/>
          <w:szCs w:val="32"/>
        </w:rPr>
        <w:t>三、综合评价情况及评价结论</w:t>
      </w:r>
    </w:p>
    <w:p>
      <w:pPr>
        <w:spacing w:line="540" w:lineRule="exact"/>
        <w:ind w:firstLine="567"/>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本次项目自评满分100分，自评得分</w:t>
      </w:r>
      <w:r>
        <w:rPr>
          <w:rStyle w:val="17"/>
          <w:rFonts w:hint="eastAsia" w:ascii="楷体" w:hAnsi="楷体" w:eastAsia="楷体"/>
          <w:b w:val="0"/>
          <w:bCs w:val="0"/>
          <w:spacing w:val="-4"/>
          <w:sz w:val="32"/>
          <w:szCs w:val="32"/>
          <w:lang w:val="en-US" w:eastAsia="zh-CN"/>
        </w:rPr>
        <w:t>87.09</w:t>
      </w:r>
      <w:r>
        <w:rPr>
          <w:rStyle w:val="17"/>
          <w:rFonts w:hint="eastAsia" w:ascii="楷体" w:hAnsi="楷体" w:eastAsia="楷体"/>
          <w:b w:val="0"/>
          <w:bCs w:val="0"/>
          <w:spacing w:val="-4"/>
          <w:sz w:val="32"/>
          <w:szCs w:val="32"/>
        </w:rPr>
        <w:t>分，自评结果为“优”，其中项目决策得分17分，项目过程得分21分，项目产出得分21.1分，项目效益得分38分。</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综合评价结论：项目决策方面，项目立项根据</w:t>
      </w:r>
      <w:r>
        <w:rPr>
          <w:rStyle w:val="17"/>
          <w:rFonts w:hint="eastAsia" w:ascii="楷体" w:hAnsi="楷体" w:eastAsia="楷体"/>
          <w:b w:val="0"/>
          <w:bCs w:val="0"/>
          <w:spacing w:val="-4"/>
          <w:sz w:val="32"/>
          <w:szCs w:val="32"/>
          <w:lang w:val="en-US" w:eastAsia="zh-CN"/>
        </w:rPr>
        <w:t>相关文件</w:t>
      </w:r>
      <w:r>
        <w:rPr>
          <w:rStyle w:val="17"/>
          <w:rFonts w:hint="eastAsia" w:ascii="楷体" w:hAnsi="楷体" w:eastAsia="楷体"/>
          <w:b w:val="0"/>
          <w:bCs w:val="0"/>
          <w:spacing w:val="-4"/>
          <w:sz w:val="32"/>
          <w:szCs w:val="32"/>
        </w:rPr>
        <w:t>要求进行立项，符合相关规定要求，绩效目标设置明确，符合部门履职工作需求；项目过程方面，本项目共计申请资金31.18万元，伊州区财政局</w:t>
      </w:r>
      <w:r>
        <w:rPr>
          <w:rStyle w:val="17"/>
          <w:rFonts w:hint="eastAsia" w:ascii="楷体" w:hAnsi="楷体" w:eastAsia="楷体"/>
          <w:b w:val="0"/>
          <w:bCs w:val="0"/>
          <w:spacing w:val="-4"/>
          <w:sz w:val="32"/>
          <w:szCs w:val="32"/>
          <w:lang w:val="en-US" w:eastAsia="zh-CN"/>
        </w:rPr>
        <w:t>于</w:t>
      </w:r>
      <w:r>
        <w:rPr>
          <w:rStyle w:val="17"/>
          <w:rFonts w:hint="eastAsia" w:ascii="楷体" w:hAnsi="楷体" w:eastAsia="楷体"/>
          <w:b w:val="0"/>
          <w:bCs w:val="0"/>
          <w:spacing w:val="-4"/>
          <w:sz w:val="32"/>
          <w:szCs w:val="32"/>
        </w:rPr>
        <w:t>2024年2月19日批复项目预算，我局于2024年12月底完成拨付，资金到位率100%</w:t>
      </w:r>
      <w:r>
        <w:rPr>
          <w:rStyle w:val="17"/>
          <w:rFonts w:hint="eastAsia" w:ascii="楷体" w:hAnsi="楷体" w:eastAsia="楷体"/>
          <w:b w:val="0"/>
          <w:bCs w:val="0"/>
          <w:spacing w:val="-4"/>
          <w:sz w:val="32"/>
          <w:szCs w:val="32"/>
          <w:lang w:eastAsia="zh-CN"/>
        </w:rPr>
        <w:t>，</w:t>
      </w:r>
      <w:r>
        <w:rPr>
          <w:rStyle w:val="17"/>
          <w:rFonts w:hint="eastAsia" w:ascii="楷体" w:hAnsi="楷体" w:eastAsia="楷体"/>
          <w:b w:val="0"/>
          <w:bCs w:val="0"/>
          <w:spacing w:val="-4"/>
          <w:sz w:val="32"/>
          <w:szCs w:val="32"/>
        </w:rPr>
        <w:t>预算执行率</w:t>
      </w:r>
      <w:r>
        <w:rPr>
          <w:rStyle w:val="17"/>
          <w:rFonts w:hint="eastAsia" w:ascii="楷体" w:hAnsi="楷体" w:eastAsia="楷体"/>
          <w:b w:val="0"/>
          <w:bCs w:val="0"/>
          <w:spacing w:val="-4"/>
          <w:sz w:val="32"/>
          <w:szCs w:val="32"/>
          <w:lang w:val="en-US" w:eastAsia="zh-CN"/>
        </w:rPr>
        <w:t>70.9</w:t>
      </w:r>
      <w:r>
        <w:rPr>
          <w:rStyle w:val="17"/>
          <w:rFonts w:hint="eastAsia" w:ascii="楷体" w:hAnsi="楷体" w:eastAsia="楷体"/>
          <w:b w:val="0"/>
          <w:bCs w:val="0"/>
          <w:spacing w:val="-4"/>
          <w:sz w:val="32"/>
          <w:szCs w:val="32"/>
        </w:rPr>
        <w:t>%；项目产出方面，已完成预算资金</w:t>
      </w:r>
      <w:r>
        <w:rPr>
          <w:rStyle w:val="17"/>
          <w:rFonts w:hint="eastAsia" w:ascii="楷体" w:hAnsi="楷体" w:eastAsia="楷体"/>
          <w:b w:val="0"/>
          <w:bCs w:val="0"/>
          <w:spacing w:val="-4"/>
          <w:sz w:val="32"/>
          <w:szCs w:val="32"/>
          <w:lang w:eastAsia="zh-CN"/>
        </w:rPr>
        <w:t>16.30</w:t>
      </w:r>
      <w:r>
        <w:rPr>
          <w:rStyle w:val="17"/>
          <w:rFonts w:hint="eastAsia" w:ascii="楷体" w:hAnsi="楷体" w:eastAsia="楷体"/>
          <w:b w:val="0"/>
          <w:bCs w:val="0"/>
          <w:spacing w:val="-4"/>
          <w:sz w:val="32"/>
          <w:szCs w:val="32"/>
        </w:rPr>
        <w:t>万元；项目效益方面，专项资金的投入有效保障了全区信访工作的正常开展，进一步畅通群众诉求渠道，维护了群众合法权益，促进全区经济社会稳定。项目满意度方面，根据对工作人员满意度测评情况，工作人员对资金拨付情况满意度达100%。</w:t>
      </w:r>
    </w:p>
    <w:p>
      <w:pPr>
        <w:spacing w:line="540" w:lineRule="exact"/>
        <w:rPr>
          <w:rStyle w:val="17"/>
          <w:rFonts w:ascii="黑体" w:hAnsi="黑体" w:eastAsia="黑体"/>
        </w:rPr>
      </w:pPr>
      <w:r>
        <w:rPr>
          <w:rStyle w:val="17"/>
          <w:rFonts w:hint="eastAsia" w:ascii="黑体" w:hAnsi="黑体" w:eastAsia="黑体"/>
          <w:b w:val="0"/>
          <w:spacing w:val="-4"/>
          <w:sz w:val="32"/>
          <w:szCs w:val="32"/>
        </w:rPr>
        <w:t>四、绩效评价指标分析</w:t>
      </w:r>
      <w:r>
        <w:rPr>
          <w:rStyle w:val="17"/>
          <w:rFonts w:hint="eastAsia" w:ascii="黑体" w:hAnsi="黑体" w:eastAsia="黑体"/>
        </w:rPr>
        <w:t xml:space="preserve"> </w:t>
      </w:r>
    </w:p>
    <w:p>
      <w:pPr>
        <w:spacing w:line="540" w:lineRule="exact"/>
        <w:rPr>
          <w:rFonts w:ascii="楷体" w:hAnsi="楷体" w:eastAsia="楷体"/>
          <w:b/>
          <w:spacing w:val="-4"/>
          <w:sz w:val="32"/>
          <w:szCs w:val="32"/>
        </w:rPr>
      </w:pPr>
      <w:r>
        <w:rPr>
          <w:rFonts w:hint="eastAsia" w:ascii="楷体" w:hAnsi="楷体" w:eastAsia="楷体"/>
          <w:b/>
          <w:spacing w:val="-4"/>
          <w:sz w:val="32"/>
          <w:szCs w:val="32"/>
        </w:rPr>
        <w:t>（一）</w:t>
      </w:r>
      <w:r>
        <w:rPr>
          <w:rStyle w:val="17"/>
          <w:rFonts w:hint="eastAsia" w:ascii="楷体" w:hAnsi="楷体" w:eastAsia="楷体"/>
          <w:spacing w:val="-4"/>
          <w:sz w:val="32"/>
          <w:szCs w:val="32"/>
        </w:rPr>
        <w:t>项目决策情况</w:t>
      </w:r>
    </w:p>
    <w:p>
      <w:pPr>
        <w:tabs>
          <w:tab w:val="center" w:pos="4295"/>
        </w:tabs>
        <w:spacing w:line="540" w:lineRule="exact"/>
        <w:ind w:firstLine="567"/>
        <w:rPr>
          <w:rStyle w:val="17"/>
          <w:rFonts w:hint="eastAsia" w:ascii="楷体" w:hAnsi="楷体" w:eastAsia="楷体"/>
          <w:b w:val="0"/>
          <w:bCs w:val="0"/>
          <w:spacing w:val="-4"/>
          <w:sz w:val="32"/>
          <w:szCs w:val="32"/>
          <w:lang w:eastAsia="zh-CN"/>
        </w:rPr>
      </w:pPr>
      <w:r>
        <w:rPr>
          <w:rStyle w:val="17"/>
          <w:rFonts w:hint="eastAsia" w:ascii="楷体" w:hAnsi="楷体" w:eastAsia="楷体"/>
          <w:b w:val="0"/>
          <w:bCs w:val="0"/>
          <w:spacing w:val="-4"/>
          <w:sz w:val="32"/>
          <w:szCs w:val="32"/>
        </w:rPr>
        <w:t>1.项目立项</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（1）立项依据充分性，满分2分，得分2分，得分率100%。项目立项依据根据</w:t>
      </w:r>
      <w:r>
        <w:rPr>
          <w:rStyle w:val="17"/>
          <w:rFonts w:hint="eastAsia" w:ascii="楷体" w:hAnsi="楷体" w:eastAsia="楷体"/>
          <w:b w:val="0"/>
          <w:bCs w:val="0"/>
          <w:spacing w:val="-4"/>
          <w:sz w:val="32"/>
          <w:szCs w:val="32"/>
          <w:lang w:val="en-US" w:eastAsia="zh-CN"/>
        </w:rPr>
        <w:t>相关文件</w:t>
      </w:r>
      <w:r>
        <w:rPr>
          <w:rStyle w:val="17"/>
          <w:rFonts w:hint="eastAsia" w:ascii="楷体" w:hAnsi="楷体" w:eastAsia="楷体"/>
          <w:b w:val="0"/>
          <w:bCs w:val="0"/>
          <w:spacing w:val="-4"/>
          <w:sz w:val="32"/>
          <w:szCs w:val="32"/>
        </w:rPr>
        <w:t>要求进行立项，符合相关规定要求，绩效目标设置明确，符合部门履职工作需求。</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（2）立项程序规范性，满分2分，得分2分，得分率100%。</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项目立项符合规定程序，审批文件等材料合规、完整，有完整的评估程序和集体决策</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2.绩效目标</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（1）绩效目标明确性，满分4分，得分4分，得分率100%。该项目预算资金31.18万元，计划出差4次，保障重要会议、敏感节点期间参加驻京、驻自治区开展信访工作的人员生活，确保重点时期平稳过渡。</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2）绩效目标合理性，满分4分，得分4分，得分率100%。项目绩效目标细化分解为具体指标，绩效目标内容与项目相关，产出和效益符合正常业绩水平，资金投入与预算资金相匹配。但项目质量指标“资金拨付合规率”与时效指标“资金拨付及时率”未能体现项目核心内容，与项目工作关联性不高。</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3.预算编制</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（1）测算标准合理性，满分3分，得分3分，得分率100%。项目依据</w:t>
      </w:r>
      <w:r>
        <w:rPr>
          <w:rStyle w:val="17"/>
          <w:rFonts w:hint="eastAsia" w:ascii="楷体" w:hAnsi="楷体" w:eastAsia="楷体"/>
          <w:b w:val="0"/>
          <w:bCs w:val="0"/>
          <w:spacing w:val="-4"/>
          <w:sz w:val="32"/>
          <w:szCs w:val="32"/>
          <w:lang w:val="en-US" w:eastAsia="zh-CN"/>
        </w:rPr>
        <w:t>相关文件</w:t>
      </w:r>
      <w:r>
        <w:rPr>
          <w:rStyle w:val="17"/>
          <w:rFonts w:hint="eastAsia" w:ascii="楷体" w:hAnsi="楷体" w:eastAsia="楷体"/>
          <w:b w:val="0"/>
          <w:bCs w:val="0"/>
          <w:spacing w:val="-4"/>
          <w:sz w:val="32"/>
          <w:szCs w:val="32"/>
        </w:rPr>
        <w:t>要求信访工作经费项目资金31.18万元，测算标准合理。</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（2）测算过程细化度，满分2分，得分2分，得分率100%。项目资金使用于进京赴乌工作差旅费、网络运行维护费、信访工作点慰问经费、设备购买及维护经费等，已根据实际数量测算成本，测算过程细化清晰。</w:t>
      </w:r>
      <w:r>
        <w:rPr>
          <w:rStyle w:val="17"/>
          <w:rFonts w:hint="eastAsia" w:ascii="楷体" w:hAnsi="楷体" w:eastAsia="楷体"/>
          <w:b w:val="0"/>
          <w:bCs w:val="0"/>
          <w:spacing w:val="-4"/>
          <w:sz w:val="32"/>
          <w:szCs w:val="32"/>
          <w:lang w:eastAsia="zh-CN"/>
        </w:rPr>
        <w:tab/>
      </w:r>
    </w:p>
    <w:p>
      <w:pPr>
        <w:spacing w:line="540" w:lineRule="exact"/>
        <w:rPr>
          <w:rStyle w:val="17"/>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7"/>
          <w:rFonts w:hint="eastAsia" w:ascii="楷体" w:hAnsi="楷体" w:eastAsia="楷体"/>
          <w:spacing w:val="-4"/>
          <w:sz w:val="32"/>
          <w:szCs w:val="32"/>
        </w:rPr>
        <w:t>项目过程情况</w:t>
      </w:r>
    </w:p>
    <w:p>
      <w:pPr>
        <w:spacing w:line="540" w:lineRule="exact"/>
        <w:ind w:firstLine="567"/>
        <w:rPr>
          <w:rStyle w:val="17"/>
          <w:rFonts w:hint="eastAsia" w:ascii="楷体" w:hAnsi="楷体" w:eastAsia="楷体"/>
          <w:b w:val="0"/>
          <w:bCs w:val="0"/>
          <w:spacing w:val="-4"/>
          <w:sz w:val="32"/>
          <w:szCs w:val="32"/>
        </w:rPr>
      </w:pPr>
      <w:r>
        <w:rPr>
          <w:rStyle w:val="17"/>
          <w:rFonts w:hint="eastAsia" w:ascii="楷体" w:hAnsi="楷体" w:eastAsia="楷体"/>
          <w:b w:val="0"/>
          <w:bCs w:val="0"/>
          <w:spacing w:val="-4"/>
          <w:sz w:val="32"/>
          <w:szCs w:val="32"/>
        </w:rPr>
        <w:t>1.资金管理</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（1）资金到位率，满分6分，得分6分，得分率100%。信访工作经费资金计划拨付31.18万元，我局截止2024年12月底已完成拨付</w:t>
      </w:r>
      <w:r>
        <w:rPr>
          <w:rStyle w:val="17"/>
          <w:rFonts w:hint="eastAsia" w:ascii="楷体" w:hAnsi="楷体" w:eastAsia="楷体"/>
          <w:b w:val="0"/>
          <w:bCs w:val="0"/>
          <w:spacing w:val="-4"/>
          <w:sz w:val="32"/>
          <w:szCs w:val="32"/>
          <w:lang w:eastAsia="zh-CN"/>
        </w:rPr>
        <w:t>16.30</w:t>
      </w:r>
      <w:r>
        <w:rPr>
          <w:rStyle w:val="17"/>
          <w:rFonts w:hint="eastAsia" w:ascii="楷体" w:hAnsi="楷体" w:eastAsia="楷体"/>
          <w:b w:val="0"/>
          <w:bCs w:val="0"/>
          <w:spacing w:val="-4"/>
          <w:sz w:val="32"/>
          <w:szCs w:val="32"/>
        </w:rPr>
        <w:t>万元，资金到位率100%。</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（2）预算执行率，满分6分，得分5分，得分率83.33%。</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信访工作经费资金计划拨付31.18万元，我局截止2024年12月底已完成拨付</w:t>
      </w:r>
      <w:r>
        <w:rPr>
          <w:rStyle w:val="17"/>
          <w:rFonts w:hint="eastAsia" w:ascii="楷体" w:hAnsi="楷体" w:eastAsia="楷体"/>
          <w:b w:val="0"/>
          <w:bCs w:val="0"/>
          <w:spacing w:val="-4"/>
          <w:sz w:val="32"/>
          <w:szCs w:val="32"/>
          <w:lang w:eastAsia="zh-CN"/>
        </w:rPr>
        <w:t>16.30</w:t>
      </w:r>
      <w:r>
        <w:rPr>
          <w:rStyle w:val="17"/>
          <w:rFonts w:hint="eastAsia" w:ascii="楷体" w:hAnsi="楷体" w:eastAsia="楷体"/>
          <w:b w:val="0"/>
          <w:bCs w:val="0"/>
          <w:spacing w:val="-4"/>
          <w:sz w:val="32"/>
          <w:szCs w:val="32"/>
        </w:rPr>
        <w:t>万元。预算执行率</w:t>
      </w:r>
      <w:r>
        <w:rPr>
          <w:rStyle w:val="17"/>
          <w:rFonts w:hint="eastAsia" w:ascii="楷体" w:hAnsi="楷体" w:eastAsia="楷体"/>
          <w:b w:val="0"/>
          <w:bCs w:val="0"/>
          <w:spacing w:val="-4"/>
          <w:sz w:val="32"/>
          <w:szCs w:val="32"/>
          <w:lang w:val="en-US" w:eastAsia="zh-CN"/>
        </w:rPr>
        <w:t>70.9</w:t>
      </w:r>
      <w:r>
        <w:rPr>
          <w:rStyle w:val="17"/>
          <w:rFonts w:hint="eastAsia" w:ascii="楷体" w:hAnsi="楷体" w:eastAsia="楷体"/>
          <w:b w:val="0"/>
          <w:bCs w:val="0"/>
          <w:spacing w:val="-4"/>
          <w:sz w:val="32"/>
          <w:szCs w:val="32"/>
        </w:rPr>
        <w:t>%。</w:t>
      </w:r>
      <w:r>
        <w:rPr>
          <w:rStyle w:val="17"/>
          <w:rFonts w:hint="eastAsia" w:ascii="楷体" w:hAnsi="楷体" w:eastAsia="楷体"/>
          <w:b w:val="0"/>
          <w:bCs w:val="0"/>
          <w:spacing w:val="-4"/>
          <w:sz w:val="32"/>
          <w:szCs w:val="32"/>
          <w:lang w:val="en-US" w:eastAsia="zh-CN"/>
        </w:rPr>
        <w:t>原</w:t>
      </w:r>
      <w:r>
        <w:rPr>
          <w:rStyle w:val="17"/>
          <w:rFonts w:hint="eastAsia" w:ascii="楷体" w:hAnsi="楷体" w:eastAsia="楷体"/>
          <w:b w:val="0"/>
          <w:bCs w:val="0"/>
          <w:spacing w:val="-4"/>
          <w:sz w:val="32"/>
          <w:szCs w:val="32"/>
        </w:rPr>
        <w:t>因：1、2024年工作人员赴自治区出差次数减少，相应的差旅费支出减少，导致目标未完成。2、2024年度对单位的固定电话和宽带重新核对，因此网络运行费相应的减少，导致目标未完成。3、按照自治区党委“依法治疆”目标、信访法治化工作要求，该项经费未使用，导致该项目资金有偏差。与预期指标有差距，根据评分标准，该指标6分，得4分。</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2.组织实施</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（1）资金使用合规性，满分4分，得分4分，得分率100%。</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项目资金使用符合政府会计制度的相关规定，各项拨付</w:t>
      </w:r>
      <w:r>
        <w:rPr>
          <w:rStyle w:val="17"/>
          <w:rFonts w:hint="eastAsia" w:ascii="楷体" w:hAnsi="楷体" w:eastAsia="楷体"/>
          <w:b w:val="0"/>
          <w:bCs w:val="0"/>
          <w:spacing w:val="-4"/>
          <w:sz w:val="32"/>
          <w:szCs w:val="32"/>
          <w:lang w:val="en-US" w:eastAsia="zh-CN"/>
        </w:rPr>
        <w:t>经</w:t>
      </w:r>
      <w:r>
        <w:rPr>
          <w:rStyle w:val="17"/>
          <w:rFonts w:hint="eastAsia" w:ascii="楷体" w:hAnsi="楷体" w:eastAsia="楷体"/>
          <w:b w:val="0"/>
          <w:bCs w:val="0"/>
          <w:spacing w:val="-4"/>
          <w:sz w:val="32"/>
          <w:szCs w:val="32"/>
        </w:rPr>
        <w:t>领导审批，有完整的审批手续，项目支出不存在截留、挤占、挪用、虚列支出等情况，本年度审计、巡视、财政巡察未发现违规问题。</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（2）管理制度健全性，满分4分，得分3分，得分率75%。</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财务制度方面，我部为保障项目资金合理支出，制定《预算管理内部控制制度》，规定项目支出的合理流程，制度制定合法、合规。但本项目暂未依据实际工作制定合理的项目管理制度。</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（2）制度执行有效性，满分3分，得分3分，得分率100%。</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项目支出遵守财务法律法规和自治区文件要求的各项规定，人员发放表、支出凭证等相关资料齐全，项目实施所需的人员齐备，符合制度工作要求。</w:t>
      </w:r>
    </w:p>
    <w:p>
      <w:pPr>
        <w:spacing w:line="540" w:lineRule="exact"/>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7"/>
          <w:rFonts w:hint="eastAsia" w:ascii="楷体" w:hAnsi="楷体" w:eastAsia="楷体"/>
          <w:spacing w:val="-4"/>
          <w:sz w:val="32"/>
          <w:szCs w:val="32"/>
        </w:rPr>
        <w:t>项目产出情况</w:t>
      </w:r>
    </w:p>
    <w:p>
      <w:pPr>
        <w:spacing w:line="540" w:lineRule="exact"/>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1.产出数量</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保障出差次数，满分3分，得分3分，得分率100%。依据工作计划要求，全年应保障出差4次，根据差旅费审批表，完成出差4次。</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2.产出质量</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信访举报办结率，满分3分，得分3分，得分率100%。信访局举报办结率达到96%的标准要求，符合计划要求。信访举报办结率达到96%。</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3.产出时效</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信访投诉及时处理率，满分3分，得分3分，得分率100%。信访投诉处理及时率达到96%的标准要求，符合计划要求。信访投诉及时处理率达96%。</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4.产出成本</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1）赴北京、自治区开展信访工作差旅费成本，满分4分，得分4分，得分率100%。项目计划成本支出为31.18万元，用于进京赴乌工作差旅费、网络运行维护费、信访工作点慰问经费、设备购买及维护经费等，根据项目支出凭证及相关收据，项目实际共拨付</w:t>
      </w:r>
      <w:r>
        <w:rPr>
          <w:rStyle w:val="17"/>
          <w:rFonts w:hint="eastAsia" w:ascii="楷体" w:hAnsi="楷体" w:eastAsia="楷体"/>
          <w:b w:val="0"/>
          <w:bCs w:val="0"/>
          <w:spacing w:val="-4"/>
          <w:sz w:val="32"/>
          <w:szCs w:val="32"/>
          <w:lang w:eastAsia="zh-CN"/>
        </w:rPr>
        <w:t>16.30</w:t>
      </w:r>
      <w:r>
        <w:rPr>
          <w:rStyle w:val="17"/>
          <w:rFonts w:hint="eastAsia" w:ascii="楷体" w:hAnsi="楷体" w:eastAsia="楷体"/>
          <w:b w:val="0"/>
          <w:bCs w:val="0"/>
          <w:spacing w:val="-4"/>
          <w:sz w:val="32"/>
          <w:szCs w:val="32"/>
        </w:rPr>
        <w:t>万元，符合成本控制要求。</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2）网络运行及维护费成本，满分3分，得分3分，得分率100%。项目计划成本支出为31.18万元，用于进京赴乌工作差旅费、网络运行维护费、信访工作点慰问经费、设备购买及维护经费等，根据项目支出凭证及相关收据，项目实际共拨付</w:t>
      </w:r>
      <w:r>
        <w:rPr>
          <w:rStyle w:val="17"/>
          <w:rFonts w:hint="eastAsia" w:ascii="楷体" w:hAnsi="楷体" w:eastAsia="楷体"/>
          <w:b w:val="0"/>
          <w:bCs w:val="0"/>
          <w:spacing w:val="-4"/>
          <w:sz w:val="32"/>
          <w:szCs w:val="32"/>
          <w:lang w:eastAsia="zh-CN"/>
        </w:rPr>
        <w:t>16.30</w:t>
      </w:r>
      <w:r>
        <w:rPr>
          <w:rStyle w:val="17"/>
          <w:rFonts w:hint="eastAsia" w:ascii="楷体" w:hAnsi="楷体" w:eastAsia="楷体"/>
          <w:b w:val="0"/>
          <w:bCs w:val="0"/>
          <w:spacing w:val="-4"/>
          <w:sz w:val="32"/>
          <w:szCs w:val="32"/>
        </w:rPr>
        <w:t>万元，符合成本控制要求。</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3）重要时期慰问信访工作人员，满分3分，得分3分，得分率100%。项目计划成本支出为31.18万元，用于进京赴乌工作差旅费、网络运行维护费、信访工作点慰问经费、设备购买及维护经费等，根据项目支出凭证及相关收据，项目实际共拨付</w:t>
      </w:r>
      <w:r>
        <w:rPr>
          <w:rStyle w:val="17"/>
          <w:rFonts w:hint="eastAsia" w:ascii="楷体" w:hAnsi="楷体" w:eastAsia="楷体"/>
          <w:b w:val="0"/>
          <w:bCs w:val="0"/>
          <w:spacing w:val="-4"/>
          <w:sz w:val="32"/>
          <w:szCs w:val="32"/>
          <w:lang w:eastAsia="zh-CN"/>
        </w:rPr>
        <w:t>16.30</w:t>
      </w:r>
      <w:r>
        <w:rPr>
          <w:rStyle w:val="17"/>
          <w:rFonts w:hint="eastAsia" w:ascii="楷体" w:hAnsi="楷体" w:eastAsia="楷体"/>
          <w:b w:val="0"/>
          <w:bCs w:val="0"/>
          <w:spacing w:val="-4"/>
          <w:sz w:val="32"/>
          <w:szCs w:val="32"/>
        </w:rPr>
        <w:t>万元，符合成本控制要求。</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4）设备购买及维修维护费成本，满分3分，得分3分，得分率100%。项目计划成本支出为31.18万元，用于进京赴乌工作差旅费、网络运行维护费、信访工作点慰问经费、设备购买及维护经费等，根据项目支出凭证及相关收据，项目实际共拨付</w:t>
      </w:r>
      <w:r>
        <w:rPr>
          <w:rStyle w:val="17"/>
          <w:rFonts w:hint="eastAsia" w:ascii="楷体" w:hAnsi="楷体" w:eastAsia="楷体"/>
          <w:b w:val="0"/>
          <w:bCs w:val="0"/>
          <w:spacing w:val="-4"/>
          <w:sz w:val="32"/>
          <w:szCs w:val="32"/>
          <w:lang w:eastAsia="zh-CN"/>
        </w:rPr>
        <w:t>16.30</w:t>
      </w:r>
      <w:r>
        <w:rPr>
          <w:rStyle w:val="17"/>
          <w:rFonts w:hint="eastAsia" w:ascii="楷体" w:hAnsi="楷体" w:eastAsia="楷体"/>
          <w:b w:val="0"/>
          <w:bCs w:val="0"/>
          <w:spacing w:val="-4"/>
          <w:sz w:val="32"/>
          <w:szCs w:val="32"/>
        </w:rPr>
        <w:t>万元，符合成本控制要求。</w:t>
      </w:r>
    </w:p>
    <w:p>
      <w:pPr>
        <w:spacing w:line="540" w:lineRule="exact"/>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7"/>
          <w:rFonts w:hint="eastAsia" w:ascii="楷体" w:hAnsi="楷体" w:eastAsia="楷体"/>
          <w:spacing w:val="-4"/>
          <w:sz w:val="32"/>
          <w:szCs w:val="32"/>
        </w:rPr>
        <w:t>项目</w:t>
      </w:r>
      <w:r>
        <w:rPr>
          <w:rStyle w:val="17"/>
          <w:rFonts w:hint="eastAsia" w:ascii="楷体" w:hAnsi="楷体" w:eastAsia="楷体"/>
          <w:spacing w:val="-4"/>
          <w:sz w:val="32"/>
          <w:szCs w:val="32"/>
          <w:lang w:val="en-US" w:eastAsia="zh-CN"/>
        </w:rPr>
        <w:t>成本</w:t>
      </w:r>
      <w:r>
        <w:rPr>
          <w:rStyle w:val="17"/>
          <w:rFonts w:hint="eastAsia" w:ascii="楷体" w:hAnsi="楷体" w:eastAsia="楷体"/>
          <w:spacing w:val="-4"/>
          <w:sz w:val="32"/>
          <w:szCs w:val="32"/>
        </w:rPr>
        <w:t>情况</w:t>
      </w:r>
    </w:p>
    <w:p>
      <w:pPr>
        <w:spacing w:line="540" w:lineRule="exact"/>
        <w:rPr>
          <w:rStyle w:val="17"/>
          <w:rFonts w:hint="default" w:ascii="楷体" w:hAnsi="楷体" w:eastAsia="楷体"/>
          <w:b w:val="0"/>
          <w:bCs w:val="0"/>
          <w:spacing w:val="-4"/>
          <w:sz w:val="32"/>
          <w:szCs w:val="32"/>
          <w:lang w:val="en-US" w:eastAsia="zh-CN"/>
        </w:rPr>
      </w:pPr>
      <w:r>
        <w:rPr>
          <w:rStyle w:val="17"/>
          <w:rFonts w:hint="eastAsia" w:ascii="楷体" w:hAnsi="楷体" w:eastAsia="楷体"/>
          <w:b w:val="0"/>
          <w:bCs w:val="0"/>
          <w:spacing w:val="-4"/>
          <w:sz w:val="32"/>
          <w:szCs w:val="32"/>
        </w:rPr>
        <w:t>1.社会效益</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保障重点时期平稳过渡，维护社会稳定，满分38分，得分38分，得分率100%。依据《信访工作条例》，加强对信访工作督查督办力度，认真履行信访工作职责，及时反映社情民意，妥善解决人民内部矛盾，保障了我区社会稳定和谐发展。</w:t>
      </w:r>
    </w:p>
    <w:p>
      <w:pPr>
        <w:spacing w:line="540" w:lineRule="exact"/>
        <w:rPr>
          <w:rStyle w:val="17"/>
          <w:rFonts w:hint="eastAsia" w:ascii="楷体" w:hAnsi="楷体" w:eastAsia="楷体"/>
          <w:b w:val="0"/>
          <w:bCs w:val="0"/>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五</w:t>
      </w:r>
      <w:r>
        <w:rPr>
          <w:rFonts w:hint="eastAsia" w:ascii="楷体" w:hAnsi="楷体" w:eastAsia="楷体"/>
          <w:b/>
          <w:spacing w:val="-4"/>
          <w:sz w:val="32"/>
          <w:szCs w:val="32"/>
        </w:rPr>
        <w:t>）</w:t>
      </w:r>
      <w:r>
        <w:rPr>
          <w:rFonts w:hint="eastAsia" w:ascii="楷体" w:hAnsi="楷体" w:eastAsia="楷体"/>
          <w:b/>
          <w:spacing w:val="-4"/>
          <w:sz w:val="32"/>
          <w:szCs w:val="32"/>
          <w:lang w:eastAsia="zh-CN"/>
        </w:rPr>
        <w:t>满意度</w:t>
      </w:r>
      <w:r>
        <w:rPr>
          <w:rStyle w:val="17"/>
          <w:rFonts w:hint="eastAsia" w:ascii="楷体" w:hAnsi="楷体" w:eastAsia="楷体"/>
          <w:spacing w:val="-4"/>
          <w:sz w:val="32"/>
          <w:szCs w:val="32"/>
        </w:rPr>
        <w:t>情况</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b w:val="0"/>
          <w:bCs w:val="0"/>
          <w:spacing w:val="-4"/>
          <w:sz w:val="32"/>
          <w:szCs w:val="32"/>
        </w:rPr>
        <w:t>无</w:t>
      </w:r>
    </w:p>
    <w:p>
      <w:pPr>
        <w:spacing w:line="540" w:lineRule="exact"/>
        <w:rPr>
          <w:rStyle w:val="17"/>
          <w:rFonts w:ascii="黑体" w:hAnsi="黑体" w:eastAsia="黑体"/>
          <w:b w:val="0"/>
          <w:spacing w:val="-4"/>
          <w:sz w:val="32"/>
          <w:szCs w:val="32"/>
        </w:rPr>
      </w:pPr>
      <w:r>
        <w:rPr>
          <w:rStyle w:val="17"/>
          <w:rFonts w:hint="eastAsia" w:ascii="黑体" w:hAnsi="黑体" w:eastAsia="黑体"/>
          <w:b w:val="0"/>
          <w:spacing w:val="-4"/>
          <w:sz w:val="32"/>
          <w:szCs w:val="32"/>
          <w:lang w:val="en-US" w:eastAsia="zh-CN"/>
        </w:rPr>
        <w:t>五</w:t>
      </w:r>
      <w:r>
        <w:rPr>
          <w:rStyle w:val="17"/>
          <w:rFonts w:hint="eastAsia" w:ascii="黑体" w:hAnsi="黑体" w:eastAsia="黑体"/>
          <w:b w:val="0"/>
          <w:spacing w:val="-4"/>
          <w:sz w:val="32"/>
          <w:szCs w:val="32"/>
        </w:rPr>
        <w:t>、主要经验及做法、存在的问题及原因分析</w:t>
      </w:r>
    </w:p>
    <w:p>
      <w:pPr>
        <w:spacing w:line="540" w:lineRule="exact"/>
        <w:rPr>
          <w:rFonts w:ascii="仿宋_GB2312" w:eastAsia="仿宋_GB2312"/>
          <w:spacing w:val="-4"/>
          <w:sz w:val="32"/>
          <w:szCs w:val="32"/>
        </w:rPr>
      </w:pPr>
      <w:r>
        <w:rPr>
          <w:rStyle w:val="17"/>
          <w:rFonts w:hint="eastAsia" w:ascii="楷体" w:hAnsi="楷体" w:eastAsia="楷体"/>
          <w:b w:val="0"/>
          <w:bCs w:val="0"/>
          <w:spacing w:val="-4"/>
          <w:sz w:val="32"/>
          <w:szCs w:val="32"/>
        </w:rPr>
        <w:t>（一）主要经验及做法</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2024年以来，伊州区信访局积极践行“为民解难 为党分忧”政治责任，认真学习贯彻《信访工作条例》，扎实推进信访工作法治化建设，持续开展领导干部接访下访约访，全力排查化解信访矛盾纠纷，攻坚化解信访突出问题和信访积案，开展信访业务规范化建设评查和信访干部培训，加强信访业务规范化建设，新中国成立75周年庆祝活动期间的信访服务保障工作。  1、2024年工作人员赴自治区出差次数减少，相应的差旅费支出减少，导致目标未完成。</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2、2024年度对单位的固定电话和宽带重新核对，因此网络运行费相应的减少，导致目标未完成。</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3、按照自治区党委“依法治疆”目标、信访法治化工作要求，该项经费未使用，导致该项目资金有偏差。</w:t>
      </w:r>
    </w:p>
    <w:p>
      <w:pPr>
        <w:spacing w:line="540" w:lineRule="exact"/>
        <w:rPr>
          <w:rStyle w:val="17"/>
          <w:rFonts w:hint="eastAsia" w:ascii="黑体" w:hAnsi="黑体" w:eastAsia="黑体"/>
          <w:b w:val="0"/>
          <w:spacing w:val="-4"/>
          <w:sz w:val="32"/>
          <w:szCs w:val="32"/>
        </w:rPr>
      </w:pPr>
      <w:r>
        <w:rPr>
          <w:rStyle w:val="17"/>
          <w:rFonts w:hint="eastAsia" w:ascii="黑体" w:hAnsi="黑体" w:eastAsia="黑体"/>
          <w:b w:val="0"/>
          <w:spacing w:val="-4"/>
          <w:sz w:val="32"/>
          <w:szCs w:val="32"/>
          <w:u w:val="dotted"/>
          <w:lang w:val="en-US" w:eastAsia="zh-CN"/>
        </w:rPr>
        <w:t>六</w:t>
      </w:r>
      <w:r>
        <w:rPr>
          <w:rStyle w:val="17"/>
          <w:rFonts w:hint="eastAsia" w:ascii="黑体" w:hAnsi="黑体" w:eastAsia="黑体"/>
          <w:b w:val="0"/>
          <w:spacing w:val="-4"/>
          <w:sz w:val="32"/>
          <w:szCs w:val="32"/>
        </w:rPr>
        <w:t>、有关建议</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b w:val="0"/>
          <w:bCs w:val="0"/>
          <w:spacing w:val="-4"/>
          <w:sz w:val="32"/>
          <w:szCs w:val="32"/>
        </w:rPr>
        <w:t>1、在决策前，明确决策目标和目的，尽可能收集相关的项目信息、市场数据、技术资料等，确保决策依据的准确性和完整性。</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2、对决策可能带来的各种影响进行深入分析，包括正面影响和负面影响，长期影响和短期影响等。</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3、制定多个备选方案，并对这些方案进行比较和评估。</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4、明确决策的责任人和执行人，以及他们的权力和职责范围。</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5、建立决策反馈机制，对决策的执行情况进行跟踪和评估，并根据反馈结果进行调整和优化。</w:t>
      </w:r>
    </w:p>
    <w:p>
      <w:pPr>
        <w:spacing w:line="540" w:lineRule="exact"/>
        <w:rPr>
          <w:rStyle w:val="17"/>
          <w:rFonts w:ascii="黑体" w:hAnsi="黑体" w:eastAsia="黑体"/>
          <w:b w:val="0"/>
          <w:spacing w:val="-4"/>
          <w:sz w:val="32"/>
          <w:szCs w:val="32"/>
        </w:rPr>
      </w:pPr>
      <w:bookmarkStart w:id="0" w:name="_GoBack"/>
      <w:bookmarkEnd w:id="0"/>
      <w:r>
        <w:rPr>
          <w:rStyle w:val="17"/>
          <w:rFonts w:hint="eastAsia" w:ascii="黑体" w:hAnsi="黑体" w:eastAsia="黑体"/>
          <w:b w:val="0"/>
          <w:spacing w:val="-4"/>
          <w:sz w:val="32"/>
          <w:szCs w:val="32"/>
          <w:lang w:val="en-US" w:eastAsia="zh-CN"/>
        </w:rPr>
        <w:t>七</w:t>
      </w:r>
      <w:r>
        <w:rPr>
          <w:rStyle w:val="17"/>
          <w:rFonts w:hint="eastAsia" w:ascii="黑体" w:hAnsi="黑体" w:eastAsia="黑体"/>
          <w:b w:val="0"/>
          <w:spacing w:val="-4"/>
          <w:sz w:val="32"/>
          <w:szCs w:val="32"/>
        </w:rPr>
        <w:t>、其他需要说明的问题</w:t>
      </w:r>
    </w:p>
    <w:p>
      <w:pPr>
        <w:spacing w:line="540" w:lineRule="exact"/>
        <w:ind w:firstLine="567"/>
        <w:rPr>
          <w:rStyle w:val="17"/>
          <w:rFonts w:ascii="仿宋" w:hAnsi="仿宋" w:eastAsia="仿宋"/>
          <w:b w:val="0"/>
          <w:spacing w:val="-4"/>
          <w:sz w:val="32"/>
          <w:szCs w:val="32"/>
        </w:rPr>
      </w:pPr>
      <w:r>
        <w:rPr>
          <w:rStyle w:val="17"/>
          <w:rFonts w:hint="eastAsia" w:ascii="楷体" w:hAnsi="楷体" w:eastAsia="楷体"/>
          <w:b w:val="0"/>
          <w:bCs w:val="0"/>
          <w:spacing w:val="-4"/>
          <w:sz w:val="32"/>
          <w:szCs w:val="32"/>
        </w:rPr>
        <w:t>无</w:t>
      </w:r>
    </w:p>
    <w:sectPr>
      <w:headerReference r:id="rId4" w:type="default"/>
      <w:footerReference r:id="rId5" w:type="default"/>
      <w:pgSz w:w="11906" w:h="16838"/>
      <w:pgMar w:top="1440" w:right="1558" w:bottom="1440" w:left="175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Cambria">
    <w:panose1 w:val="02040503050406030204"/>
    <w:charset w:val="00"/>
    <w:family w:val="auto"/>
    <w:pitch w:val="default"/>
    <w:sig w:usb0="E00006FF" w:usb1="420024FF" w:usb2="02000000" w:usb3="00000000" w:csb0="2000019F" w:csb1="00000000"/>
  </w:font>
  <w:font w:name="Calibri">
    <w:panose1 w:val="020F0502020204030204"/>
    <w:charset w:val="00"/>
    <w:family w:val="auto"/>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287" w:usb1="080F0000" w:usb2="00000000" w:usb3="00000000" w:csb0="0004009F" w:csb1="DFD70000"/>
  </w:font>
  <w:font w:name="方正小标宋_GBK">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2"/>
      <w:jc w:val="center"/>
    </w:pPr>
    <w:r>
      <w:fldChar w:fldCharType="begin"/>
    </w:r>
    <w:r>
      <w:instrText xml:space="preserve">PAGE   \* MERGEFORMAT</w:instrText>
    </w:r>
    <w:r>
      <w:fldChar w:fldCharType="separate"/>
    </w:r>
    <w:r>
      <w:rPr>
        <w:lang w:val="zh-CN"/>
      </w:rPr>
      <w:t>1</w:t>
    </w:r>
    <w:r>
      <w:fldChar w:fldCharType="end"/>
    </w:r>
  </w:p>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annotation subject"/>
    <w:lsdException w:qFormat="1" w:uiPriority="99" w:name="Balloon Text"/>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4"/>
    <w:qFormat/>
    <w:uiPriority w:val="9"/>
    <w:pPr>
      <w:keepNext/>
      <w:widowControl/>
      <w:spacing w:before="240" w:after="60"/>
      <w:jc w:val="left"/>
      <w:outlineLvl w:val="0"/>
    </w:pPr>
    <w:rPr>
      <w:rFonts w:ascii="Cambria" w:hAnsi="Cambria" w:eastAsia="宋体"/>
      <w:b/>
      <w:bCs/>
      <w:kern w:val="32"/>
      <w:sz w:val="32"/>
      <w:szCs w:val="32"/>
    </w:rPr>
  </w:style>
  <w:style w:type="paragraph" w:styleId="3">
    <w:name w:val="heading 2"/>
    <w:basedOn w:val="1"/>
    <w:next w:val="1"/>
    <w:link w:val="25"/>
    <w:semiHidden/>
    <w:unhideWhenUsed/>
    <w:qFormat/>
    <w:uiPriority w:val="9"/>
    <w:pPr>
      <w:keepNext/>
      <w:widowControl/>
      <w:spacing w:before="240" w:after="60"/>
      <w:jc w:val="left"/>
      <w:outlineLvl w:val="1"/>
    </w:pPr>
    <w:rPr>
      <w:rFonts w:ascii="Cambria" w:hAnsi="Cambria" w:eastAsia="宋体"/>
      <w:b/>
      <w:bCs/>
      <w:i/>
      <w:iCs/>
      <w:kern w:val="0"/>
      <w:sz w:val="28"/>
      <w:szCs w:val="28"/>
    </w:rPr>
  </w:style>
  <w:style w:type="paragraph" w:styleId="4">
    <w:name w:val="heading 3"/>
    <w:basedOn w:val="1"/>
    <w:next w:val="1"/>
    <w:link w:val="26"/>
    <w:semiHidden/>
    <w:unhideWhenUsed/>
    <w:qFormat/>
    <w:uiPriority w:val="9"/>
    <w:pPr>
      <w:keepNext/>
      <w:widowControl/>
      <w:spacing w:before="240" w:after="60"/>
      <w:jc w:val="left"/>
      <w:outlineLvl w:val="2"/>
    </w:pPr>
    <w:rPr>
      <w:rFonts w:ascii="Cambria" w:hAnsi="Cambria" w:eastAsia="宋体"/>
      <w:b/>
      <w:bCs/>
      <w:kern w:val="0"/>
      <w:sz w:val="26"/>
      <w:szCs w:val="26"/>
    </w:rPr>
  </w:style>
  <w:style w:type="paragraph" w:styleId="5">
    <w:name w:val="heading 4"/>
    <w:basedOn w:val="1"/>
    <w:next w:val="1"/>
    <w:link w:val="27"/>
    <w:semiHidden/>
    <w:unhideWhenUsed/>
    <w:qFormat/>
    <w:uiPriority w:val="9"/>
    <w:pPr>
      <w:keepNext/>
      <w:widowControl/>
      <w:spacing w:before="240" w:after="60"/>
      <w:jc w:val="left"/>
      <w:outlineLvl w:val="3"/>
    </w:pPr>
    <w:rPr>
      <w:rFonts w:ascii="Calibri" w:hAnsi="Calibri" w:eastAsia="宋体"/>
      <w:b/>
      <w:bCs/>
      <w:kern w:val="0"/>
      <w:sz w:val="28"/>
      <w:szCs w:val="28"/>
    </w:rPr>
  </w:style>
  <w:style w:type="paragraph" w:styleId="6">
    <w:name w:val="heading 5"/>
    <w:basedOn w:val="1"/>
    <w:next w:val="1"/>
    <w:link w:val="28"/>
    <w:semiHidden/>
    <w:unhideWhenUsed/>
    <w:qFormat/>
    <w:uiPriority w:val="9"/>
    <w:pPr>
      <w:widowControl/>
      <w:spacing w:before="240" w:after="60"/>
      <w:jc w:val="left"/>
      <w:outlineLvl w:val="4"/>
    </w:pPr>
    <w:rPr>
      <w:rFonts w:ascii="Calibri" w:hAnsi="Calibri" w:eastAsia="宋体"/>
      <w:b/>
      <w:bCs/>
      <w:i/>
      <w:iCs/>
      <w:kern w:val="0"/>
      <w:sz w:val="26"/>
      <w:szCs w:val="26"/>
    </w:rPr>
  </w:style>
  <w:style w:type="paragraph" w:styleId="7">
    <w:name w:val="heading 6"/>
    <w:basedOn w:val="1"/>
    <w:next w:val="1"/>
    <w:link w:val="29"/>
    <w:semiHidden/>
    <w:unhideWhenUsed/>
    <w:qFormat/>
    <w:uiPriority w:val="9"/>
    <w:pPr>
      <w:widowControl/>
      <w:spacing w:before="240" w:after="60"/>
      <w:jc w:val="left"/>
      <w:outlineLvl w:val="5"/>
    </w:pPr>
    <w:rPr>
      <w:rFonts w:ascii="Calibri" w:hAnsi="Calibri" w:eastAsia="宋体"/>
      <w:b/>
      <w:bCs/>
      <w:kern w:val="0"/>
      <w:sz w:val="22"/>
      <w:szCs w:val="22"/>
    </w:rPr>
  </w:style>
  <w:style w:type="paragraph" w:styleId="8">
    <w:name w:val="heading 7"/>
    <w:basedOn w:val="1"/>
    <w:next w:val="1"/>
    <w:link w:val="30"/>
    <w:semiHidden/>
    <w:unhideWhenUsed/>
    <w:qFormat/>
    <w:uiPriority w:val="9"/>
    <w:pPr>
      <w:widowControl/>
      <w:spacing w:before="240" w:after="60"/>
      <w:jc w:val="left"/>
      <w:outlineLvl w:val="6"/>
    </w:pPr>
    <w:rPr>
      <w:rFonts w:ascii="Calibri" w:hAnsi="Calibri" w:eastAsia="宋体"/>
      <w:kern w:val="0"/>
      <w:sz w:val="24"/>
    </w:rPr>
  </w:style>
  <w:style w:type="paragraph" w:styleId="9">
    <w:name w:val="heading 8"/>
    <w:basedOn w:val="1"/>
    <w:next w:val="1"/>
    <w:link w:val="31"/>
    <w:semiHidden/>
    <w:unhideWhenUsed/>
    <w:qFormat/>
    <w:uiPriority w:val="9"/>
    <w:pPr>
      <w:widowControl/>
      <w:spacing w:before="240" w:after="60"/>
      <w:jc w:val="left"/>
      <w:outlineLvl w:val="7"/>
    </w:pPr>
    <w:rPr>
      <w:rFonts w:ascii="Calibri" w:hAnsi="Calibri" w:eastAsia="宋体"/>
      <w:i/>
      <w:iCs/>
      <w:kern w:val="0"/>
      <w:sz w:val="24"/>
    </w:rPr>
  </w:style>
  <w:style w:type="paragraph" w:styleId="10">
    <w:name w:val="heading 9"/>
    <w:basedOn w:val="1"/>
    <w:next w:val="1"/>
    <w:link w:val="32"/>
    <w:semiHidden/>
    <w:unhideWhenUsed/>
    <w:qFormat/>
    <w:uiPriority w:val="9"/>
    <w:pPr>
      <w:widowControl/>
      <w:spacing w:before="240" w:after="60"/>
      <w:jc w:val="left"/>
      <w:outlineLvl w:val="8"/>
    </w:pPr>
    <w:rPr>
      <w:rFonts w:ascii="Cambria" w:hAnsi="Cambria" w:eastAsia="宋体"/>
      <w:kern w:val="0"/>
      <w:sz w:val="22"/>
      <w:szCs w:val="22"/>
    </w:rPr>
  </w:style>
  <w:style w:type="character" w:default="1" w:styleId="16">
    <w:name w:val="Default Paragraph Font"/>
    <w:semiHidden/>
    <w:unhideWhenUsed/>
    <w:qFormat/>
    <w:uiPriority w:val="1"/>
  </w:style>
  <w:style w:type="paragraph" w:styleId="11">
    <w:name w:val="Balloon Text"/>
    <w:basedOn w:val="1"/>
    <w:link w:val="44"/>
    <w:semiHidden/>
    <w:unhideWhenUsed/>
    <w:qFormat/>
    <w:uiPriority w:val="99"/>
    <w:rPr>
      <w:sz w:val="18"/>
      <w:szCs w:val="18"/>
    </w:rPr>
  </w:style>
  <w:style w:type="paragraph" w:styleId="12">
    <w:name w:val="footer"/>
    <w:basedOn w:val="1"/>
    <w:link w:val="43"/>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2"/>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4"/>
    <w:qFormat/>
    <w:uiPriority w:val="11"/>
    <w:pPr>
      <w:widowControl/>
      <w:spacing w:after="60"/>
      <w:jc w:val="center"/>
      <w:outlineLvl w:val="1"/>
    </w:pPr>
    <w:rPr>
      <w:rFonts w:ascii="Cambria" w:hAnsi="Cambria" w:eastAsia="宋体"/>
      <w:kern w:val="0"/>
      <w:sz w:val="24"/>
    </w:rPr>
  </w:style>
  <w:style w:type="paragraph" w:styleId="15">
    <w:name w:val="Title"/>
    <w:basedOn w:val="1"/>
    <w:next w:val="1"/>
    <w:link w:val="33"/>
    <w:qFormat/>
    <w:uiPriority w:val="10"/>
    <w:pPr>
      <w:widowControl/>
      <w:spacing w:before="240" w:after="60"/>
      <w:jc w:val="center"/>
      <w:outlineLvl w:val="0"/>
    </w:pPr>
    <w:rPr>
      <w:rFonts w:ascii="Cambria" w:hAnsi="Cambria" w:eastAsia="宋体"/>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Calibri" w:hAnsi="Calibri"/>
      <w:b/>
      <w:i/>
      <w:iCs/>
    </w:rPr>
  </w:style>
  <w:style w:type="paragraph" w:customStyle="1" w:styleId="19">
    <w:name w:val="No Spacing"/>
    <w:basedOn w:val="1"/>
    <w:qFormat/>
    <w:uiPriority w:val="1"/>
    <w:pPr>
      <w:widowControl/>
      <w:jc w:val="left"/>
    </w:pPr>
    <w:rPr>
      <w:rFonts w:ascii="Calibri" w:hAnsi="Calibri" w:eastAsia="宋体" w:cs="Times New Roman"/>
      <w:kern w:val="0"/>
      <w:sz w:val="24"/>
      <w:szCs w:val="32"/>
      <w:lang w:eastAsia="en-US" w:bidi="en-US"/>
    </w:rPr>
  </w:style>
  <w:style w:type="paragraph" w:customStyle="1" w:styleId="20">
    <w:name w:val="List Paragraph"/>
    <w:basedOn w:val="1"/>
    <w:qFormat/>
    <w:uiPriority w:val="34"/>
    <w:pPr>
      <w:widowControl/>
      <w:ind w:left="720"/>
      <w:contextualSpacing/>
      <w:jc w:val="left"/>
    </w:pPr>
    <w:rPr>
      <w:rFonts w:ascii="Calibri" w:hAnsi="Calibri" w:eastAsia="宋体"/>
      <w:kern w:val="0"/>
      <w:sz w:val="24"/>
      <w:lang w:eastAsia="en-US" w:bidi="en-US"/>
    </w:rPr>
  </w:style>
  <w:style w:type="paragraph" w:customStyle="1" w:styleId="21">
    <w:name w:val="Quote"/>
    <w:basedOn w:val="1"/>
    <w:next w:val="1"/>
    <w:link w:val="35"/>
    <w:qFormat/>
    <w:uiPriority w:val="29"/>
    <w:pPr>
      <w:widowControl/>
      <w:jc w:val="left"/>
    </w:pPr>
    <w:rPr>
      <w:rFonts w:ascii="Calibri" w:hAnsi="Calibri" w:eastAsia="宋体"/>
      <w:i/>
      <w:kern w:val="0"/>
      <w:sz w:val="24"/>
    </w:rPr>
  </w:style>
  <w:style w:type="paragraph" w:customStyle="1" w:styleId="22">
    <w:name w:val="Intense Quote"/>
    <w:basedOn w:val="1"/>
    <w:next w:val="1"/>
    <w:link w:val="36"/>
    <w:qFormat/>
    <w:uiPriority w:val="30"/>
    <w:pPr>
      <w:widowControl/>
      <w:ind w:left="720" w:right="720"/>
      <w:jc w:val="left"/>
    </w:pPr>
    <w:rPr>
      <w:rFonts w:ascii="Calibri" w:hAnsi="Calibri" w:eastAsia="宋体"/>
      <w:b/>
      <w:i/>
      <w:kern w:val="0"/>
      <w:sz w:val="24"/>
      <w:szCs w:val="22"/>
    </w:rPr>
  </w:style>
  <w:style w:type="paragraph" w:customStyle="1" w:styleId="23">
    <w:name w:val="TOC 标题1"/>
    <w:basedOn w:val="2"/>
    <w:next w:val="1"/>
    <w:semiHidden/>
    <w:unhideWhenUsed/>
    <w:qFormat/>
    <w:uiPriority w:val="39"/>
    <w:pPr>
      <w:outlineLvl w:val="9"/>
    </w:pPr>
    <w:rPr>
      <w:lang w:eastAsia="en-US" w:bidi="en-US"/>
    </w:rPr>
  </w:style>
  <w:style w:type="character" w:customStyle="1" w:styleId="24">
    <w:name w:val="标题 1 字符"/>
    <w:basedOn w:val="16"/>
    <w:link w:val="2"/>
    <w:qFormat/>
    <w:uiPriority w:val="9"/>
    <w:rPr>
      <w:rFonts w:ascii="Cambria" w:hAnsi="Cambria" w:eastAsia="宋体"/>
      <w:b/>
      <w:bCs/>
      <w:kern w:val="32"/>
      <w:sz w:val="32"/>
      <w:szCs w:val="32"/>
    </w:rPr>
  </w:style>
  <w:style w:type="character" w:customStyle="1" w:styleId="25">
    <w:name w:val="标题 2 字符"/>
    <w:basedOn w:val="16"/>
    <w:link w:val="3"/>
    <w:semiHidden/>
    <w:qFormat/>
    <w:uiPriority w:val="9"/>
    <w:rPr>
      <w:rFonts w:ascii="Cambria" w:hAnsi="Cambria" w:eastAsia="宋体"/>
      <w:b/>
      <w:bCs/>
      <w:i/>
      <w:iCs/>
      <w:sz w:val="28"/>
      <w:szCs w:val="28"/>
    </w:rPr>
  </w:style>
  <w:style w:type="character" w:customStyle="1" w:styleId="26">
    <w:name w:val="标题 3 字符"/>
    <w:basedOn w:val="16"/>
    <w:link w:val="4"/>
    <w:semiHidden/>
    <w:qFormat/>
    <w:uiPriority w:val="9"/>
    <w:rPr>
      <w:rFonts w:ascii="Cambria" w:hAnsi="Cambria" w:eastAsia="宋体"/>
      <w:b/>
      <w:bCs/>
      <w:sz w:val="26"/>
      <w:szCs w:val="26"/>
    </w:rPr>
  </w:style>
  <w:style w:type="character" w:customStyle="1" w:styleId="27">
    <w:name w:val="标题 4 字符"/>
    <w:basedOn w:val="16"/>
    <w:link w:val="5"/>
    <w:semiHidden/>
    <w:qFormat/>
    <w:uiPriority w:val="9"/>
    <w:rPr>
      <w:b/>
      <w:bCs/>
      <w:sz w:val="28"/>
      <w:szCs w:val="28"/>
    </w:rPr>
  </w:style>
  <w:style w:type="character" w:customStyle="1" w:styleId="28">
    <w:name w:val="标题 5 字符"/>
    <w:basedOn w:val="16"/>
    <w:link w:val="6"/>
    <w:semiHidden/>
    <w:qFormat/>
    <w:uiPriority w:val="9"/>
    <w:rPr>
      <w:b/>
      <w:bCs/>
      <w:i/>
      <w:iCs/>
      <w:sz w:val="26"/>
      <w:szCs w:val="26"/>
    </w:rPr>
  </w:style>
  <w:style w:type="character" w:customStyle="1" w:styleId="29">
    <w:name w:val="标题 6 字符"/>
    <w:basedOn w:val="16"/>
    <w:link w:val="7"/>
    <w:semiHidden/>
    <w:qFormat/>
    <w:uiPriority w:val="9"/>
    <w:rPr>
      <w:b/>
      <w:bCs/>
    </w:rPr>
  </w:style>
  <w:style w:type="character" w:customStyle="1" w:styleId="30">
    <w:name w:val="标题 7 字符"/>
    <w:basedOn w:val="16"/>
    <w:link w:val="8"/>
    <w:semiHidden/>
    <w:qFormat/>
    <w:uiPriority w:val="9"/>
    <w:rPr>
      <w:sz w:val="24"/>
      <w:szCs w:val="24"/>
    </w:rPr>
  </w:style>
  <w:style w:type="character" w:customStyle="1" w:styleId="31">
    <w:name w:val="标题 8 字符"/>
    <w:basedOn w:val="16"/>
    <w:link w:val="9"/>
    <w:semiHidden/>
    <w:qFormat/>
    <w:uiPriority w:val="9"/>
    <w:rPr>
      <w:i/>
      <w:iCs/>
      <w:sz w:val="24"/>
      <w:szCs w:val="24"/>
    </w:rPr>
  </w:style>
  <w:style w:type="character" w:customStyle="1" w:styleId="32">
    <w:name w:val="标题 9 字符"/>
    <w:basedOn w:val="16"/>
    <w:link w:val="10"/>
    <w:semiHidden/>
    <w:qFormat/>
    <w:uiPriority w:val="9"/>
    <w:rPr>
      <w:rFonts w:ascii="Cambria" w:hAnsi="Cambria" w:eastAsia="宋体"/>
    </w:rPr>
  </w:style>
  <w:style w:type="character" w:customStyle="1" w:styleId="33">
    <w:name w:val="标题 字符"/>
    <w:basedOn w:val="16"/>
    <w:link w:val="15"/>
    <w:qFormat/>
    <w:uiPriority w:val="10"/>
    <w:rPr>
      <w:rFonts w:ascii="Cambria" w:hAnsi="Cambria" w:eastAsia="宋体"/>
      <w:b/>
      <w:bCs/>
      <w:kern w:val="28"/>
      <w:sz w:val="32"/>
      <w:szCs w:val="32"/>
    </w:rPr>
  </w:style>
  <w:style w:type="character" w:customStyle="1" w:styleId="34">
    <w:name w:val="副标题 字符"/>
    <w:basedOn w:val="16"/>
    <w:link w:val="14"/>
    <w:qFormat/>
    <w:uiPriority w:val="11"/>
    <w:rPr>
      <w:rFonts w:ascii="Cambria" w:hAnsi="Cambria" w:eastAsia="宋体"/>
      <w:sz w:val="24"/>
      <w:szCs w:val="24"/>
    </w:rPr>
  </w:style>
  <w:style w:type="character" w:customStyle="1" w:styleId="35">
    <w:name w:val="引用 字符"/>
    <w:basedOn w:val="16"/>
    <w:link w:val="21"/>
    <w:qFormat/>
    <w:uiPriority w:val="29"/>
    <w:rPr>
      <w:i/>
      <w:sz w:val="24"/>
      <w:szCs w:val="24"/>
    </w:rPr>
  </w:style>
  <w:style w:type="character" w:customStyle="1" w:styleId="36">
    <w:name w:val="明显引用 字符"/>
    <w:basedOn w:val="16"/>
    <w:link w:val="22"/>
    <w:qFormat/>
    <w:uiPriority w:val="30"/>
    <w:rPr>
      <w:b/>
      <w:i/>
      <w:sz w:val="24"/>
    </w:rPr>
  </w:style>
  <w:style w:type="character" w:customStyle="1" w:styleId="37">
    <w:name w:val="不明显强调1"/>
    <w:qFormat/>
    <w:uiPriority w:val="19"/>
    <w:rPr>
      <w:i/>
      <w:color w:val="565656"/>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Cambria" w:hAnsi="Cambria" w:eastAsia="宋体"/>
      <w:b/>
      <w:i/>
      <w:sz w:val="24"/>
      <w:szCs w:val="24"/>
    </w:rPr>
  </w:style>
  <w:style w:type="character" w:customStyle="1" w:styleId="42">
    <w:name w:val="页眉 字符"/>
    <w:basedOn w:val="16"/>
    <w:link w:val="13"/>
    <w:qFormat/>
    <w:uiPriority w:val="99"/>
    <w:rPr>
      <w:rFonts w:ascii="Calibri" w:hAnsi="Calibri" w:eastAsia="宋体"/>
      <w:kern w:val="2"/>
      <w:sz w:val="18"/>
      <w:szCs w:val="18"/>
    </w:rPr>
  </w:style>
  <w:style w:type="character" w:customStyle="1" w:styleId="43">
    <w:name w:val="页脚 字符"/>
    <w:basedOn w:val="16"/>
    <w:link w:val="12"/>
    <w:qFormat/>
    <w:uiPriority w:val="99"/>
    <w:rPr>
      <w:rFonts w:ascii="Calibri" w:hAnsi="Calibri" w:eastAsia="宋体"/>
      <w:kern w:val="2"/>
      <w:sz w:val="18"/>
      <w:szCs w:val="18"/>
    </w:rPr>
  </w:style>
  <w:style w:type="character" w:customStyle="1" w:styleId="44">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 Id="rId7"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5678</Words>
  <Characters>5982</Characters>
  <Lines>5</Lines>
  <Paragraphs>1</Paragraphs>
  <TotalTime>0</TotalTime>
  <ScaleCrop>false</ScaleCrop>
  <LinksUpToDate>false</LinksUpToDate>
  <CharactersWithSpaces>0</CharactersWithSpaces>
  <Application>WPS Office 专业版_8.1.0.0_{F1E327BC-269C-435d-A152-05C5408002CA}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Lenovo</cp:lastModifiedBy>
  <cp:lastPrinted>2018-12-31T10:56:00Z</cp:lastPrinted>
  <dcterms:modified xsi:type="dcterms:W3CDTF">2025-11-06T15:52:30Z</dcterms:modified>
  <dc:title>附件2：</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2052-8.1.0.0</vt:lpwstr>
  </property>
  <property fmtid="{D5CDD505-2E9C-101B-9397-08002B2CF9AE}" pid="3" name="ICV">
    <vt:lpwstr>C734C92AAAF24344A0E4232D8EB3359B</vt:lpwstr>
  </property>
  <property fmtid="{D5CDD505-2E9C-101B-9397-08002B2CF9AE}" pid="4" name="KSOTemplateDocerSaveRecord">
    <vt:lpwstr>eyJoZGlkIjoiYjAwZDY0MzljNDE2MjBkZjY5ZjY0ODNhMGVjMWM0N2EiLCJ1c2VySWQiOiIxMDA1MzM3ODU4In0=</vt:lpwstr>
  </property>
</Properties>
</file>