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ind w:firstLine="964" w:firstLineChars="200"/>
        <w:jc w:val="center"/>
        <w:rPr>
          <w:rFonts w:hint="eastAsia" w:ascii="方正小标宋_GBK" w:hAnsi="华文中宋" w:eastAsia="方正小标宋_GBK" w:cs="宋体"/>
          <w:b/>
          <w:kern w:val="0"/>
          <w:sz w:val="48"/>
          <w:szCs w:val="48"/>
        </w:rPr>
      </w:pPr>
    </w:p>
    <w:p>
      <w:pPr>
        <w:spacing w:line="540" w:lineRule="exact"/>
        <w:ind w:firstLine="964" w:firstLineChars="200"/>
        <w:jc w:val="center"/>
        <w:rPr>
          <w:rFonts w:hint="eastAsia" w:ascii="方正小标宋_GBK" w:hAnsi="华文中宋" w:eastAsia="方正小标宋_GBK" w:cs="宋体"/>
          <w:b/>
          <w:kern w:val="0"/>
          <w:sz w:val="48"/>
          <w:szCs w:val="48"/>
        </w:rPr>
      </w:pPr>
    </w:p>
    <w:p>
      <w:pPr>
        <w:spacing w:line="540" w:lineRule="exact"/>
        <w:ind w:firstLine="964" w:firstLineChars="200"/>
        <w:jc w:val="center"/>
        <w:rPr>
          <w:rFonts w:hint="eastAsia" w:ascii="方正小标宋_GBK" w:hAnsi="华文中宋" w:eastAsia="方正小标宋_GBK" w:cs="宋体"/>
          <w:b/>
          <w:kern w:val="0"/>
          <w:sz w:val="48"/>
          <w:szCs w:val="48"/>
        </w:rPr>
      </w:pPr>
    </w:p>
    <w:p>
      <w:pPr>
        <w:spacing w:line="540" w:lineRule="exact"/>
        <w:ind w:firstLine="964" w:firstLineChars="200"/>
        <w:jc w:val="center"/>
        <w:rPr>
          <w:rFonts w:hint="eastAsia" w:ascii="方正小标宋_GBK" w:hAnsi="华文中宋" w:eastAsia="方正小标宋_GBK" w:cs="宋体"/>
          <w:b/>
          <w:kern w:val="0"/>
          <w:sz w:val="48"/>
          <w:szCs w:val="48"/>
        </w:rPr>
      </w:pPr>
    </w:p>
    <w:p>
      <w:pPr>
        <w:spacing w:line="540" w:lineRule="exact"/>
        <w:ind w:firstLine="964" w:firstLineChars="200"/>
        <w:jc w:val="center"/>
        <w:rPr>
          <w:rFonts w:hint="eastAsia" w:ascii="方正小标宋_GBK" w:hAnsi="华文中宋" w:eastAsia="方正小标宋_GBK" w:cs="宋体"/>
          <w:b/>
          <w:kern w:val="0"/>
          <w:sz w:val="48"/>
          <w:szCs w:val="48"/>
        </w:rPr>
      </w:pPr>
    </w:p>
    <w:p>
      <w:pPr>
        <w:spacing w:line="540" w:lineRule="exact"/>
        <w:ind w:firstLine="1928" w:firstLineChars="400"/>
        <w:jc w:val="both"/>
        <w:rPr>
          <w:rFonts w:hint="eastAsia" w:ascii="方正小标宋_GBK" w:hAnsi="华文中宋" w:eastAsia="方正小标宋_GBK" w:cs="宋体"/>
          <w:b/>
          <w:kern w:val="0"/>
          <w:sz w:val="48"/>
          <w:szCs w:val="48"/>
        </w:rPr>
      </w:pPr>
    </w:p>
    <w:p>
      <w:pPr>
        <w:spacing w:line="540" w:lineRule="exact"/>
        <w:ind w:firstLine="1928" w:firstLineChars="400"/>
        <w:jc w:val="both"/>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ind w:firstLine="720" w:firstLineChars="200"/>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2024</w:t>
      </w:r>
      <w:r>
        <w:rPr>
          <w:rFonts w:hint="eastAsia" w:hAnsi="宋体" w:eastAsia="仿宋_GB2312" w:cs="宋体"/>
          <w:kern w:val="0"/>
          <w:sz w:val="36"/>
          <w:szCs w:val="36"/>
        </w:rPr>
        <w:t>年度）</w:t>
      </w: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bookmarkStart w:id="0" w:name="_GoBack"/>
      <w:bookmarkEnd w:id="0"/>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int="eastAsia" w:hAnsi="宋体" w:eastAsia="仿宋_GB2312" w:cs="宋体"/>
          <w:kern w:val="0"/>
          <w:sz w:val="36"/>
          <w:szCs w:val="36"/>
        </w:rPr>
      </w:pP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全口径项目</w:t>
      </w:r>
    </w:p>
    <w:p>
      <w:pPr>
        <w:spacing w:line="540" w:lineRule="exact"/>
        <w:ind w:firstLine="720" w:firstLineChars="200"/>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哈密市伊州区住房和城乡建设局</w:t>
      </w:r>
    </w:p>
    <w:p>
      <w:pPr>
        <w:spacing w:line="540" w:lineRule="exact"/>
        <w:ind w:firstLine="720" w:firstLineChars="20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哈密市伊州区住房和城乡建设局</w:t>
      </w:r>
    </w:p>
    <w:p>
      <w:pPr>
        <w:spacing w:line="540" w:lineRule="exact"/>
        <w:ind w:firstLine="720" w:firstLineChars="20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顾建娟</w:t>
      </w:r>
    </w:p>
    <w:p>
      <w:pPr>
        <w:spacing w:line="540" w:lineRule="exact"/>
        <w:ind w:left="273" w:firstLine="720" w:firstLineChars="200"/>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2025年05月26日</w:t>
      </w:r>
    </w:p>
    <w:p>
      <w:pPr>
        <w:spacing w:line="540" w:lineRule="exact"/>
        <w:ind w:firstLine="624" w:firstLineChars="200"/>
        <w:rPr>
          <w:rStyle w:val="18"/>
          <w:rFonts w:hint="eastAsia" w:ascii="黑体" w:hAnsi="黑体" w:eastAsia="黑体"/>
          <w:b w:val="0"/>
          <w:spacing w:val="-4"/>
          <w:sz w:val="32"/>
          <w:szCs w:val="32"/>
        </w:rPr>
      </w:pPr>
    </w:p>
    <w:p>
      <w:pPr>
        <w:spacing w:line="540" w:lineRule="exact"/>
        <w:rPr>
          <w:rStyle w:val="18"/>
          <w:rFonts w:hint="eastAsia" w:ascii="黑体" w:hAnsi="黑体" w:eastAsia="黑体"/>
          <w:b w:val="0"/>
          <w:spacing w:val="-4"/>
          <w:sz w:val="32"/>
          <w:szCs w:val="32"/>
        </w:rPr>
      </w:pP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2017年4月，财政部第六部委联合印发《关于进一步规范地方政府举债融资行为的通知》，提出由财政部门会同发展改革、人民银行、银监、证监等部门建设大数据监测平台，统计检测政府中长期支出事项以及融资平台公司举借或发行的银行贷款、融资管理产品、企业债券、非金融企业债务融资工具等情况，加强部门信息共享和数据校验，定期通报检测结果。2018年，我国政府开始了新一轮化解地方政府债务的进程。2018年下半年，《中共中央国务院关于防范化解地方政府隐性债务风险风险的意见》和《地方政府隐形债务问责办法》下发，要求地方政府出台当地化解隐形债务的文件。2018年8月，财政部全口径监测平台上线。该系统负责统计各级党政机关、事业单位、国有企业的</w:t>
      </w:r>
      <w:r>
        <w:rPr>
          <w:rStyle w:val="18"/>
          <w:rFonts w:hint="eastAsia" w:ascii="楷体" w:hAnsi="楷体" w:eastAsia="楷体"/>
          <w:b w:val="0"/>
          <w:bCs w:val="0"/>
          <w:spacing w:val="-4"/>
          <w:sz w:val="32"/>
          <w:szCs w:val="32"/>
          <w:lang w:val="en-US" w:eastAsia="zh-CN"/>
        </w:rPr>
        <w:t>举债</w:t>
      </w:r>
      <w:r>
        <w:rPr>
          <w:rStyle w:val="18"/>
          <w:rFonts w:hint="eastAsia" w:ascii="楷体" w:hAnsi="楷体" w:eastAsia="楷体"/>
          <w:b w:val="0"/>
          <w:bCs w:val="0"/>
          <w:spacing w:val="-4"/>
          <w:sz w:val="32"/>
          <w:szCs w:val="32"/>
        </w:rPr>
        <w:t>、资产情况及政府中长期支出事项情况。随后，根据区财政工作安排，各部门单位在全口径监测平台中逐笔录入了政府拖欠企业债务信息。后期年份里，根据全口径监测平台隐形债务化解计划，每年进行债务化解。成功化解当前地方政府债务风险，推动我国经济社会高质量发展。2.主要内容及实施情况项目主要内容是根据全口径监测平台2024年化解计划，根据项目相关合同，通过使用50822.86万元财政资金，支付全口径项目（融资平台）欠款，按规定偿还以前年度的欠款，减轻单位负债，保障债权人的权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2024年全口径项目（融资平台）全年预算50822.86万元，全部资金来源为财政一般公共预算资金，资金到位率100%，截止2024年12月31日，支出金额50822.86万元，预算执行率为100%。</w:t>
      </w:r>
    </w:p>
    <w:p>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本项目总体目标为：通过根据项目相关合同，按规定偿还以前年度的欠款，减轻单位负债，保障债权人的权益。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根据全口径检测平台（融资平台）2024年债务化解计划，结合项目相关信息，将年度目标细化分解，最终确定该项目阶段性目标如下：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数量指标：全口径监测平台还款数不低于1个；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质量指标：还款资金发放及时率达到100%；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时效指标：偿还欠款完成及时率达到100%。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经济成本指标：偿还平台项目费用不高于50822.86万元。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社会效益指标：单位年度债务风险化解率达到100%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满意度指标：债权人满意度不低于95%。</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我单位根据《自治区财政支出绩效评价管理暂行办法》（新财预〔2018〕189号）文件精神，对全口径项目（融资平台）绩效目标实现情况进行自评。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项目立项：立项依据充分性，权重2分；立项程序规范性，权重2分。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绩效目标：绩效目标明确性，权重4分；绩效目标合理性，权重4分。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预算编制：测算标准科学性，权重3分；资金分配合理性，权重2分。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资金管理：资金到位率，权重6分；预算执行率，权重6分。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组织实施：资金使用合规性，权重4分，管理制度健全性，权重4分，制度执行有效性，权重3分。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（3）项目产出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数量指标：全口径监测平台还款数，权重5分；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质量指标：还款资金发放准确率，权重5分；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时效指标：偿还欠款完成及时率，权重6分；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成本指标：偿还平台项目费用，权重6分。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社会效益指标：单位年度债务风险化解率，权重30分。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服务对象满意度指标：债权人满意度，权重8分。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2024年全口径项目（融资平台）绩效评价主要通过项目单位自评、主管部门监督、财政部门参评的方式开展绩效评价工作。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绩效评价标准通常包括计划标准、行业标准、历史标准等，用于对绩效指标完成情况进行比较。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（2）采取“年初绩效目标预定与实施效果比较法”进行评价，评价指标体系以绩效目标申报指标为依据。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（1）项目全过程资料档案复核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发放调查问卷开展受益居民满意度调查工作。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本次项目自评满分100分，自评得分</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分，自评结果为“优”，其中项目决策得分15分，项目过程得分23分，项目产出得分22分，项目效益得分30分，项目满意度得分8分。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综合评价结论：项目决策方面，2018年8月，财政部全口径监测平台上线。该系统负责统计各级党政机关、事业单位、国有企业的</w:t>
      </w:r>
      <w:r>
        <w:rPr>
          <w:rStyle w:val="18"/>
          <w:rFonts w:hint="eastAsia" w:ascii="楷体" w:hAnsi="楷体" w:eastAsia="楷体"/>
          <w:b w:val="0"/>
          <w:bCs w:val="0"/>
          <w:spacing w:val="-4"/>
          <w:sz w:val="32"/>
          <w:szCs w:val="32"/>
          <w:lang w:val="en-US" w:eastAsia="zh-CN"/>
        </w:rPr>
        <w:t>举债</w:t>
      </w:r>
      <w:r>
        <w:rPr>
          <w:rStyle w:val="18"/>
          <w:rFonts w:hint="eastAsia" w:ascii="楷体" w:hAnsi="楷体" w:eastAsia="楷体"/>
          <w:b w:val="0"/>
          <w:bCs w:val="0"/>
          <w:spacing w:val="-4"/>
          <w:sz w:val="32"/>
          <w:szCs w:val="32"/>
        </w:rPr>
        <w:t>、资产情况及政府中长期支出事项情况。随后，根据区财政工作安排，各部门单位在全口径监测平台中逐笔录入了政府拖欠企业债务信息。后期年份里，根据全口径监测平台隐形债务化解计划，每年进行债务化解。成功化解当前地方政府债务风险，推动我国经济社会高质量发展；项目过程方面，本项目共计申请资金50822.86万元，实际到位资金50822.86万元，实际支付资金50822.86万元，资金到位率及预算执行率均达到100%；项目产出方面，根据2024年化解计划及项目相关合同，计划偿还平台项目费用50822.86万元，根据项目支出凭证及相关收据，项目实际支付50822.86万元，符合成本控制要求；项目效益方面，2024年度化解计划按时完成，规避了各类债务化解风险的发生，单位年度债务风险化解率为100%，符合计划要求。项目满意度方面，根据对债权人满意度收集情况，对债务偿还进度满意度、政策满意度等均反应为满意，满意度达95%。</w:t>
      </w:r>
    </w:p>
    <w:p>
      <w:pPr>
        <w:spacing w:line="540" w:lineRule="exact"/>
        <w:rPr>
          <w:rStyle w:val="18"/>
          <w:rFonts w:ascii="黑体" w:hAnsi="黑体" w:eastAsia="黑体"/>
        </w:rPr>
      </w:pPr>
      <w:r>
        <w:rPr>
          <w:rStyle w:val="18"/>
          <w:rFonts w:hint="eastAsia" w:ascii="黑体" w:hAnsi="黑体" w:eastAsia="黑体"/>
          <w:b w:val="0"/>
          <w:spacing w:val="-4"/>
          <w:sz w:val="32"/>
          <w:szCs w:val="32"/>
        </w:rPr>
        <w:t>四、绩效评价指标分析</w:t>
      </w:r>
    </w:p>
    <w:p>
      <w:pPr>
        <w:spacing w:line="540" w:lineRule="exact"/>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624" w:firstLineChars="200"/>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（1）立项依据充分性，满分2分，得分2分，得分率100%。2018年8月，财政部全口径监测平台上线。该系统负责统计各级党政机关、事业单位、国有企业的</w:t>
      </w:r>
      <w:r>
        <w:rPr>
          <w:rStyle w:val="18"/>
          <w:rFonts w:hint="eastAsia" w:ascii="楷体" w:hAnsi="楷体" w:eastAsia="楷体"/>
          <w:b w:val="0"/>
          <w:bCs w:val="0"/>
          <w:spacing w:val="-4"/>
          <w:sz w:val="32"/>
          <w:szCs w:val="32"/>
          <w:lang w:val="en-US" w:eastAsia="zh-CN"/>
        </w:rPr>
        <w:t>举债</w:t>
      </w:r>
      <w:r>
        <w:rPr>
          <w:rStyle w:val="18"/>
          <w:rFonts w:hint="eastAsia" w:ascii="楷体" w:hAnsi="楷体" w:eastAsia="楷体"/>
          <w:b w:val="0"/>
          <w:bCs w:val="0"/>
          <w:spacing w:val="-4"/>
          <w:sz w:val="32"/>
          <w:szCs w:val="32"/>
        </w:rPr>
        <w:t>、资产情况及政府中长期支出事项情况。随后，根据区财政工作安排，各部门单位在全口径监测平台中逐笔录入了政府拖欠企业债务信息。后期年份里，根据全口径监测平台隐形债务化解计划，每年进行债务化解。成功化解当前地方政府债务风险，推动我国经济社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绩效目标明确性，满分4分，得分2分，得分率50%。项目绩效目标为“本项目通过根据项目相关合同，按规定偿还以前年度的欠款，减轻单位负债，保障债权人的权益。”，绩效目标包含了预期产出，并通过清晰、可衡量的指标予以体现，但年度总体目标缺少预期效益情况，不符合部门工作任务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（2）绩效目标合理性，满分4分，得分4分，得分率100%。项目绩效目标细化分解为具体指标，绩效目标内容与项目相关，产出和效益符合正常业绩水平，资金投入与预算资金相匹配。绩效目标设置合理可行。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3.预算编制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（1）测算标准合理性，满分3分，得分3分，得分率100%。项目依据根据全口径检测平台（融资平台）2024年债务化解计划，结合项目相关信息及领导集体决策要求，测算项目资金5022.86万元，测算标准合理。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（2）测算过程细化度，满分2分，得分2分，得分率100%。项目资金测算主要依据全口径检测平台（融资平台）2024年债务化解计划，结合项目相关信息，费用明细详细，测算过程细化清晰。</w:t>
      </w:r>
      <w:r>
        <w:rPr>
          <w:rStyle w:val="18"/>
          <w:rFonts w:hint="eastAsia" w:ascii="楷体" w:hAnsi="楷体" w:eastAsia="楷体"/>
          <w:b w:val="0"/>
          <w:bCs w:val="0"/>
          <w:spacing w:val="-4"/>
          <w:sz w:val="32"/>
          <w:szCs w:val="32"/>
          <w:lang w:eastAsia="zh-CN"/>
        </w:rPr>
        <w:tab/>
      </w:r>
    </w:p>
    <w:p>
      <w:pPr>
        <w:spacing w:line="540" w:lineRule="exact"/>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（1）资金到位率，满分6分，得分6分，得分率100%。2024年全口径项目（融资平台）全年预算50822.86万元，全部资金来源为财政一般公共预算资金，资金到位率100%。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（2）预算执行率，满分6分，得分6分，得分率100%。项目实际到位资金50822.86万元，截止2024年12月31日，支出金额50822.86万元，预算执行率为100%。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8"/>
          <w:rFonts w:hint="eastAsia" w:ascii="楷体" w:hAnsi="楷体" w:eastAsia="楷体"/>
          <w:b w:val="0"/>
          <w:bCs w:val="0"/>
          <w:spacing w:val="-4"/>
          <w:sz w:val="32"/>
          <w:szCs w:val="32"/>
          <w:lang w:val="en-US" w:eastAsia="zh-CN"/>
        </w:rPr>
        <w:t>经</w:t>
      </w:r>
      <w:r>
        <w:rPr>
          <w:rStyle w:val="18"/>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（2）管理制度健全性，满分4分，得分4分，得分率100%。财务制度方面，我局为保障项目资金合理支出，制定《预算管理内部控制制度》，规定项目支出的合理流程，制度制定合法、合规。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（3）制度执行有效性，满分3分，得分3分，得分率100%。项目支出遵守财务法律法规和自治区项目管理要求的各项规定，支出凭证、收据等相关资料齐全，项目实施所需的人员齐备，符合制度工作要求。</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（1）全口径监测平台还款数，满分5分，得分5分，得分率100%。根据项目工作计划要求，预计还款项目数量不少于1个，根据支付回单显示不少于1个，符合计划要求。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（1）还款资金发放准确率，满分5分，得分5分，得分率100%。项目按照工作计划，要求项目还款资金发放准确率为100%，通过支付回单显示，还款资金发放准确率为100%，符合计划要求。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偿还欠款完成及时率，满分6分，得分6分，得分率100%。根据全口径债务还款支付回单，还款开始日期为2024年1月1日，还款结束时间2024年12月31日，2024年度还款计划按时完成，偿还欠款完成及时率为100%，符合计划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（1）偿还平台项目费用，满分6分，得分6分，得分率100%。根据2024年化解计划及项目相关合同，计划偿还平台项目费用50822.86万元，根据项目支出凭证及相关收据，项目实际支付50822.86万元，符合成本控制要求。</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单位年度债务风险化解率，满分30分，得分30分，得分率100%。根据全口径债务还款支付回单，全口径项目（融资平台）年度化解债务计划50822.86万元，2024年度化解计划按时完成，规避了各类债务化解风险的发生，单位年度债务风险化解率为100%，符合计划要求。</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8"/>
          <w:rFonts w:hint="eastAsia" w:ascii="楷体" w:hAnsi="楷体" w:eastAsia="楷体"/>
          <w:spacing w:val="-4"/>
          <w:sz w:val="32"/>
          <w:szCs w:val="32"/>
        </w:rPr>
        <w:t>情况</w:t>
      </w:r>
    </w:p>
    <w:p>
      <w:pPr>
        <w:spacing w:line="540" w:lineRule="exac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债权人满意度，满分8分，得分8分，得分率100%。本项目向本次偿还债务的债权人随机发放满意度问卷10份，问卷内容主要包括债务偿还进度满意度、政策满意度等，实际回收满意度问卷10份，满意度情况大部分为满意，个别反馈债务化解力度不够大等问题，整体债权人满意度为95%。</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pPr>
        <w:spacing w:line="540" w:lineRule="exact"/>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一是建立高效决策机制，明确决策责任与权限，明确相关人员的决策责任与权限，确保决策能够快速、准确地做出，避免决策拖延或责任不清。设立项目管理小组，根据项目规模和复杂性，设立专门的项目管理小组，负责项目的重大决策，确保决策的专业性和高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二是强化决策分析与评估。开展决策前分析，在做出决策前，对项目现状、风险等进行全面分析，收集相关信息和数据，为决策提供科学依据。建立决策评估体系，制定决策评估标准和流程，对决策方案进行量化评估，确保选择最优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三是加强决策沟通与协调。促进信息共享，建立有效的信息共享机制，确保决策所需的信息能够及时、准确地传递给相关人员。强化跨部门沟通，加强项目实施部门内部及与其他部门之间的沟通，确保决策过程中各方意见得到充分表达和讨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主要问题是年度总体目标设置合理性不高，目绩效目标为“本项目通过根据项目相关合同，按规定偿还以前年度的欠款，减轻单位负债，保障债权人的权益”，绩效目标包含了预期产出，并通过清晰、可衡量的指标予以体现，但年度总体目标缺少预期效益情况，不符合部门工作任务要求。主要原因在于我局预算绩效管理意识仍有待提高。</w:t>
      </w:r>
    </w:p>
    <w:p>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u w:val="dotted"/>
          <w:lang w:val="en-US" w:eastAsia="zh-CN"/>
        </w:rPr>
        <w:t>六</w:t>
      </w:r>
      <w:r>
        <w:rPr>
          <w:rStyle w:val="18"/>
          <w:rFonts w:hint="eastAsia" w:ascii="黑体" w:hAnsi="黑体" w:eastAsia="黑体"/>
          <w:b w:val="0"/>
          <w:spacing w:val="-4"/>
          <w:sz w:val="32"/>
          <w:szCs w:val="32"/>
        </w:rPr>
        <w:t>、有关建议</w:t>
      </w:r>
    </w:p>
    <w:p>
      <w:pPr>
        <w:spacing w:line="540" w:lineRule="exact"/>
        <w:ind w:firstLine="624" w:firstLineChars="20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建议提升预算绩效管理水平，首先我局按照全面实施预算绩效管理的要求，及时、准确填报项目支出绩效目标申报表，并确保绩效目标设定具有适当性，绩效指标表述规范、符合项目实际且可衡量。其次我局在后续工作中将加强对部门科室的绩效培训力度，推动科室业务工作开展的同时重视绩效管理，理解绩效基本概念，提高单位绩效工作质量。</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sectPr>
      <w:headerReference r:id="rId3" w:type="default"/>
      <w:footerReference r:id="rId4"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652C41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6"/>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7"/>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4"/>
    <w:qFormat/>
    <w:uiPriority w:val="10"/>
    <w:pPr>
      <w:widowControl/>
      <w:spacing w:before="240" w:after="60"/>
      <w:jc w:val="center"/>
      <w:outlineLvl w:val="0"/>
    </w:pPr>
    <w:rPr>
      <w:rFonts w:ascii="Cambria" w:hAnsi="Cambria" w:eastAsia="宋体"/>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Calibri" w:hAnsi="Calibri"/>
      <w:b/>
      <w:i/>
      <w:iCs/>
    </w:rPr>
  </w:style>
  <w:style w:type="paragraph" w:customStyle="1" w:styleId="20">
    <w:name w:val="No Spacing"/>
    <w:basedOn w:val="1"/>
    <w:qFormat/>
    <w:uiPriority w:val="1"/>
    <w:pPr>
      <w:widowControl/>
      <w:jc w:val="left"/>
    </w:pPr>
    <w:rPr>
      <w:rFonts w:ascii="Calibri" w:hAnsi="Calibri" w:eastAsia="宋体" w:cs="Times New Roman"/>
      <w:kern w:val="0"/>
      <w:sz w:val="24"/>
      <w:szCs w:val="32"/>
      <w:lang w:val="en-US" w:eastAsia="en-US" w:bidi="en-US"/>
    </w:rPr>
  </w:style>
  <w:style w:type="paragraph" w:customStyle="1" w:styleId="21">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2">
    <w:name w:val="Quote"/>
    <w:basedOn w:val="1"/>
    <w:next w:val="1"/>
    <w:link w:val="36"/>
    <w:qFormat/>
    <w:uiPriority w:val="29"/>
    <w:pPr>
      <w:widowControl/>
      <w:jc w:val="left"/>
    </w:pPr>
    <w:rPr>
      <w:rFonts w:ascii="Calibri" w:hAnsi="Calibri" w:eastAsia="宋体"/>
      <w:i/>
      <w:kern w:val="0"/>
      <w:sz w:val="24"/>
    </w:rPr>
  </w:style>
  <w:style w:type="paragraph" w:customStyle="1" w:styleId="23">
    <w:name w:val="Intense Quote"/>
    <w:basedOn w:val="1"/>
    <w:next w:val="1"/>
    <w:link w:val="37"/>
    <w:qFormat/>
    <w:uiPriority w:val="30"/>
    <w:pPr>
      <w:widowControl/>
      <w:ind w:left="720" w:right="720"/>
      <w:jc w:val="left"/>
    </w:pPr>
    <w:rPr>
      <w:rFonts w:ascii="Calibri" w:hAnsi="Calibri" w:eastAsia="宋体"/>
      <w:b/>
      <w:i/>
      <w:kern w:val="0"/>
      <w:sz w:val="24"/>
      <w:szCs w:val="22"/>
    </w:rPr>
  </w:style>
  <w:style w:type="paragraph" w:customStyle="1" w:styleId="24">
    <w:name w:val="TOC 标题1"/>
    <w:basedOn w:val="2"/>
    <w:next w:val="1"/>
    <w:semiHidden/>
    <w:unhideWhenUsed/>
    <w:qFormat/>
    <w:uiPriority w:val="39"/>
    <w:pPr>
      <w:outlineLvl w:val="9"/>
    </w:pPr>
    <w:rPr>
      <w:lang w:eastAsia="en-US" w:bidi="en-US"/>
    </w:rPr>
  </w:style>
  <w:style w:type="character" w:customStyle="1" w:styleId="25">
    <w:name w:val="标题 1 字符"/>
    <w:basedOn w:val="17"/>
    <w:link w:val="2"/>
    <w:qFormat/>
    <w:uiPriority w:val="9"/>
    <w:rPr>
      <w:rFonts w:ascii="Cambria" w:hAnsi="Cambria" w:eastAsia="宋体"/>
      <w:b/>
      <w:bCs/>
      <w:kern w:val="32"/>
      <w:sz w:val="32"/>
      <w:szCs w:val="32"/>
    </w:rPr>
  </w:style>
  <w:style w:type="character" w:customStyle="1" w:styleId="26">
    <w:name w:val="标题 2 字符"/>
    <w:basedOn w:val="17"/>
    <w:link w:val="3"/>
    <w:semiHidden/>
    <w:qFormat/>
    <w:uiPriority w:val="9"/>
    <w:rPr>
      <w:rFonts w:ascii="Cambria" w:hAnsi="Cambria" w:eastAsia="宋体"/>
      <w:b/>
      <w:bCs/>
      <w:i/>
      <w:iCs/>
      <w:sz w:val="28"/>
      <w:szCs w:val="28"/>
    </w:rPr>
  </w:style>
  <w:style w:type="character" w:customStyle="1" w:styleId="27">
    <w:name w:val="标题 3 字符"/>
    <w:basedOn w:val="17"/>
    <w:link w:val="4"/>
    <w:semiHidden/>
    <w:qFormat/>
    <w:uiPriority w:val="9"/>
    <w:rPr>
      <w:rFonts w:ascii="Cambria" w:hAnsi="Cambria" w:eastAsia="宋体"/>
      <w:b/>
      <w:bCs/>
      <w:sz w:val="26"/>
      <w:szCs w:val="26"/>
    </w:rPr>
  </w:style>
  <w:style w:type="character" w:customStyle="1" w:styleId="28">
    <w:name w:val="标题 4 字符"/>
    <w:basedOn w:val="17"/>
    <w:link w:val="5"/>
    <w:semiHidden/>
    <w:qFormat/>
    <w:uiPriority w:val="9"/>
    <w:rPr>
      <w:b/>
      <w:bCs/>
      <w:sz w:val="28"/>
      <w:szCs w:val="28"/>
    </w:rPr>
  </w:style>
  <w:style w:type="character" w:customStyle="1" w:styleId="29">
    <w:name w:val="标题 5 字符"/>
    <w:basedOn w:val="17"/>
    <w:link w:val="6"/>
    <w:semiHidden/>
    <w:qFormat/>
    <w:uiPriority w:val="9"/>
    <w:rPr>
      <w:b/>
      <w:bCs/>
      <w:i/>
      <w:iCs/>
      <w:sz w:val="26"/>
      <w:szCs w:val="26"/>
    </w:rPr>
  </w:style>
  <w:style w:type="character" w:customStyle="1" w:styleId="30">
    <w:name w:val="标题 6 字符"/>
    <w:basedOn w:val="17"/>
    <w:link w:val="7"/>
    <w:semiHidden/>
    <w:qFormat/>
    <w:uiPriority w:val="9"/>
    <w:rPr>
      <w:b/>
      <w:bCs/>
    </w:rPr>
  </w:style>
  <w:style w:type="character" w:customStyle="1" w:styleId="31">
    <w:name w:val="标题 7 字符"/>
    <w:basedOn w:val="17"/>
    <w:link w:val="8"/>
    <w:semiHidden/>
    <w:qFormat/>
    <w:uiPriority w:val="9"/>
    <w:rPr>
      <w:sz w:val="24"/>
      <w:szCs w:val="24"/>
    </w:rPr>
  </w:style>
  <w:style w:type="character" w:customStyle="1" w:styleId="32">
    <w:name w:val="标题 8 字符"/>
    <w:basedOn w:val="17"/>
    <w:link w:val="9"/>
    <w:semiHidden/>
    <w:qFormat/>
    <w:uiPriority w:val="9"/>
    <w:rPr>
      <w:i/>
      <w:iCs/>
      <w:sz w:val="24"/>
      <w:szCs w:val="24"/>
    </w:rPr>
  </w:style>
  <w:style w:type="character" w:customStyle="1" w:styleId="33">
    <w:name w:val="标题 9 字符"/>
    <w:basedOn w:val="17"/>
    <w:link w:val="10"/>
    <w:semiHidden/>
    <w:qFormat/>
    <w:uiPriority w:val="9"/>
    <w:rPr>
      <w:rFonts w:ascii="Cambria" w:hAnsi="Cambria" w:eastAsia="宋体"/>
    </w:rPr>
  </w:style>
  <w:style w:type="character" w:customStyle="1" w:styleId="34">
    <w:name w:val="标题 字符"/>
    <w:basedOn w:val="17"/>
    <w:link w:val="15"/>
    <w:qFormat/>
    <w:uiPriority w:val="10"/>
    <w:rPr>
      <w:rFonts w:ascii="Cambria" w:hAnsi="Cambria" w:eastAsia="宋体"/>
      <w:b/>
      <w:bCs/>
      <w:kern w:val="28"/>
      <w:sz w:val="32"/>
      <w:szCs w:val="32"/>
    </w:rPr>
  </w:style>
  <w:style w:type="character" w:customStyle="1" w:styleId="35">
    <w:name w:val="副标题 字符"/>
    <w:basedOn w:val="17"/>
    <w:link w:val="14"/>
    <w:qFormat/>
    <w:uiPriority w:val="11"/>
    <w:rPr>
      <w:rFonts w:ascii="Cambria" w:hAnsi="Cambria" w:eastAsia="宋体"/>
      <w:sz w:val="24"/>
      <w:szCs w:val="24"/>
    </w:rPr>
  </w:style>
  <w:style w:type="character" w:customStyle="1" w:styleId="36">
    <w:name w:val="引用 字符"/>
    <w:basedOn w:val="17"/>
    <w:link w:val="22"/>
    <w:qFormat/>
    <w:uiPriority w:val="29"/>
    <w:rPr>
      <w:i/>
      <w:sz w:val="24"/>
      <w:szCs w:val="24"/>
    </w:rPr>
  </w:style>
  <w:style w:type="character" w:customStyle="1" w:styleId="37">
    <w:name w:val="明显引用 字符"/>
    <w:basedOn w:val="17"/>
    <w:link w:val="23"/>
    <w:qFormat/>
    <w:uiPriority w:val="30"/>
    <w:rPr>
      <w:b/>
      <w:i/>
      <w:sz w:val="24"/>
    </w:rPr>
  </w:style>
  <w:style w:type="character" w:customStyle="1" w:styleId="38">
    <w:name w:val="不明显强调1"/>
    <w:qFormat/>
    <w:uiPriority w:val="19"/>
    <w:rPr>
      <w:i/>
      <w:color w:val="565656"/>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Cambria" w:hAnsi="Cambria" w:eastAsia="宋体"/>
      <w:b/>
      <w:i/>
      <w:sz w:val="24"/>
      <w:szCs w:val="24"/>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5811</Words>
  <Characters>6142</Characters>
  <Lines>5</Lines>
  <Paragraphs>1</Paragraphs>
  <TotalTime>1</TotalTime>
  <ScaleCrop>false</ScaleCrop>
  <LinksUpToDate>false</LinksUpToDate>
  <CharactersWithSpaces>0</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2025-11-07T03:01:09Z</cp:lastPrinted>
  <dcterms:modified xsi:type="dcterms:W3CDTF">2025-11-07T03:01:37Z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