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D69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C256C2A">
      <w:pPr>
        <w:spacing w:line="540" w:lineRule="exact"/>
        <w:jc w:val="center"/>
        <w:rPr>
          <w:rFonts w:ascii="华文中宋" w:hAnsi="华文中宋" w:eastAsia="华文中宋" w:cs="宋体"/>
          <w:b/>
          <w:kern w:val="0"/>
          <w:sz w:val="52"/>
          <w:szCs w:val="52"/>
        </w:rPr>
      </w:pPr>
    </w:p>
    <w:p w14:paraId="6F505B9A">
      <w:pPr>
        <w:spacing w:line="540" w:lineRule="exact"/>
        <w:jc w:val="center"/>
        <w:rPr>
          <w:rFonts w:ascii="华文中宋" w:hAnsi="华文中宋" w:eastAsia="华文中宋" w:cs="宋体"/>
          <w:b/>
          <w:kern w:val="0"/>
          <w:sz w:val="52"/>
          <w:szCs w:val="52"/>
        </w:rPr>
      </w:pPr>
    </w:p>
    <w:p w14:paraId="0BAB7B3F">
      <w:pPr>
        <w:spacing w:line="540" w:lineRule="exact"/>
        <w:jc w:val="center"/>
        <w:rPr>
          <w:rFonts w:ascii="华文中宋" w:hAnsi="华文中宋" w:eastAsia="华文中宋" w:cs="宋体"/>
          <w:b/>
          <w:kern w:val="0"/>
          <w:sz w:val="52"/>
          <w:szCs w:val="52"/>
        </w:rPr>
      </w:pPr>
    </w:p>
    <w:p w14:paraId="31995253">
      <w:pPr>
        <w:spacing w:line="540" w:lineRule="exact"/>
        <w:jc w:val="center"/>
        <w:rPr>
          <w:rFonts w:hint="eastAsia" w:ascii="华文中宋" w:hAnsi="华文中宋" w:eastAsia="华文中宋" w:cs="宋体"/>
          <w:b/>
          <w:kern w:val="0"/>
          <w:sz w:val="52"/>
          <w:szCs w:val="52"/>
          <w:lang w:eastAsia="zh-CN"/>
        </w:rPr>
      </w:pPr>
    </w:p>
    <w:p w14:paraId="3A9A38B7">
      <w:pPr>
        <w:spacing w:line="540" w:lineRule="exact"/>
        <w:jc w:val="center"/>
        <w:rPr>
          <w:rFonts w:ascii="华文中宋" w:hAnsi="华文中宋" w:eastAsia="华文中宋" w:cs="宋体"/>
          <w:b/>
          <w:kern w:val="0"/>
          <w:sz w:val="52"/>
          <w:szCs w:val="52"/>
        </w:rPr>
      </w:pPr>
    </w:p>
    <w:p w14:paraId="2E634A2F">
      <w:pPr>
        <w:spacing w:line="540" w:lineRule="exact"/>
        <w:jc w:val="center"/>
        <w:rPr>
          <w:rFonts w:ascii="华文中宋" w:hAnsi="华文中宋" w:eastAsia="华文中宋" w:cs="宋体"/>
          <w:b/>
          <w:kern w:val="0"/>
          <w:sz w:val="52"/>
          <w:szCs w:val="52"/>
        </w:rPr>
      </w:pPr>
    </w:p>
    <w:p w14:paraId="4688300D">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568D00D">
      <w:pPr>
        <w:spacing w:line="540" w:lineRule="exact"/>
        <w:jc w:val="center"/>
        <w:rPr>
          <w:rFonts w:ascii="华文中宋" w:hAnsi="华文中宋" w:eastAsia="华文中宋" w:cs="宋体"/>
          <w:b/>
          <w:kern w:val="0"/>
          <w:sz w:val="52"/>
          <w:szCs w:val="52"/>
        </w:rPr>
      </w:pPr>
    </w:p>
    <w:p w14:paraId="452FEB42">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2DEC0F68">
      <w:pPr>
        <w:spacing w:line="540" w:lineRule="exact"/>
        <w:jc w:val="center"/>
        <w:rPr>
          <w:rFonts w:hAnsi="宋体" w:eastAsia="仿宋_GB2312" w:cs="宋体"/>
          <w:kern w:val="0"/>
          <w:sz w:val="30"/>
          <w:szCs w:val="30"/>
        </w:rPr>
      </w:pPr>
    </w:p>
    <w:p w14:paraId="38A1D114">
      <w:pPr>
        <w:spacing w:line="540" w:lineRule="exact"/>
        <w:jc w:val="center"/>
        <w:rPr>
          <w:rFonts w:hAnsi="宋体" w:eastAsia="仿宋_GB2312" w:cs="宋体"/>
          <w:kern w:val="0"/>
          <w:sz w:val="30"/>
          <w:szCs w:val="30"/>
        </w:rPr>
      </w:pPr>
    </w:p>
    <w:p w14:paraId="48A2FB70">
      <w:pPr>
        <w:spacing w:line="540" w:lineRule="exact"/>
        <w:jc w:val="center"/>
        <w:rPr>
          <w:rFonts w:hAnsi="宋体" w:eastAsia="仿宋_GB2312" w:cs="宋体"/>
          <w:kern w:val="0"/>
          <w:sz w:val="30"/>
          <w:szCs w:val="30"/>
        </w:rPr>
      </w:pPr>
    </w:p>
    <w:p w14:paraId="199100AC">
      <w:pPr>
        <w:spacing w:line="540" w:lineRule="exact"/>
        <w:jc w:val="center"/>
        <w:rPr>
          <w:rFonts w:hAnsi="宋体" w:eastAsia="仿宋_GB2312" w:cs="宋体"/>
          <w:kern w:val="0"/>
          <w:sz w:val="30"/>
          <w:szCs w:val="30"/>
        </w:rPr>
      </w:pPr>
    </w:p>
    <w:p w14:paraId="58237314">
      <w:pPr>
        <w:spacing w:line="540" w:lineRule="exact"/>
        <w:jc w:val="center"/>
        <w:rPr>
          <w:rFonts w:hAnsi="宋体" w:eastAsia="仿宋_GB2312" w:cs="宋体"/>
          <w:kern w:val="0"/>
          <w:sz w:val="30"/>
          <w:szCs w:val="30"/>
        </w:rPr>
      </w:pPr>
    </w:p>
    <w:p w14:paraId="358A35B6">
      <w:pPr>
        <w:spacing w:line="540" w:lineRule="exact"/>
        <w:jc w:val="center"/>
        <w:rPr>
          <w:rFonts w:hAnsi="宋体" w:eastAsia="仿宋_GB2312" w:cs="宋体"/>
          <w:kern w:val="0"/>
          <w:sz w:val="30"/>
          <w:szCs w:val="30"/>
        </w:rPr>
      </w:pPr>
    </w:p>
    <w:p w14:paraId="6E1A8BAA">
      <w:pPr>
        <w:spacing w:line="540" w:lineRule="exact"/>
        <w:rPr>
          <w:rFonts w:hAnsi="宋体" w:eastAsia="仿宋_GB2312" w:cs="宋体"/>
          <w:kern w:val="0"/>
          <w:sz w:val="30"/>
          <w:szCs w:val="30"/>
        </w:rPr>
      </w:pPr>
    </w:p>
    <w:p w14:paraId="517E8001">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5057D5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特定类-电子政务外网安全升级改造项目</w:t>
      </w:r>
    </w:p>
    <w:p w14:paraId="0B6F3465">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哈密市伊州区人民政府办公室</w:t>
      </w:r>
    </w:p>
    <w:p w14:paraId="085439D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哈密市伊州区人民政府办公室</w:t>
      </w:r>
    </w:p>
    <w:p w14:paraId="7116EEA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严超年</w:t>
      </w:r>
    </w:p>
    <w:p w14:paraId="30E52206">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2025年05月19日</w:t>
      </w:r>
    </w:p>
    <w:p w14:paraId="2BE2253C">
      <w:pPr>
        <w:spacing w:line="700" w:lineRule="exact"/>
        <w:ind w:firstLine="708" w:firstLineChars="236"/>
        <w:jc w:val="left"/>
        <w:rPr>
          <w:rFonts w:hAnsi="宋体" w:eastAsia="仿宋_GB2312" w:cs="宋体"/>
          <w:kern w:val="0"/>
          <w:sz w:val="30"/>
          <w:szCs w:val="30"/>
        </w:rPr>
      </w:pPr>
    </w:p>
    <w:p w14:paraId="35375C41">
      <w:pPr>
        <w:spacing w:line="540" w:lineRule="exact"/>
        <w:rPr>
          <w:rStyle w:val="18"/>
          <w:rFonts w:ascii="黑体" w:hAnsi="黑体" w:eastAsia="黑体"/>
          <w:b w:val="0"/>
          <w:spacing w:val="-4"/>
          <w:sz w:val="32"/>
          <w:szCs w:val="32"/>
        </w:rPr>
      </w:pPr>
    </w:p>
    <w:p w14:paraId="471B38CC">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5B48380">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14:paraId="01EB598E">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为保障哈密伊州区门户网站持续稳定运行，结合网站政务公开工作及系统建设实际情况，按照《互联网信息服务管理办法》、《关于全面推进政务公开工作的意见》、《关于开展第一次全国政府网站普查的通知》、《政府网站发展指引》、《关于进一步做好政府网站建设有关工作的通知》和2024年政府对政府部门网站的绩效评估要求，在2024-2025年期间，进一步健全网站建设和内容管理体系，保障网站系统的安全、正常运行，提高哈密伊州区网站质量水平、服务效率，为政务服务工作提供更全面、有力的运维保障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本项目于2024年1月开始实施，截</w:t>
      </w:r>
      <w:r>
        <w:rPr>
          <w:rStyle w:val="18"/>
          <w:rFonts w:hint="eastAsia" w:ascii="楷体" w:hAnsi="楷体" w:eastAsia="楷体"/>
          <w:b w:val="0"/>
          <w:bCs w:val="0"/>
          <w:spacing w:val="-4"/>
          <w:sz w:val="32"/>
          <w:szCs w:val="32"/>
          <w:lang w:eastAsia="zh-CN"/>
        </w:rPr>
        <w:t>至</w:t>
      </w:r>
      <w:r>
        <w:rPr>
          <w:rStyle w:val="18"/>
          <w:rFonts w:hint="eastAsia" w:ascii="楷体" w:hAnsi="楷体" w:eastAsia="楷体"/>
          <w:b w:val="0"/>
          <w:bCs w:val="0"/>
          <w:spacing w:val="-4"/>
          <w:sz w:val="32"/>
          <w:szCs w:val="32"/>
        </w:rPr>
        <w:t>2024年12月已全部完成，通过本项目的实施，有效保障网站安全平稳运行，保障网站网络连通顺畅。提供电话咨询、QQ、远程协助支持等人工服务。提高了网站应急响应能力。有效提升了政府网站日常运维工作能力和日常监测巡检能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2024年财政计划拨付27万元，项目于2024年1月28日批复预算资金27万元，截至2024年12月31日，项目用于政府网站建设和运行维护经费支出，项目资金支付27万元，资金到位率100%，预算执行率为100%。</w:t>
      </w:r>
    </w:p>
    <w:p w14:paraId="651D8C92">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0D8CA2B7">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总体目标为：（1）基础运维服务是作为门户网站运维的常态化运维服务，提供保障网站平台运行稳定、链接畅通、应急保障等服务；（2）日常运维服务：网站内容页日常维护、网站栏目日常维护、专题活动页面制作、重大活动及节假日调整、节假日网站安全保障、人员驻场运维服务；（3）日常监测：根据国办检查指标，针对政府网站进行7*24小时实时监测，实现网站健康指数，严重错敏信息等方面的监测、检查和统计，及时提供问题告警，支持手机短信、微信、邮件等告警方式；（4）全面检测：按照最新的国办秘函19号文件中的9个一级指标、37个二级指标以及加分指标进行全面检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数量指标：制作专题活动网络页面数量不低于3个；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服务次数不低于4次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质量指标：网站栏目监测服务质量达标率达到100%；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及运维服务期间达到1年。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社会效益指标：电子政务网络系统运行性功能不断优化。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满意度指标：使用成员</w:t>
      </w:r>
      <w:bookmarkStart w:id="0" w:name="_GoBack"/>
      <w:r>
        <w:rPr>
          <w:rStyle w:val="18"/>
          <w:rFonts w:hint="eastAsia" w:ascii="楷体" w:hAnsi="楷体" w:eastAsia="楷体"/>
          <w:b w:val="0"/>
          <w:bCs w:val="0"/>
          <w:spacing w:val="-4"/>
          <w:sz w:val="32"/>
          <w:szCs w:val="32"/>
        </w:rPr>
        <w:t>单位</w:t>
      </w:r>
      <w:bookmarkEnd w:id="0"/>
      <w:r>
        <w:rPr>
          <w:rStyle w:val="18"/>
          <w:rFonts w:hint="eastAsia" w:ascii="楷体" w:hAnsi="楷体" w:eastAsia="楷体"/>
          <w:b w:val="0"/>
          <w:bCs w:val="0"/>
          <w:spacing w:val="-4"/>
          <w:sz w:val="32"/>
          <w:szCs w:val="32"/>
        </w:rPr>
        <w:t>及个人满意度不低于98%。</w:t>
      </w:r>
    </w:p>
    <w:p w14:paraId="0AF0F9A6">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F87E1E5">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7B004B7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我单位根据《自治区财政支出绩效评价管理暂行办法》（新财预〔2018〕189号）文件精神，对政府网站建设和运行维护经费项目绩效目标实现情况进行自评。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14:paraId="4A66DCBD">
      <w:pPr>
        <w:spacing w:line="540" w:lineRule="exact"/>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B817AE8">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（3）激励约束。绩效评价结果应与预算安排、政策调整、改进管理实质性挂钩，体现奖优罚劣和激励导向，有效要安排、低效要压减、无效要问责。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（1）项目决策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项目立项：立项依据充分性，权重4分。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绩效目标：绩效目标明确性，权重4分；绩效目标合理性，权重4分。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预算编制：测算标准合理性，权重3分；测算过程细化度，权重2分。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资金管理：资金到位率，权重6分；预算执行率，权重6分。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组织实施：管理制度健全性，权重5分，制度执行有效性，权重6分。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（3）项目产出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数量指标：制作专题活动网络页面数量不少于3个，网站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次数不少于4次，权重6分；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质量指标：网站栏目监测服务质量达标率，权重5分；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时效指标：网站监测及运维服务期间，权重5分。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成本指标：权重7分。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社会效益指标：电子政务网络系统运行性功能优化，权重30分。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（5）满意度指标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服务对象满意度指标：使用成员单位及个人满意度，权重8分。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政府网站建设和运行维护经费项目绩效评价主要通过项目单位自评、主管部门监督、财政部门参评的方式开展绩效评价工作。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（1）成本效益分析法。是指将投入与产出、效益进行关联性分析的方法。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（2）比较法。是指将实施情况与绩效目标、历史情况、不同部门和地区同类支出情况进行比较的方法。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（3）因素分析法。是指综合分析影响绩效目标实现、实施效果的内外部因素的方法。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（4）最低成本法。是指在绩效目标确定的前提下，成本最小者为优的方法。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（5）公众评判法。是指通过专家评估、公众问卷及抽样调查等方式进行评判的方法。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（6）核实法。是收集包括书面资料以外的信息以证实书面资料及其所反映经济活动的真实，合法，合理，有效和正确的方法。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绩效评价标准通常包括计划标准、行业标准、历史标准等，用于对绩效指标完成情况进行比较。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单位自评采用定量与定性评价相结合的比较法，总分由各项指标得分汇总形成。</w:t>
      </w:r>
    </w:p>
    <w:p w14:paraId="49B6973C">
      <w:pPr>
        <w:spacing w:line="540" w:lineRule="exact"/>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14:paraId="6D79685E">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（2）采取“年初绩效目标预定与实施效果比较法”进行评价，评价指标体系以绩效目标申报指标为依据。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（1）项目全过程资料档案复核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（2）检查内容和过程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发放调查问卷开展使用成员单位及个人满意度调查工作。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（3）撰写报告情况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根据所搜集的印证材料，按绩效评价原理和指标体系进行分析、评价和汇总，撰写绩效自评报告，并在规定时间上报。</w:t>
      </w:r>
    </w:p>
    <w:p w14:paraId="2E995027">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3B4650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本次项目自评满分100分，自评得分</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分，自评结果为“优”，其中项目决策得分18.00分，项目过程得分20.00分，项目产出得分30分，项目效益得分18分，项目满意度得分10分。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综合评价结论：1.项目决策方面，项目立项符合国家法律法规、行业发展规划和相关政策，立项依据充分；项目绩效目标与实际工作内容具有高度相关性，预算确定的项目投资额或资金量相匹配，预算按照项目内容，包括人力、商品和服务、资本性等各类支出，分别测算成本，但存在项目绩效目标细化不够具体的细微问题；2.项目过程方面，财务和业务管理制度合法、合规、完整。本年度内预算安排项目资金27万元，实际到位资金27万元，资金到位率100%，项目合同书、验收报告齐全并及时归档，但无技术鉴定资料；3.项目产出方面，制作专题活动网络页面数量3个，全年完成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服务次数4次，并出具季度监测报告，服务质量达标率100%，网站监测及运维服务实际服务期间与计划服务实际一致，网站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服务年费、网站日常运维服务年费实际成本与计划成本均一致；4.项目效益方面，电子政务外网系统运行性功能得到不断提升，网站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服务效能也基本达到预期目标；5.项目满意度方面，使用成员单位及个人满意度≥98%。</w:t>
      </w:r>
    </w:p>
    <w:p w14:paraId="5E07A3BB">
      <w:pPr>
        <w:spacing w:line="540" w:lineRule="exact"/>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3455D6C1">
      <w:pPr>
        <w:spacing w:line="540" w:lineRule="exact"/>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7642F41C">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1.项目立项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立项依据充分性，满分8分，得分8分，得分率100%。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本项目是由伊州区电子政务服务中心提出申报，于2023年1月批复设立，2024年我单位根据《政府网站发展指引》、《关于进一步做好政府网站建设有关工作的通知》文件要求组织实施该项目。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（1）绩效目标明确性，满分2分，得分2分，得分率100%。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通过清晰、可衡量的指标值予以体现，与项目目标任务数或计划数相对应。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（2）绩效目标合理性，满分3分，得分3分，得分率100%。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项目绩效目标与实际工作内容具有高度相关性，预期产出效益和效果符合正常的业绩水平，与预算确定的项目投资额或资金量相匹配，但存在项目绩效目标细化需进一步完善与具体。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3.资金投入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（1）资金分配合理性，满分2分，得分2分，得分率100%。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预算测算内容符合相关政策文件规定和相关行业、领域管理标准，支出标准，符合社会实际支出水平。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（2）预算编制科学性，满分5分，得分3分，得分率60%。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预算按照项目具体内容，包括人力、商品和服务、资本性等各类支出，分别测算成本，预算根据事权划分准确核定本级财政</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eastAsia="zh-CN"/>
        </w:rPr>
        <w:tab/>
      </w:r>
    </w:p>
    <w:p w14:paraId="3A1540CF">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14:paraId="7BEF35CE">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（1）资金到位率，满分2分，得分2分，得分率100%。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本年度内预算安排项目资金10万元，实际到位资金10万元，资金到位率100%；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（2）预算执行率与资金使用合规性，满分10分，得分10分，得分率100%。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实际到位资金10万元，实际支出10万元，预算执行率100%。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（1）管理制度健全性，满分4分，得分2分，得分率50%。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根据项目财务和业务管理制度合法、合规、完整，但未制定上位法。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（2）制度执行有效性，满分4分，得分3分，得分率75%。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遵守相关法律法规和相关管理规定，项目合同书、验收报告齐全并及时归档，项目实施的人员条件、场地设备、信息支撑等落实到位，但无技术鉴定资料。</w:t>
      </w:r>
    </w:p>
    <w:p w14:paraId="44810AD1">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14:paraId="7426E0C4">
      <w:pPr>
        <w:spacing w:line="540" w:lineRule="exact"/>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制作专题活动网络页面数量，满分8分，得分8分，得分率100%。按预算计划制作专题活动网络页面数量3个。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网站栏目监测服务质量达标率，满分8分，得分8分，得分率100%。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网站栏目监测服务质量达标率100%。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网站监测及运维服务期间，满分6分，得分6分，得分率100%。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网站监测及运维服务实际服务期间与计划服务实际一致。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服务年费，满分8分，得分8分，得分率100%。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服务年费实际成本与计划成本一致。</w:t>
      </w:r>
    </w:p>
    <w:p w14:paraId="519EE724">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w:t>
      </w:r>
      <w:r>
        <w:rPr>
          <w:rStyle w:val="18"/>
          <w:rFonts w:hint="eastAsia" w:ascii="楷体" w:hAnsi="楷体" w:eastAsia="楷体"/>
          <w:spacing w:val="-4"/>
          <w:sz w:val="32"/>
          <w:szCs w:val="32"/>
          <w:lang w:val="en-US" w:eastAsia="zh-CN"/>
        </w:rPr>
        <w:t>成本</w:t>
      </w:r>
      <w:r>
        <w:rPr>
          <w:rStyle w:val="18"/>
          <w:rFonts w:hint="eastAsia" w:ascii="楷体" w:hAnsi="楷体" w:eastAsia="楷体"/>
          <w:spacing w:val="-4"/>
          <w:sz w:val="32"/>
          <w:szCs w:val="32"/>
        </w:rPr>
        <w:t>情况</w:t>
      </w:r>
    </w:p>
    <w:p w14:paraId="26C4D38F">
      <w:pPr>
        <w:spacing w:line="540" w:lineRule="exact"/>
        <w:rPr>
          <w:rStyle w:val="18"/>
          <w:rFonts w:hint="default" w:ascii="楷体" w:hAnsi="楷体" w:eastAsia="楷体"/>
          <w:b w:val="0"/>
          <w:bCs w:val="0"/>
          <w:spacing w:val="-4"/>
          <w:sz w:val="32"/>
          <w:szCs w:val="32"/>
          <w:lang w:val="en-US" w:eastAsia="zh-CN"/>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电子政务网络系统运行性功能优化，满分20分，得分18分，得分率90%。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电子政务外网系统运行性功能得到不断提升，网站</w:t>
      </w:r>
      <w:r>
        <w:rPr>
          <w:rStyle w:val="18"/>
          <w:rFonts w:hint="eastAsia" w:ascii="楷体" w:hAnsi="楷体" w:eastAsia="楷体"/>
          <w:b w:val="0"/>
          <w:bCs w:val="0"/>
          <w:spacing w:val="-4"/>
          <w:sz w:val="32"/>
          <w:szCs w:val="32"/>
          <w:lang w:val="en-US" w:eastAsia="zh-CN"/>
        </w:rPr>
        <w:t>检测</w:t>
      </w:r>
      <w:r>
        <w:rPr>
          <w:rStyle w:val="18"/>
          <w:rFonts w:hint="eastAsia" w:ascii="楷体" w:hAnsi="楷体" w:eastAsia="楷体"/>
          <w:b w:val="0"/>
          <w:bCs w:val="0"/>
          <w:spacing w:val="-4"/>
          <w:sz w:val="32"/>
          <w:szCs w:val="32"/>
        </w:rPr>
        <w:t>服务效能也基本达到预期目标。</w:t>
      </w:r>
    </w:p>
    <w:p w14:paraId="0F920A3A">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五</w:t>
      </w:r>
      <w:r>
        <w:rPr>
          <w:rFonts w:hint="eastAsia" w:ascii="楷体" w:hAnsi="楷体" w:eastAsia="楷体"/>
          <w:b/>
          <w:spacing w:val="-4"/>
          <w:sz w:val="32"/>
          <w:szCs w:val="32"/>
        </w:rPr>
        <w:t>）</w:t>
      </w:r>
      <w:r>
        <w:rPr>
          <w:rFonts w:hint="eastAsia" w:ascii="楷体" w:hAnsi="楷体" w:eastAsia="楷体"/>
          <w:b/>
          <w:spacing w:val="-4"/>
          <w:sz w:val="32"/>
          <w:szCs w:val="32"/>
          <w:lang w:eastAsia="zh-CN"/>
        </w:rPr>
        <w:t>满意度</w:t>
      </w:r>
      <w:r>
        <w:rPr>
          <w:rStyle w:val="18"/>
          <w:rFonts w:hint="eastAsia" w:ascii="楷体" w:hAnsi="楷体" w:eastAsia="楷体"/>
          <w:spacing w:val="-4"/>
          <w:sz w:val="32"/>
          <w:szCs w:val="32"/>
        </w:rPr>
        <w:t>情况</w:t>
      </w:r>
    </w:p>
    <w:p w14:paraId="43B73C5A">
      <w:pPr>
        <w:spacing w:line="540" w:lineRule="exact"/>
        <w:ind w:firstLine="567"/>
        <w:rPr>
          <w:rStyle w:val="18"/>
          <w:rFonts w:hint="eastAsia" w:ascii="楷体" w:hAnsi="楷体" w:eastAsia="楷体"/>
          <w:b w:val="0"/>
          <w:bCs w:val="0"/>
          <w:spacing w:val="-4"/>
          <w:sz w:val="32"/>
          <w:szCs w:val="32"/>
        </w:rPr>
      </w:pPr>
    </w:p>
    <w:p w14:paraId="1A4A636A">
      <w:pPr>
        <w:spacing w:line="540" w:lineRule="exact"/>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使用成员单位及个人满意度，满分10分，得分10分，得分率100%。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使用成员单位及个人满意度≥98%。</w:t>
      </w:r>
    </w:p>
    <w:p w14:paraId="7650B01D">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五</w:t>
      </w:r>
      <w:r>
        <w:rPr>
          <w:rStyle w:val="18"/>
          <w:rFonts w:hint="eastAsia" w:ascii="黑体" w:hAnsi="黑体" w:eastAsia="黑体"/>
          <w:b w:val="0"/>
          <w:spacing w:val="-4"/>
          <w:sz w:val="32"/>
          <w:szCs w:val="32"/>
        </w:rPr>
        <w:t>、主要经验及做法、存在的问题及原因分析</w:t>
      </w:r>
    </w:p>
    <w:p w14:paraId="57C5A215">
      <w:pPr>
        <w:spacing w:line="540" w:lineRule="exact"/>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降低</w:t>
      </w:r>
      <w:r>
        <w:rPr>
          <w:rStyle w:val="18"/>
          <w:rFonts w:hint="eastAsia" w:ascii="楷体" w:hAnsi="楷体" w:eastAsia="楷体"/>
          <w:b w:val="0"/>
          <w:bCs w:val="0"/>
          <w:spacing w:val="-4"/>
          <w:sz w:val="32"/>
          <w:szCs w:val="32"/>
          <w:lang w:val="en-US" w:eastAsia="zh-CN"/>
        </w:rPr>
        <w:t>了</w:t>
      </w:r>
      <w:r>
        <w:rPr>
          <w:rStyle w:val="18"/>
          <w:rFonts w:hint="eastAsia" w:ascii="楷体" w:hAnsi="楷体" w:eastAsia="楷体"/>
          <w:b w:val="0"/>
          <w:bCs w:val="0"/>
          <w:spacing w:val="-4"/>
          <w:sz w:val="32"/>
          <w:szCs w:val="32"/>
        </w:rPr>
        <w:t>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楷体" w:hAnsi="楷体" w:eastAsia="楷体"/>
          <w:b w:val="0"/>
          <w:bCs w:val="0"/>
          <w:spacing w:val="-4"/>
          <w:sz w:val="32"/>
          <w:szCs w:val="32"/>
          <w:lang w:val="en-US" w:eastAsia="zh-CN"/>
        </w:rPr>
        <w:t>健</w:t>
      </w:r>
      <w:r>
        <w:rPr>
          <w:rStyle w:val="18"/>
          <w:rFonts w:hint="eastAsia" w:ascii="楷体" w:hAnsi="楷体" w:eastAsia="楷体"/>
          <w:b w:val="0"/>
          <w:bCs w:val="0"/>
          <w:spacing w:val="-4"/>
          <w:sz w:val="32"/>
          <w:szCs w:val="32"/>
        </w:rPr>
        <w:t>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2.项目支出绩效评价存在单位限性，客观性有待加强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支出绩效评价工作还存在自我审定的单位限性，项目支出绩效工作有较大弹性，评价报告多单位限于描述项目实施情况，对问题避重就轻，对项目的打分松紧不一，会影响评价质量，在客观性和公正性上说服力不强。</w:t>
      </w:r>
    </w:p>
    <w:p w14:paraId="17449E9F">
      <w:pPr>
        <w:spacing w:line="540" w:lineRule="exact"/>
        <w:rPr>
          <w:rStyle w:val="18"/>
          <w:rFonts w:hint="eastAsia" w:ascii="黑体" w:hAnsi="黑体" w:eastAsia="黑体"/>
          <w:b w:val="0"/>
          <w:spacing w:val="-4"/>
          <w:sz w:val="32"/>
          <w:szCs w:val="32"/>
        </w:rPr>
      </w:pPr>
      <w:r>
        <w:rPr>
          <w:rStyle w:val="18"/>
          <w:rFonts w:hint="eastAsia" w:ascii="黑体" w:hAnsi="黑体" w:eastAsia="黑体"/>
          <w:b w:val="0"/>
          <w:spacing w:val="-4"/>
          <w:sz w:val="32"/>
          <w:szCs w:val="32"/>
          <w:u w:val="dotted"/>
          <w:lang w:val="en-US" w:eastAsia="zh-CN"/>
        </w:rPr>
        <w:t>六</w:t>
      </w:r>
      <w:r>
        <w:rPr>
          <w:rStyle w:val="18"/>
          <w:rFonts w:hint="eastAsia" w:ascii="黑体" w:hAnsi="黑体" w:eastAsia="黑体"/>
          <w:b w:val="0"/>
          <w:spacing w:val="-4"/>
          <w:sz w:val="32"/>
          <w:szCs w:val="32"/>
        </w:rPr>
        <w:t>、有关建议</w:t>
      </w:r>
    </w:p>
    <w:p w14:paraId="27960A8D">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w:t>
      </w:r>
      <w:r>
        <w:rPr>
          <w:rStyle w:val="18"/>
          <w:rFonts w:hint="eastAsia" w:ascii="楷体" w:hAnsi="楷体" w:eastAsia="楷体"/>
          <w:b w:val="0"/>
          <w:bCs w:val="0"/>
          <w:spacing w:val="-4"/>
          <w:sz w:val="32"/>
          <w:szCs w:val="32"/>
          <w:lang w:val="en-US" w:eastAsia="zh-CN"/>
        </w:rPr>
        <w:t>健</w:t>
      </w:r>
      <w:r>
        <w:rPr>
          <w:rStyle w:val="18"/>
          <w:rFonts w:hint="eastAsia" w:ascii="楷体" w:hAnsi="楷体" w:eastAsia="楷体"/>
          <w:b w:val="0"/>
          <w:bCs w:val="0"/>
          <w:spacing w:val="-4"/>
          <w:sz w:val="32"/>
          <w:szCs w:val="32"/>
        </w:rPr>
        <w:t>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2.项目支出绩效评价存在</w:t>
      </w:r>
      <w:r>
        <w:rPr>
          <w:rStyle w:val="18"/>
          <w:rFonts w:hint="eastAsia" w:ascii="楷体" w:hAnsi="楷体" w:eastAsia="楷体"/>
          <w:b w:val="0"/>
          <w:bCs w:val="0"/>
          <w:spacing w:val="-4"/>
          <w:sz w:val="32"/>
          <w:szCs w:val="32"/>
          <w:lang w:val="en-US" w:eastAsia="zh-CN"/>
        </w:rPr>
        <w:t>局</w:t>
      </w:r>
      <w:r>
        <w:rPr>
          <w:rStyle w:val="18"/>
          <w:rFonts w:hint="eastAsia" w:ascii="楷体" w:hAnsi="楷体" w:eastAsia="楷体"/>
          <w:b w:val="0"/>
          <w:bCs w:val="0"/>
          <w:spacing w:val="-4"/>
          <w:sz w:val="32"/>
          <w:szCs w:val="32"/>
        </w:rPr>
        <w:t>限性，客观性有待加强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项目支出绩效评价工作还存在自我审定的</w:t>
      </w:r>
      <w:r>
        <w:rPr>
          <w:rStyle w:val="18"/>
          <w:rFonts w:hint="eastAsia" w:ascii="楷体" w:hAnsi="楷体" w:eastAsia="楷体"/>
          <w:b w:val="0"/>
          <w:bCs w:val="0"/>
          <w:spacing w:val="-4"/>
          <w:sz w:val="32"/>
          <w:szCs w:val="32"/>
          <w:lang w:val="en-US" w:eastAsia="zh-CN"/>
        </w:rPr>
        <w:t>局</w:t>
      </w:r>
      <w:r>
        <w:rPr>
          <w:rStyle w:val="18"/>
          <w:rFonts w:hint="eastAsia" w:ascii="楷体" w:hAnsi="楷体" w:eastAsia="楷体"/>
          <w:b w:val="0"/>
          <w:bCs w:val="0"/>
          <w:spacing w:val="-4"/>
          <w:sz w:val="32"/>
          <w:szCs w:val="32"/>
        </w:rPr>
        <w:t>限性，项目支出绩效工作有较大弹性，评价报告多单位</w:t>
      </w:r>
      <w:r>
        <w:rPr>
          <w:rStyle w:val="18"/>
          <w:rFonts w:hint="eastAsia" w:ascii="楷体" w:hAnsi="楷体" w:eastAsia="楷体"/>
          <w:b w:val="0"/>
          <w:bCs w:val="0"/>
          <w:spacing w:val="-4"/>
          <w:sz w:val="32"/>
          <w:szCs w:val="32"/>
          <w:lang w:val="en-US" w:eastAsia="zh-CN"/>
        </w:rPr>
        <w:t>局</w:t>
      </w:r>
      <w:r>
        <w:rPr>
          <w:rStyle w:val="18"/>
          <w:rFonts w:hint="eastAsia" w:ascii="楷体" w:hAnsi="楷体" w:eastAsia="楷体"/>
          <w:b w:val="0"/>
          <w:bCs w:val="0"/>
          <w:spacing w:val="-4"/>
          <w:sz w:val="32"/>
          <w:szCs w:val="32"/>
        </w:rPr>
        <w:t>限于描述项目实施情况，对问题避重就轻，对项目的打分松紧不一，会影响评价质量，在客观性和公正性上说服力不强。</w:t>
      </w:r>
    </w:p>
    <w:p w14:paraId="0E0935EF">
      <w:pPr>
        <w:spacing w:line="540" w:lineRule="exact"/>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249665F1">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49DE18E8">
      <w:pPr>
        <w:spacing w:line="540" w:lineRule="exact"/>
        <w:ind w:firstLine="567"/>
        <w:rPr>
          <w:rStyle w:val="18"/>
          <w:rFonts w:ascii="仿宋" w:hAnsi="仿宋" w:eastAsia="仿宋"/>
          <w:b w:val="0"/>
          <w:spacing w:val="-4"/>
          <w:sz w:val="32"/>
          <w:szCs w:val="32"/>
        </w:rPr>
      </w:pPr>
    </w:p>
    <w:p w14:paraId="0D1FDD46">
      <w:pPr>
        <w:spacing w:line="540" w:lineRule="exact"/>
        <w:ind w:firstLine="567"/>
        <w:rPr>
          <w:rStyle w:val="18"/>
          <w:rFonts w:ascii="仿宋" w:hAnsi="仿宋" w:eastAsia="仿宋"/>
          <w:b w:val="0"/>
          <w:spacing w:val="-4"/>
          <w:sz w:val="32"/>
          <w:szCs w:val="32"/>
        </w:rPr>
      </w:pPr>
    </w:p>
    <w:p w14:paraId="5AAD648D">
      <w:pPr>
        <w:spacing w:line="540" w:lineRule="exact"/>
        <w:ind w:firstLine="567"/>
        <w:rPr>
          <w:rStyle w:val="18"/>
          <w:rFonts w:ascii="仿宋" w:hAnsi="仿宋" w:eastAsia="仿宋"/>
          <w:b w:val="0"/>
          <w:spacing w:val="-4"/>
          <w:sz w:val="32"/>
          <w:szCs w:val="32"/>
        </w:rPr>
      </w:pPr>
    </w:p>
    <w:p w14:paraId="11E74CDB">
      <w:pPr>
        <w:spacing w:line="540" w:lineRule="exact"/>
        <w:ind w:firstLine="567"/>
        <w:rPr>
          <w:rStyle w:val="18"/>
          <w:rFonts w:ascii="仿宋" w:hAnsi="仿宋" w:eastAsia="仿宋"/>
          <w:b w:val="0"/>
          <w:spacing w:val="-4"/>
          <w:sz w:val="32"/>
          <w:szCs w:val="32"/>
        </w:rPr>
      </w:pPr>
    </w:p>
    <w:p w14:paraId="5C6CB93A">
      <w:pPr>
        <w:spacing w:line="540" w:lineRule="exact"/>
        <w:ind w:firstLine="567"/>
        <w:rPr>
          <w:rStyle w:val="18"/>
          <w:rFonts w:ascii="仿宋" w:hAnsi="仿宋" w:eastAsia="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2531FAEB">
        <w:pPr>
          <w:pStyle w:val="12"/>
          <w:jc w:val="center"/>
        </w:pPr>
        <w:r>
          <w:fldChar w:fldCharType="begin"/>
        </w:r>
        <w:r>
          <w:instrText xml:space="preserve">PAGE   \* MERGEFORMAT</w:instrText>
        </w:r>
        <w:r>
          <w:fldChar w:fldCharType="separate"/>
        </w:r>
        <w:r>
          <w:rPr>
            <w:lang w:val="zh-CN"/>
          </w:rPr>
          <w:t>1</w:t>
        </w:r>
        <w:r>
          <w:fldChar w:fldCharType="end"/>
        </w:r>
      </w:p>
    </w:sdtContent>
  </w:sdt>
  <w:p w14:paraId="2E14B949">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CF79A">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5520B1A"/>
    <w:rsid w:val="18FE139B"/>
    <w:rsid w:val="3029612C"/>
    <w:rsid w:val="32A221C5"/>
    <w:rsid w:val="33F20F2A"/>
    <w:rsid w:val="34C44675"/>
    <w:rsid w:val="36B82B23"/>
    <w:rsid w:val="3B5B5607"/>
    <w:rsid w:val="3B956883"/>
    <w:rsid w:val="3CE21B3C"/>
    <w:rsid w:val="4B7924A2"/>
    <w:rsid w:val="4D2606A1"/>
    <w:rsid w:val="4F8A611E"/>
    <w:rsid w:val="51830480"/>
    <w:rsid w:val="51EB6428"/>
    <w:rsid w:val="53A616BE"/>
    <w:rsid w:val="54662BFB"/>
    <w:rsid w:val="62051CA5"/>
    <w:rsid w:val="63416981"/>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5528</Words>
  <Characters>5729</Characters>
  <Lines>5</Lines>
  <Paragraphs>1</Paragraphs>
  <TotalTime>4</TotalTime>
  <ScaleCrop>false</ScaleCrop>
  <LinksUpToDate>false</LinksUpToDate>
  <CharactersWithSpaces>5743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cp:lastModifiedBy>
  <cp:lastPrinted>2018-12-31T10:56:00Z</cp:lastPrinted>
  <dcterms:modified xsi:type="dcterms:W3CDTF">2025-11-08T07:28:44Z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C734C92AAAF24344A0E4232D8EB3359B</vt:lpwstr>
  </property>
  <property fmtid="{D5CDD505-2E9C-101B-9397-08002B2CF9AE}" pid="4" name="KSOTemplateDocerSaveRecord">
    <vt:lpwstr>eyJoZGlkIjoiNDZlZGQwOTk2ZWZiMGJjYmIxNTlkZGMzNDg0OTQ5OWQifQ==</vt:lpwstr>
  </property>
</Properties>
</file>