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D91D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B8D175A">
      <w:pPr>
        <w:spacing w:line="540" w:lineRule="exact"/>
        <w:jc w:val="center"/>
        <w:rPr>
          <w:rFonts w:ascii="华文中宋" w:hAnsi="华文中宋" w:eastAsia="华文中宋" w:cs="宋体"/>
          <w:b/>
          <w:kern w:val="0"/>
          <w:sz w:val="52"/>
          <w:szCs w:val="52"/>
        </w:rPr>
      </w:pPr>
    </w:p>
    <w:p w14:paraId="55E3596D">
      <w:pPr>
        <w:spacing w:line="540" w:lineRule="exact"/>
        <w:jc w:val="center"/>
        <w:rPr>
          <w:rFonts w:ascii="华文中宋" w:hAnsi="华文中宋" w:eastAsia="华文中宋" w:cs="宋体"/>
          <w:b/>
          <w:kern w:val="0"/>
          <w:sz w:val="52"/>
          <w:szCs w:val="52"/>
        </w:rPr>
      </w:pPr>
    </w:p>
    <w:p w14:paraId="7B8A14C2">
      <w:pPr>
        <w:spacing w:line="540" w:lineRule="exact"/>
        <w:jc w:val="center"/>
        <w:rPr>
          <w:rFonts w:ascii="华文中宋" w:hAnsi="华文中宋" w:eastAsia="华文中宋" w:cs="宋体"/>
          <w:b/>
          <w:kern w:val="0"/>
          <w:sz w:val="52"/>
          <w:szCs w:val="52"/>
        </w:rPr>
      </w:pPr>
    </w:p>
    <w:p w14:paraId="62589BB5">
      <w:pPr>
        <w:spacing w:line="540" w:lineRule="exact"/>
        <w:jc w:val="center"/>
        <w:rPr>
          <w:rFonts w:hint="eastAsia" w:ascii="华文中宋" w:hAnsi="华文中宋" w:eastAsia="华文中宋" w:cs="宋体"/>
          <w:b/>
          <w:kern w:val="0"/>
          <w:sz w:val="52"/>
          <w:szCs w:val="52"/>
          <w:lang w:eastAsia="zh-CN"/>
        </w:rPr>
      </w:pPr>
    </w:p>
    <w:p w14:paraId="665E9AB3">
      <w:pPr>
        <w:spacing w:line="540" w:lineRule="exact"/>
        <w:jc w:val="center"/>
        <w:rPr>
          <w:rFonts w:ascii="华文中宋" w:hAnsi="华文中宋" w:eastAsia="华文中宋" w:cs="宋体"/>
          <w:b/>
          <w:kern w:val="0"/>
          <w:sz w:val="52"/>
          <w:szCs w:val="52"/>
        </w:rPr>
      </w:pPr>
    </w:p>
    <w:p w14:paraId="7A951753">
      <w:pPr>
        <w:spacing w:line="540" w:lineRule="exact"/>
        <w:jc w:val="center"/>
        <w:rPr>
          <w:rFonts w:ascii="华文中宋" w:hAnsi="华文中宋" w:eastAsia="华文中宋" w:cs="宋体"/>
          <w:b/>
          <w:kern w:val="0"/>
          <w:sz w:val="52"/>
          <w:szCs w:val="52"/>
        </w:rPr>
      </w:pPr>
    </w:p>
    <w:p w14:paraId="5000E94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570CEF7">
      <w:pPr>
        <w:spacing w:line="540" w:lineRule="exact"/>
        <w:jc w:val="center"/>
        <w:rPr>
          <w:rFonts w:ascii="华文中宋" w:hAnsi="华文中宋" w:eastAsia="华文中宋" w:cs="宋体"/>
          <w:b/>
          <w:kern w:val="0"/>
          <w:sz w:val="52"/>
          <w:szCs w:val="52"/>
        </w:rPr>
      </w:pPr>
    </w:p>
    <w:p w14:paraId="053429A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BEE0090">
      <w:pPr>
        <w:spacing w:line="540" w:lineRule="exact"/>
        <w:jc w:val="center"/>
        <w:rPr>
          <w:rFonts w:hAnsi="宋体" w:eastAsia="仿宋_GB2312" w:cs="宋体"/>
          <w:kern w:val="0"/>
          <w:sz w:val="30"/>
          <w:szCs w:val="30"/>
        </w:rPr>
      </w:pPr>
    </w:p>
    <w:p w14:paraId="374FD830">
      <w:pPr>
        <w:spacing w:line="540" w:lineRule="exact"/>
        <w:jc w:val="center"/>
        <w:rPr>
          <w:rFonts w:hAnsi="宋体" w:eastAsia="仿宋_GB2312" w:cs="宋体"/>
          <w:kern w:val="0"/>
          <w:sz w:val="30"/>
          <w:szCs w:val="30"/>
        </w:rPr>
      </w:pPr>
    </w:p>
    <w:p w14:paraId="582D2669">
      <w:pPr>
        <w:spacing w:line="540" w:lineRule="exact"/>
        <w:jc w:val="center"/>
        <w:rPr>
          <w:rFonts w:hAnsi="宋体" w:eastAsia="仿宋_GB2312" w:cs="宋体"/>
          <w:kern w:val="0"/>
          <w:sz w:val="30"/>
          <w:szCs w:val="30"/>
        </w:rPr>
      </w:pPr>
    </w:p>
    <w:p w14:paraId="7D3B2F91">
      <w:pPr>
        <w:spacing w:line="540" w:lineRule="exact"/>
        <w:jc w:val="center"/>
        <w:rPr>
          <w:rFonts w:hAnsi="宋体" w:eastAsia="仿宋_GB2312" w:cs="宋体"/>
          <w:kern w:val="0"/>
          <w:sz w:val="30"/>
          <w:szCs w:val="30"/>
        </w:rPr>
      </w:pPr>
    </w:p>
    <w:p w14:paraId="0971040C">
      <w:pPr>
        <w:spacing w:line="540" w:lineRule="exact"/>
        <w:jc w:val="center"/>
        <w:rPr>
          <w:rFonts w:hAnsi="宋体" w:eastAsia="仿宋_GB2312" w:cs="宋体"/>
          <w:kern w:val="0"/>
          <w:sz w:val="30"/>
          <w:szCs w:val="30"/>
        </w:rPr>
      </w:pPr>
    </w:p>
    <w:p w14:paraId="7431B5EB">
      <w:pPr>
        <w:spacing w:line="540" w:lineRule="exact"/>
        <w:jc w:val="center"/>
        <w:rPr>
          <w:rFonts w:hAnsi="宋体" w:eastAsia="仿宋_GB2312" w:cs="宋体"/>
          <w:kern w:val="0"/>
          <w:sz w:val="30"/>
          <w:szCs w:val="30"/>
        </w:rPr>
      </w:pPr>
    </w:p>
    <w:p w14:paraId="23059E91">
      <w:pPr>
        <w:spacing w:line="540" w:lineRule="exact"/>
        <w:rPr>
          <w:rFonts w:hAnsi="宋体" w:eastAsia="仿宋_GB2312" w:cs="宋体"/>
          <w:kern w:val="0"/>
          <w:sz w:val="30"/>
          <w:szCs w:val="30"/>
        </w:rPr>
      </w:pPr>
    </w:p>
    <w:p w14:paraId="1F2BAE8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A3776D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2024年中央医疗服务与保障能力提升[公立医院综合改革]补助资金</w:t>
      </w:r>
    </w:p>
    <w:p w14:paraId="06B95D9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哈密市伊州区人民医院</w:t>
      </w:r>
    </w:p>
    <w:p w14:paraId="5FD9271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哈密市伊州区卫生健康委员会</w:t>
      </w:r>
    </w:p>
    <w:p w14:paraId="4D1B14E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王芬莲</w:t>
      </w:r>
    </w:p>
    <w:p w14:paraId="7067AB4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2025年05月17日</w:t>
      </w:r>
    </w:p>
    <w:p w14:paraId="50744581">
      <w:pPr>
        <w:spacing w:line="700" w:lineRule="exact"/>
        <w:ind w:firstLine="708" w:firstLineChars="236"/>
        <w:jc w:val="left"/>
        <w:rPr>
          <w:rFonts w:hAnsi="宋体" w:eastAsia="仿宋_GB2312" w:cs="宋体"/>
          <w:kern w:val="0"/>
          <w:sz w:val="30"/>
          <w:szCs w:val="30"/>
        </w:rPr>
      </w:pPr>
    </w:p>
    <w:p w14:paraId="31EA06DA">
      <w:pPr>
        <w:spacing w:line="540" w:lineRule="exact"/>
        <w:rPr>
          <w:rStyle w:val="18"/>
          <w:rFonts w:ascii="黑体" w:hAnsi="黑体" w:eastAsia="黑体"/>
          <w:b w:val="0"/>
          <w:spacing w:val="-4"/>
          <w:sz w:val="32"/>
          <w:szCs w:val="32"/>
        </w:rPr>
      </w:pPr>
    </w:p>
    <w:p w14:paraId="22172637">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基本情况</w:t>
      </w:r>
    </w:p>
    <w:p w14:paraId="5D1043B1">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212AD919">
      <w:pPr>
        <w:keepNext w:val="0"/>
        <w:keepLines w:val="0"/>
        <w:pageBreakBefore w:val="0"/>
        <w:widowControl w:val="0"/>
        <w:kinsoku/>
        <w:wordWrap/>
        <w:overflowPunct/>
        <w:topLinePunct w:val="0"/>
        <w:autoSpaceDE/>
        <w:autoSpaceDN/>
        <w:bidi w:val="0"/>
        <w:adjustRightInd/>
        <w:snapToGrid/>
        <w:spacing w:line="560" w:lineRule="exact"/>
        <w:ind w:left="319" w:leftChars="152"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p>
    <w:p w14:paraId="205051E6">
      <w:pPr>
        <w:keepNext w:val="0"/>
        <w:keepLines w:val="0"/>
        <w:pageBreakBefore w:val="0"/>
        <w:widowControl w:val="0"/>
        <w:kinsoku/>
        <w:wordWrap/>
        <w:overflowPunct/>
        <w:topLinePunct w:val="0"/>
        <w:autoSpaceDE/>
        <w:autoSpaceDN/>
        <w:bidi w:val="0"/>
        <w:adjustRightInd/>
        <w:snapToGrid/>
        <w:spacing w:line="560" w:lineRule="exact"/>
        <w:ind w:left="319" w:leftChars="152"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2024年度，自治区财政厅《关于提前下达2024年中央医疗服务与保障能力提升（公立医院综合改革）补助资金预算的通知》（新财社〔2023〕214号）(哈市财社[2023]85号）文件要求，为了解决公立医院医疗服务与保障能力提升，重点解决支持公立医院综合改革、医疗卫生机构能力建设、卫生健康人才培养、医疗保障服务能力建设、中医药事业传承与发展以及其他医改相关工作问题，达到建立健全现代医院管理制度，协调推进医疗价格、人事薪酬、药品物流、医保支付改革，提高医疗卫生服务质量等效果，我单位申报实施了医疗服务与保障能力提升项目（中央）项目。同时，为了确保该项目的顺利实施，我单位于2020年制定印发了哈密市伊州区人民医院专项资金管理办法和项目支出绩效评价管理办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2024年度中央下达伊州区人民医院医疗服务与保障能力提升项目（中央）项目总预算资金为148.5</w:t>
      </w:r>
      <w:r>
        <w:rPr>
          <w:rStyle w:val="18"/>
          <w:rFonts w:hint="eastAsia" w:ascii="仿宋_GB2312" w:hAnsi="仿宋_GB2312" w:eastAsia="仿宋_GB2312" w:cs="仿宋_GB2312"/>
          <w:b w:val="0"/>
          <w:bCs w:val="0"/>
          <w:spacing w:val="-4"/>
          <w:sz w:val="32"/>
          <w:szCs w:val="32"/>
          <w:lang w:val="en-US" w:eastAsia="zh-CN"/>
        </w:rPr>
        <w:t>0</w:t>
      </w:r>
      <w:r>
        <w:rPr>
          <w:rStyle w:val="18"/>
          <w:rFonts w:hint="eastAsia" w:ascii="仿宋_GB2312" w:hAnsi="仿宋_GB2312" w:eastAsia="仿宋_GB2312" w:cs="仿宋_GB2312"/>
          <w:b w:val="0"/>
          <w:bCs w:val="0"/>
          <w:spacing w:val="-4"/>
          <w:sz w:val="32"/>
          <w:szCs w:val="32"/>
        </w:rPr>
        <w:t>万元，第二批资金下达30.5</w:t>
      </w:r>
      <w:r>
        <w:rPr>
          <w:rStyle w:val="18"/>
          <w:rFonts w:hint="eastAsia" w:ascii="仿宋_GB2312" w:hAnsi="仿宋_GB2312" w:eastAsia="仿宋_GB2312" w:cs="仿宋_GB2312"/>
          <w:b w:val="0"/>
          <w:bCs w:val="0"/>
          <w:spacing w:val="-4"/>
          <w:sz w:val="32"/>
          <w:szCs w:val="32"/>
          <w:lang w:val="en-US" w:eastAsia="zh-CN"/>
        </w:rPr>
        <w:t>0</w:t>
      </w:r>
      <w:r>
        <w:rPr>
          <w:rStyle w:val="18"/>
          <w:rFonts w:hint="eastAsia" w:ascii="仿宋_GB2312" w:hAnsi="仿宋_GB2312" w:eastAsia="仿宋_GB2312" w:cs="仿宋_GB2312"/>
          <w:b w:val="0"/>
          <w:bCs w:val="0"/>
          <w:spacing w:val="-4"/>
          <w:sz w:val="32"/>
          <w:szCs w:val="32"/>
        </w:rPr>
        <w:t>万元，资金总额179万元。资金到位179万元，到位率100%，本项目于2024年2月开始实施，截止2024年12月已全部完成，通过本项目的实施，有效带动了公立医院综合改革步伐，使得伊州区公立医院运行新机制更加完善，进一步建立健全了现代医院管理制度，协调推进了医疗价格、人事薪酬、药品流通</w:t>
      </w:r>
      <w:r>
        <w:rPr>
          <w:rStyle w:val="18"/>
          <w:rFonts w:hint="eastAsia" w:ascii="仿宋_GB2312" w:hAnsi="仿宋_GB2312" w:eastAsia="仿宋_GB2312" w:cs="仿宋_GB2312"/>
          <w:b w:val="0"/>
          <w:bCs w:val="0"/>
          <w:spacing w:val="-4"/>
          <w:sz w:val="32"/>
          <w:szCs w:val="32"/>
          <w:lang w:val="en-US" w:eastAsia="zh-CN"/>
        </w:rPr>
        <w:t>和</w:t>
      </w:r>
      <w:r>
        <w:rPr>
          <w:rStyle w:val="18"/>
          <w:rFonts w:hint="eastAsia" w:ascii="仿宋_GB2312" w:hAnsi="仿宋_GB2312" w:eastAsia="仿宋_GB2312" w:cs="仿宋_GB2312"/>
          <w:b w:val="0"/>
          <w:bCs w:val="0"/>
          <w:spacing w:val="-4"/>
          <w:sz w:val="32"/>
          <w:szCs w:val="32"/>
        </w:rPr>
        <w:t>医保支付方式改革，医疗卫生服务质量持续提高；在一定程度上提升了我区医疗卫生服务体系能力，就医秩序在积极改善，患者、医务人员对于改革满意度逐步提高。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3.项目实施主体</w:t>
      </w:r>
    </w:p>
    <w:p w14:paraId="63132DD3">
      <w:pPr>
        <w:keepNext w:val="0"/>
        <w:keepLines w:val="0"/>
        <w:pageBreakBefore w:val="0"/>
        <w:widowControl w:val="0"/>
        <w:kinsoku/>
        <w:wordWrap/>
        <w:overflowPunct/>
        <w:topLinePunct w:val="0"/>
        <w:autoSpaceDE/>
        <w:autoSpaceDN/>
        <w:bidi w:val="0"/>
        <w:adjustRightInd/>
        <w:snapToGrid/>
        <w:spacing w:line="560" w:lineRule="exact"/>
        <w:ind w:left="319" w:leftChars="152"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2024年哈密市伊州区医疗服务与保障能力提升项目（中央）项目的实施主体为哈密市伊州区人民医院，该单位纳入2024年部门决算编制范围的有：下设十五个临床服务类科室，分别为：内科、外科、妇产科、儿科、中医综合科、急诊重症科、门诊内科、门诊妇产科、门诊儿科、保健科、门诊中医科、眼科、耳鼻喉科、口腔科、科室。七个医疗技术类科室，分别为：功能科（心电图室）、检验科、放射科、药剂科、病理科、胃镜室。医疗辅助类：供应室。七个行政后勤类科室，分别为：院办、财务科、护理部、医保办、医务科、总务科、网管室，伊州区人民医院隶属于伊州区卫</w:t>
      </w:r>
      <w:r>
        <w:rPr>
          <w:rStyle w:val="18"/>
          <w:rFonts w:hint="eastAsia" w:ascii="仿宋_GB2312" w:hAnsi="仿宋_GB2312" w:eastAsia="仿宋_GB2312" w:cs="仿宋_GB2312"/>
          <w:b w:val="0"/>
          <w:bCs w:val="0"/>
          <w:spacing w:val="-4"/>
          <w:sz w:val="32"/>
          <w:szCs w:val="32"/>
          <w:lang w:val="en-US" w:eastAsia="zh-CN"/>
        </w:rPr>
        <w:t>健</w:t>
      </w:r>
      <w:r>
        <w:rPr>
          <w:rStyle w:val="18"/>
          <w:rFonts w:hint="eastAsia" w:ascii="仿宋_GB2312" w:hAnsi="仿宋_GB2312" w:eastAsia="仿宋_GB2312" w:cs="仿宋_GB2312"/>
          <w:b w:val="0"/>
          <w:bCs w:val="0"/>
          <w:spacing w:val="-4"/>
          <w:sz w:val="32"/>
          <w:szCs w:val="32"/>
        </w:rPr>
        <w:t>委管理的差额拨款的事业单位。根据职责，纳入预算编制。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医院编制人数为177人，其中：工勤8人、事业编制168人，自收自支1人。实有在职人数294人，其中：工勤8人、事业在职168人，自收自支1人，财政聘用53人，医院自聘64人。离退休人员152人，其中：事业退休152人。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 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（1）项目资金安排落实、总投入情况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关于提前下达2024年中央医疗服务与保障能力提升（公立医院综合改革）补助资金预算的通知》(哈市财社〔2023〕85号）文件，2024年医疗服务与保障能力提升项目（中央）项目预算安排资金总额179万元，其中财政资金179万元、其他资金0万元，202</w:t>
      </w:r>
      <w:r>
        <w:rPr>
          <w:rStyle w:val="18"/>
          <w:rFonts w:hint="eastAsia" w:ascii="仿宋_GB2312" w:hAnsi="仿宋_GB2312" w:eastAsia="仿宋_GB2312" w:cs="仿宋_GB2312"/>
          <w:b w:val="0"/>
          <w:bCs w:val="0"/>
          <w:spacing w:val="-4"/>
          <w:sz w:val="32"/>
          <w:szCs w:val="32"/>
          <w:lang w:val="en-US" w:eastAsia="zh-CN"/>
        </w:rPr>
        <w:t>4</w:t>
      </w:r>
      <w:r>
        <w:rPr>
          <w:rStyle w:val="18"/>
          <w:rFonts w:hint="eastAsia" w:ascii="仿宋_GB2312" w:hAnsi="仿宋_GB2312" w:eastAsia="仿宋_GB2312" w:cs="仿宋_GB2312"/>
          <w:b w:val="0"/>
          <w:bCs w:val="0"/>
          <w:spacing w:val="-4"/>
          <w:sz w:val="32"/>
          <w:szCs w:val="32"/>
        </w:rPr>
        <w:t>年实际收到预算资金179万元，预算资金到位率为100%。</w:t>
      </w:r>
    </w:p>
    <w:p w14:paraId="1E3F0541">
      <w:pPr>
        <w:keepNext w:val="0"/>
        <w:keepLines w:val="0"/>
        <w:pageBreakBefore w:val="0"/>
        <w:widowControl w:val="0"/>
        <w:kinsoku/>
        <w:wordWrap/>
        <w:overflowPunct/>
        <w:topLinePunct w:val="0"/>
        <w:autoSpaceDE/>
        <w:autoSpaceDN/>
        <w:bidi w:val="0"/>
        <w:adjustRightInd/>
        <w:snapToGrid/>
        <w:spacing w:line="560" w:lineRule="exact"/>
        <w:ind w:left="319" w:leftChars="152"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（2）项目资金实际使用情况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截至2024年12月31日，本项目实际支付资金179万元，预算执行率100%。项目资金主要用于支付医院信息化建设费用30万元，支出医疗设备维修、维护、咨询服务费用14</w:t>
      </w:r>
      <w:r>
        <w:rPr>
          <w:rStyle w:val="18"/>
          <w:rFonts w:hint="eastAsia" w:ascii="仿宋_GB2312" w:hAnsi="仿宋_GB2312" w:eastAsia="仿宋_GB2312" w:cs="仿宋_GB2312"/>
          <w:b w:val="0"/>
          <w:bCs w:val="0"/>
          <w:spacing w:val="-4"/>
          <w:sz w:val="32"/>
          <w:szCs w:val="32"/>
          <w:lang w:val="en-US" w:eastAsia="zh-CN"/>
        </w:rPr>
        <w:t>9</w:t>
      </w:r>
      <w:r>
        <w:rPr>
          <w:rStyle w:val="18"/>
          <w:rFonts w:hint="eastAsia" w:ascii="仿宋_GB2312" w:hAnsi="仿宋_GB2312" w:eastAsia="仿宋_GB2312" w:cs="仿宋_GB2312"/>
          <w:b w:val="0"/>
          <w:bCs w:val="0"/>
          <w:spacing w:val="-4"/>
          <w:sz w:val="32"/>
          <w:szCs w:val="32"/>
        </w:rPr>
        <w:t>万元。</w:t>
      </w:r>
    </w:p>
    <w:p w14:paraId="39BF5B79">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AC4C2D5">
      <w:pPr>
        <w:keepNext w:val="0"/>
        <w:keepLines w:val="0"/>
        <w:pageBreakBefore w:val="0"/>
        <w:widowControl w:val="0"/>
        <w:tabs>
          <w:tab w:val="center" w:pos="4295"/>
        </w:tabs>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1.总体目标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2024年，通过进行深化公立医院综合改革，建立健全现代化医院管理制度，加快医保支付改革，优化公立医院收入结构，提高医院精细化管理水平，加强医院运营管理，推进公立医院综合改革的要求进行立项，立项依据充分，符合发展规划要求，属于部门履职所需。</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2.阶段性目标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中共中央国务院关于全面实施预算绩效管理的意见》（中发〔2018〕34号）、《自治区党委自治区人民政府关于全面实施预算绩效管理的实施意见》（新党发〔2018〕30号）、《关于印发&lt;哈密市财政支出绩效评价管理暂行办法&gt;的通知》（哈市财预〔2019〕20号）、《关于印发&lt;哈密市财政支出绩效评价结果应用暂行办法&gt;的通知》（哈市财预〔2019〕21号）、《关于印发&lt;2022年度哈密市全面实施预算绩效管理工作方案&gt;的通知》（哈市财预〔2022〕2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①数量指标：信息系统服务人数不低于270人。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②质量指标：信息系统功能覆盖率不低于85%。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③时效指标：项目建设开展及时率不低于85%。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④成本指标：综合改革费用不高于148.5</w:t>
      </w:r>
      <w:r>
        <w:rPr>
          <w:rStyle w:val="18"/>
          <w:rFonts w:hint="eastAsia" w:ascii="仿宋_GB2312" w:hAnsi="仿宋_GB2312" w:eastAsia="仿宋_GB2312" w:cs="仿宋_GB2312"/>
          <w:b w:val="0"/>
          <w:bCs w:val="0"/>
          <w:spacing w:val="-4"/>
          <w:sz w:val="32"/>
          <w:szCs w:val="32"/>
          <w:lang w:val="en-US" w:eastAsia="zh-CN"/>
        </w:rPr>
        <w:t>0</w:t>
      </w:r>
      <w:r>
        <w:rPr>
          <w:rStyle w:val="18"/>
          <w:rFonts w:hint="eastAsia" w:ascii="仿宋_GB2312" w:hAnsi="仿宋_GB2312" w:eastAsia="仿宋_GB2312" w:cs="仿宋_GB2312"/>
          <w:b w:val="0"/>
          <w:bCs w:val="0"/>
          <w:spacing w:val="-4"/>
          <w:sz w:val="32"/>
          <w:szCs w:val="32"/>
        </w:rPr>
        <w:t>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2、效益目标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社会效益指标：提升工作效率。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社会效益指标：信息系统使用率不低于90%。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3、满意度目标：信息系统使用人员满意度不低于90%；</w:t>
      </w:r>
    </w:p>
    <w:p w14:paraId="274B6901">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0C00627">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4BF8E8D">
      <w:pPr>
        <w:keepNext w:val="0"/>
        <w:keepLines w:val="0"/>
        <w:pageBreakBefore w:val="0"/>
        <w:widowControl w:val="0"/>
        <w:tabs>
          <w:tab w:val="center" w:pos="4295"/>
        </w:tabs>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1.绩效评价的目的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2.绩效评价的对象和范围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2024年度我单位实施的医疗服务与保障能力提升项目（中央）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A629D49">
      <w:pPr>
        <w:keepNext w:val="0"/>
        <w:keepLines w:val="0"/>
        <w:pageBreakBefore w:val="0"/>
        <w:widowControl w:val="0"/>
        <w:tabs>
          <w:tab w:val="center" w:pos="4295"/>
        </w:tabs>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（二）绩效评价原则、评价指标体系、评价方法、评价标准</w:t>
      </w:r>
    </w:p>
    <w:p w14:paraId="0B45F33C">
      <w:pPr>
        <w:keepNext w:val="0"/>
        <w:keepLines w:val="0"/>
        <w:pageBreakBefore w:val="0"/>
        <w:widowControl w:val="0"/>
        <w:tabs>
          <w:tab w:val="center" w:pos="4295"/>
        </w:tabs>
        <w:kinsoku/>
        <w:wordWrap/>
        <w:overflowPunct/>
        <w:topLinePunct w:val="0"/>
        <w:autoSpaceDE/>
        <w:autoSpaceDN/>
        <w:bidi w:val="0"/>
        <w:adjustRightInd/>
        <w:snapToGrid/>
        <w:spacing w:line="560" w:lineRule="exact"/>
        <w:textAlignment w:val="auto"/>
        <w:rPr>
          <w:rStyle w:val="18"/>
          <w:rFonts w:ascii="楷体" w:hAnsi="楷体" w:eastAsia="楷体"/>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医疗服务与保障能力提升项目（中央）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根据以上原则，绩效评价遵循如下具体要求：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2.绩效评价指标体系及绩效评价标准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绩效评价指标体系本项目评价指标体系采用项目绩效自评表与决策、过程自定指标相结合方式，其中项目决策17分，项目过程23分，项目产出22分，项目效益30分，项目满意度8分，详细情况见附件1：</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项目立项：立项依据充分性，权重2分；立项程序规范性，权重2分。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绩效目标：绩效目标明确性，权重4分；绩效目标合理性，权重4分。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预算编制：测算标准科学性，权重3分；资金分配合理性，权重2分。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资金管理：资金到位率，权重6分；预算执行率，权重6分。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①数量指标：信息系统服务人数权重5分。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②质量指标：信息系统功能覆盖率权重5分。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③时效指标：项目建设开展及时率权重7分。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④成本指标：综合改革费用权重5分。</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2、效益目标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社会效益指标：提升工作效率权重15分。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社会效益指标：信息系统使用率权重15分。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满意度目标：信息系统使用人员满意度权重8分；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E520CE9">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28A03893">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（1）项目全过程资料档案复核</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（2）检查内容和过程</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（3）撰写报告情况</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14:paraId="1BDAF702">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9FEF313">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医疗服务与保障能力提升项目（中央）项目的实施，解决了我区医疗卫生服务体系能力，就医秩序有待改善问题，实现了患者、医务人员对于改革满意度逐步提高、医疗卫生服务质量持续提高的社会效益，该项目预算执行率达100%，项目预期绩效目标已达成</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本次项目自评满分100分，自评得分</w:t>
      </w:r>
      <w:r>
        <w:rPr>
          <w:rStyle w:val="18"/>
          <w:rFonts w:hint="eastAsia" w:ascii="仿宋_GB2312" w:hAnsi="仿宋_GB2312" w:eastAsia="仿宋_GB2312" w:cs="仿宋_GB2312"/>
          <w:b w:val="0"/>
          <w:bCs w:val="0"/>
          <w:spacing w:val="-4"/>
          <w:sz w:val="32"/>
          <w:szCs w:val="32"/>
          <w:lang w:val="en-US" w:eastAsia="zh-CN"/>
        </w:rPr>
        <w:t>100</w:t>
      </w:r>
      <w:r>
        <w:rPr>
          <w:rStyle w:val="18"/>
          <w:rFonts w:hint="eastAsia" w:ascii="仿宋_GB2312" w:hAnsi="仿宋_GB2312" w:eastAsia="仿宋_GB2312" w:cs="仿宋_GB2312"/>
          <w:b w:val="0"/>
          <w:bCs w:val="0"/>
          <w:spacing w:val="-4"/>
          <w:sz w:val="32"/>
          <w:szCs w:val="32"/>
        </w:rPr>
        <w:t>分，自评结果为“优”，其中项目决策得分14分，项目过程得分22分，项目产出得分21分，项目效益得分30分，项目满意度得分8分。</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项目决策方面，立项依据充分、绩效目标明确、绩效目标合理、项目预算支出标准符合相关政策制度、行业、领域规定；项目过程方面，遵守相关法律法规和相关管理规定，制定或具有相应的财务和业务管理制度，财务和业务管理制度合法、合规、完整，资金到位率和执行率达到预期的指标；项目产出方面，按照项目内容进行合理性细化，准确核定财政预算支出；项目效益方面，提升工作效率；项目满意度方面，随机抽取信息系统使用人员满意度调查达到95%以上。</w:t>
      </w:r>
    </w:p>
    <w:p w14:paraId="0607DA5E">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82B6FC5">
      <w:pPr>
        <w:keepNext w:val="0"/>
        <w:keepLines w:val="0"/>
        <w:pageBreakBefore w:val="0"/>
        <w:widowControl w:val="0"/>
        <w:kinsoku/>
        <w:wordWrap/>
        <w:overflowPunct/>
        <w:topLinePunct w:val="0"/>
        <w:autoSpaceDE/>
        <w:autoSpaceDN/>
        <w:bidi w:val="0"/>
        <w:adjustRightInd/>
        <w:snapToGrid/>
        <w:spacing w:line="560" w:lineRule="exact"/>
        <w:textAlignment w:val="auto"/>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9D27966">
      <w:pPr>
        <w:keepNext w:val="0"/>
        <w:keepLines w:val="0"/>
        <w:pageBreakBefore w:val="0"/>
        <w:widowControl w:val="0"/>
        <w:tabs>
          <w:tab w:val="center" w:pos="4295"/>
        </w:tabs>
        <w:kinsoku/>
        <w:wordWrap/>
        <w:overflowPunct/>
        <w:topLinePunct w:val="0"/>
        <w:autoSpaceDE/>
        <w:autoSpaceDN/>
        <w:bidi w:val="0"/>
        <w:adjustRightInd/>
        <w:snapToGrid/>
        <w:spacing w:line="560" w:lineRule="exact"/>
        <w:textAlignment w:val="auto"/>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（1）立项依据充分性：项目立项是为提高预算完整性，加快支出进度，根据</w:t>
      </w:r>
      <w:r>
        <w:rPr>
          <w:rStyle w:val="18"/>
          <w:rFonts w:hint="eastAsia" w:ascii="仿宋_GB2312" w:hAnsi="仿宋_GB2312" w:eastAsia="仿宋_GB2312" w:cs="仿宋_GB2312"/>
          <w:b w:val="0"/>
          <w:bCs w:val="0"/>
          <w:spacing w:val="-4"/>
          <w:sz w:val="32"/>
          <w:szCs w:val="32"/>
          <w:lang w:val="en-US" w:eastAsia="zh-CN"/>
        </w:rPr>
        <w:t>相关</w:t>
      </w:r>
      <w:r>
        <w:rPr>
          <w:rStyle w:val="18"/>
          <w:rFonts w:hint="eastAsia" w:ascii="仿宋_GB2312" w:hAnsi="仿宋_GB2312" w:eastAsia="仿宋_GB2312" w:cs="仿宋_GB2312"/>
          <w:b w:val="0"/>
          <w:bCs w:val="0"/>
          <w:spacing w:val="-4"/>
          <w:sz w:val="32"/>
          <w:szCs w:val="32"/>
        </w:rPr>
        <w:t>文件要求，提前下达2024年中央医疗服务与保障能力提升（公立医院综合改革）补助资金预算指标，用于提升医疗卫生机构信息化建设和医疗设备配件。2024年，通过进行深化公立医院综合改革，建立健全现代医院化医院管理制度，加快医保支付改革，优化公立医院收入结构，提高医院精细化管理水平，加强医院运营管理，推进公立医院综合改革的要求进行立项，立项依据充分，符合发展规划要求，属于部门履职所需。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（2）立项程序规范性：根据决策依据编制工作计划和经费预算，经过与部门区政府分管领导进行沟通、筛选确定经费预算计划，上党委会研究确定最终预算方案。根据评分标准，该指标2分，得2分。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（1）绩效目标合理性：项目绩效目标细化分解为具体指标，绩效目标内容与项目相关，产出和效益符合正常业绩水平，资金投入与预算资金相匹配。绩效目标设置合理可行。根据评分标准，该指标4分，得4分。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绩效指标明确性：本项目制定了项目支出绩效目标，明确了项目总体思路及总目标、并对项目任务进行了详细分解，对目标进行了细化，本项目主要用于医院信息化建设，绩效目标包含了预期产出，并通过清晰、可衡量的指标予以体现。个别指标设置标准偏低。根据评分标准，该指标4分，得3分</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3、预算编制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（1）预算测算标准合理性： 项目依据2024年医院年初预算及信息化建设规划等领导集体决策要求，测算项目资金179万元，测算标准合理。根据评分标准，该指标3分，得3分。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（2）预算测算标准过程细化度：项目资金测算主要依据信息化建设；咨询服务项目概算，合同内容中明确了各费用，费用明细详细，测算过程细化清晰。根据评分标准，该指标2分，得2分。</w:t>
      </w:r>
      <w:r>
        <w:rPr>
          <w:rStyle w:val="18"/>
          <w:rFonts w:hint="eastAsia" w:ascii="楷体" w:hAnsi="楷体" w:eastAsia="楷体"/>
          <w:b w:val="0"/>
          <w:bCs w:val="0"/>
          <w:spacing w:val="-4"/>
          <w:sz w:val="32"/>
          <w:szCs w:val="32"/>
          <w:lang w:eastAsia="zh-CN"/>
        </w:rPr>
        <w:tab/>
      </w:r>
    </w:p>
    <w:p w14:paraId="282CAFAD">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39559850">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b w:val="0"/>
          <w:bCs w:val="0"/>
          <w:spacing w:val="-4"/>
          <w:sz w:val="32"/>
          <w:szCs w:val="32"/>
        </w:rPr>
      </w:pP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（1）资金到位率：项目预算148.5</w:t>
      </w:r>
      <w:r>
        <w:rPr>
          <w:rStyle w:val="18"/>
          <w:rFonts w:hint="eastAsia" w:ascii="仿宋_GB2312" w:hAnsi="仿宋_GB2312" w:eastAsia="仿宋_GB2312" w:cs="仿宋_GB2312"/>
          <w:b w:val="0"/>
          <w:bCs w:val="0"/>
          <w:spacing w:val="-4"/>
          <w:sz w:val="32"/>
          <w:szCs w:val="32"/>
          <w:lang w:val="en-US" w:eastAsia="zh-CN"/>
        </w:rPr>
        <w:t>0</w:t>
      </w:r>
      <w:r>
        <w:rPr>
          <w:rStyle w:val="18"/>
          <w:rFonts w:hint="eastAsia" w:ascii="仿宋_GB2312" w:hAnsi="仿宋_GB2312" w:eastAsia="仿宋_GB2312" w:cs="仿宋_GB2312"/>
          <w:b w:val="0"/>
          <w:bCs w:val="0"/>
          <w:spacing w:val="-4"/>
          <w:sz w:val="32"/>
          <w:szCs w:val="32"/>
        </w:rPr>
        <w:t>万元，</w:t>
      </w:r>
      <w:bookmarkStart w:id="0" w:name="_GoBack"/>
      <w:bookmarkEnd w:id="0"/>
      <w:r>
        <w:rPr>
          <w:rStyle w:val="18"/>
          <w:rFonts w:hint="eastAsia" w:ascii="仿宋_GB2312" w:hAnsi="仿宋_GB2312" w:eastAsia="仿宋_GB2312" w:cs="仿宋_GB2312"/>
          <w:b w:val="0"/>
          <w:bCs w:val="0"/>
          <w:spacing w:val="-4"/>
          <w:sz w:val="32"/>
          <w:szCs w:val="32"/>
        </w:rPr>
        <w:t>收到提前下达中央资金148.5</w:t>
      </w:r>
      <w:r>
        <w:rPr>
          <w:rStyle w:val="18"/>
          <w:rFonts w:hint="eastAsia" w:ascii="仿宋_GB2312" w:hAnsi="仿宋_GB2312" w:eastAsia="仿宋_GB2312" w:cs="仿宋_GB2312"/>
          <w:b w:val="0"/>
          <w:bCs w:val="0"/>
          <w:spacing w:val="-4"/>
          <w:sz w:val="32"/>
          <w:szCs w:val="32"/>
          <w:lang w:val="en-US" w:eastAsia="zh-CN"/>
        </w:rPr>
        <w:t>0</w:t>
      </w:r>
      <w:r>
        <w:rPr>
          <w:rStyle w:val="18"/>
          <w:rFonts w:hint="eastAsia" w:ascii="仿宋_GB2312" w:hAnsi="仿宋_GB2312" w:eastAsia="仿宋_GB2312" w:cs="仿宋_GB2312"/>
          <w:b w:val="0"/>
          <w:bCs w:val="0"/>
          <w:spacing w:val="-4"/>
          <w:sz w:val="32"/>
          <w:szCs w:val="32"/>
        </w:rPr>
        <w:t>万元；哈市财社{2024}15号下达30.5</w:t>
      </w:r>
      <w:r>
        <w:rPr>
          <w:rStyle w:val="18"/>
          <w:rFonts w:hint="eastAsia" w:ascii="仿宋_GB2312" w:hAnsi="仿宋_GB2312" w:eastAsia="仿宋_GB2312" w:cs="仿宋_GB2312"/>
          <w:b w:val="0"/>
          <w:bCs w:val="0"/>
          <w:spacing w:val="-4"/>
          <w:sz w:val="32"/>
          <w:szCs w:val="32"/>
          <w:lang w:val="en-US" w:eastAsia="zh-CN"/>
        </w:rPr>
        <w:t>0</w:t>
      </w:r>
      <w:r>
        <w:rPr>
          <w:rStyle w:val="18"/>
          <w:rFonts w:hint="eastAsia" w:ascii="仿宋_GB2312" w:hAnsi="仿宋_GB2312" w:eastAsia="仿宋_GB2312" w:cs="仿宋_GB2312"/>
          <w:b w:val="0"/>
          <w:bCs w:val="0"/>
          <w:spacing w:val="-4"/>
          <w:sz w:val="32"/>
          <w:szCs w:val="32"/>
        </w:rPr>
        <w:t>万元，到位资金共计179万元，资金到位率100%。该指标6分，得6分。</w:t>
      </w:r>
    </w:p>
    <w:p w14:paraId="4FAAA7D9">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楷体" w:hAnsi="楷体" w:eastAsia="楷体"/>
          <w:b w:val="0"/>
          <w:bCs w:val="0"/>
          <w:spacing w:val="-4"/>
          <w:sz w:val="32"/>
          <w:szCs w:val="32"/>
        </w:rPr>
      </w:pPr>
      <w:r>
        <w:rPr>
          <w:rStyle w:val="18"/>
          <w:rFonts w:hint="eastAsia" w:ascii="仿宋_GB2312" w:hAnsi="仿宋_GB2312" w:eastAsia="仿宋_GB2312" w:cs="仿宋_GB2312"/>
          <w:b w:val="0"/>
          <w:bCs w:val="0"/>
          <w:spacing w:val="-4"/>
          <w:sz w:val="32"/>
          <w:szCs w:val="32"/>
        </w:rPr>
        <w:t>（2）资金预算执行率：项目实际到位资金179万元，截至2024年12月31日，项目支出信息化建设费用30万元，支出医疗设备维修维护费用支出医院咨询服务费用14</w:t>
      </w:r>
      <w:r>
        <w:rPr>
          <w:rStyle w:val="18"/>
          <w:rFonts w:hint="eastAsia" w:ascii="仿宋_GB2312" w:hAnsi="仿宋_GB2312" w:eastAsia="仿宋_GB2312" w:cs="仿宋_GB2312"/>
          <w:b w:val="0"/>
          <w:bCs w:val="0"/>
          <w:spacing w:val="-4"/>
          <w:sz w:val="32"/>
          <w:szCs w:val="32"/>
          <w:lang w:val="en-US" w:eastAsia="zh-CN"/>
        </w:rPr>
        <w:t>9</w:t>
      </w:r>
      <w:r>
        <w:rPr>
          <w:rStyle w:val="18"/>
          <w:rFonts w:hint="eastAsia" w:ascii="仿宋_GB2312" w:hAnsi="仿宋_GB2312" w:eastAsia="仿宋_GB2312" w:cs="仿宋_GB2312"/>
          <w:b w:val="0"/>
          <w:bCs w:val="0"/>
          <w:spacing w:val="-4"/>
          <w:sz w:val="32"/>
          <w:szCs w:val="32"/>
        </w:rPr>
        <w:t>万元，共计支出金额179万元，预算执行率为100%。根据评分标准，该指标6分，得5分。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w:t>
      </w:r>
      <w:r>
        <w:rPr>
          <w:rStyle w:val="18"/>
          <w:rFonts w:hint="eastAsia" w:ascii="仿宋_GB2312" w:hAnsi="仿宋_GB2312" w:eastAsia="仿宋_GB2312" w:cs="仿宋_GB2312"/>
          <w:b w:val="0"/>
          <w:bCs w:val="0"/>
          <w:spacing w:val="-4"/>
          <w:sz w:val="32"/>
          <w:szCs w:val="32"/>
          <w:lang w:eastAsia="zh-CN"/>
        </w:rPr>
        <w:t>经</w:t>
      </w:r>
      <w:r>
        <w:rPr>
          <w:rStyle w:val="18"/>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（2）管理制度健全性，满分4分，得分4分，得分率100%。财务制度方面，我院为保障项目资金合理支出，制定《预算管理内部控制制度》，规定项目支出的合理流程，制度制定合法、合规。</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（3）制度执行有效性，满分3分，得分3分，得分率100%。项目支出遵守财务法律法规和自治区项目管理要求的各项规定，支出凭证、收据等相关资料齐全，项目实施所需的人员齐备，符合制度工作要求。</w:t>
      </w:r>
    </w:p>
    <w:p w14:paraId="3E736F5C">
      <w:pPr>
        <w:keepNext w:val="0"/>
        <w:keepLines w:val="0"/>
        <w:pageBreakBefore w:val="0"/>
        <w:widowControl w:val="0"/>
        <w:kinsoku/>
        <w:wordWrap/>
        <w:overflowPunct/>
        <w:topLinePunct w:val="0"/>
        <w:autoSpaceDE/>
        <w:autoSpaceDN/>
        <w:bidi w:val="0"/>
        <w:adjustRightInd/>
        <w:snapToGrid/>
        <w:spacing w:line="560" w:lineRule="exact"/>
        <w:textAlignment w:val="auto"/>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1F193CB8">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信息系统服务人数指标，满分5分，得分5分，得分率100%。根据项目工作计划要求，预计信息系统使用人数大于等于270人，根据信息系统使用情况统计显示，实际使用信息系统人数368人，符合计划要求。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信息系统功能覆盖率指标，满分5分，得分5分，得分率100%。项目按照工作计划，要求信息系统覆盖率为100%，通过系统报告显示，信息系统覆盖率为100%，符合计划要求。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项目建设开展及时率指标，满分7分，得分7分，得分率100%。根据项目合同约定，计划开始施工日期为2024年9月1日，计划竣工时间为2024年12月30日，由于项目存在跨年验收情况，</w:t>
      </w:r>
      <w:r>
        <w:rPr>
          <w:rStyle w:val="18"/>
          <w:rFonts w:hint="eastAsia" w:ascii="仿宋_GB2312" w:hAnsi="仿宋_GB2312" w:eastAsia="仿宋_GB2312" w:cs="仿宋_GB2312"/>
          <w:b w:val="0"/>
          <w:bCs w:val="0"/>
          <w:spacing w:val="-4"/>
          <w:sz w:val="32"/>
          <w:szCs w:val="32"/>
          <w:lang w:eastAsia="zh-CN"/>
        </w:rPr>
        <w:t>在</w:t>
      </w:r>
      <w:r>
        <w:rPr>
          <w:rStyle w:val="18"/>
          <w:rFonts w:hint="eastAsia" w:ascii="仿宋_GB2312" w:hAnsi="仿宋_GB2312" w:eastAsia="仿宋_GB2312" w:cs="仿宋_GB2312"/>
          <w:b w:val="0"/>
          <w:bCs w:val="0"/>
          <w:spacing w:val="-4"/>
          <w:sz w:val="32"/>
          <w:szCs w:val="32"/>
        </w:rPr>
        <w:t>本次自评工作中，评价阶段性工作完工及时情况，根据进度及</w:t>
      </w:r>
      <w:r>
        <w:rPr>
          <w:rStyle w:val="18"/>
          <w:rFonts w:hint="eastAsia" w:ascii="仿宋_GB2312" w:hAnsi="仿宋_GB2312" w:eastAsia="仿宋_GB2312" w:cs="仿宋_GB2312"/>
          <w:b w:val="0"/>
          <w:bCs w:val="0"/>
          <w:spacing w:val="-4"/>
          <w:sz w:val="32"/>
          <w:szCs w:val="32"/>
          <w:lang w:eastAsia="zh-CN"/>
        </w:rPr>
        <w:t>拨款</w:t>
      </w:r>
      <w:r>
        <w:rPr>
          <w:rStyle w:val="18"/>
          <w:rFonts w:hint="eastAsia" w:ascii="仿宋_GB2312" w:hAnsi="仿宋_GB2312" w:eastAsia="仿宋_GB2312" w:cs="仿宋_GB2312"/>
          <w:b w:val="0"/>
          <w:bCs w:val="0"/>
          <w:spacing w:val="-4"/>
          <w:sz w:val="32"/>
          <w:szCs w:val="32"/>
        </w:rPr>
        <w:t>情况，项目阶段性工作完工及时率为100%。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综合改革费用指标，满分5分，得分4分，得分率100%。根据项目合同规定，项目计划支付综合改革费用179万元，根据项目支出凭证及相关收据，项目实际支付179万元，符合成本控制要求。</w:t>
      </w:r>
    </w:p>
    <w:p w14:paraId="3F4F8E62">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w:t>
      </w:r>
      <w:r>
        <w:rPr>
          <w:rStyle w:val="18"/>
          <w:rFonts w:hint="eastAsia" w:ascii="楷体" w:hAnsi="楷体" w:eastAsia="楷体"/>
          <w:spacing w:val="-4"/>
          <w:sz w:val="32"/>
          <w:szCs w:val="32"/>
          <w:lang w:val="en-US" w:eastAsia="zh-CN"/>
        </w:rPr>
        <w:t>成本</w:t>
      </w:r>
      <w:r>
        <w:rPr>
          <w:rStyle w:val="18"/>
          <w:rFonts w:hint="eastAsia" w:ascii="楷体" w:hAnsi="楷体" w:eastAsia="楷体"/>
          <w:spacing w:val="-4"/>
          <w:sz w:val="32"/>
          <w:szCs w:val="32"/>
        </w:rPr>
        <w:t>情况</w:t>
      </w:r>
    </w:p>
    <w:p w14:paraId="1F912D02">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（1）提升工作效率指标，满分15分，得分15分，得分率100%。医院信息化建设通过技术手段全面优化医疗服务质量、提升管理效率、改善患者体验，推动医疗行业向智能化、数据化方向发展。</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（2）信息系统使用率，满分15分，得分15分，得分率100%。根据信息系统使用情况统计，信息系统使用人数368人(含来院进修、借调），医院2024年12月31日工作人数294人，符合计划要求。</w:t>
      </w:r>
    </w:p>
    <w:p w14:paraId="329D8741">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default" w:ascii="楷体" w:hAnsi="楷体" w:eastAsia="楷体"/>
          <w:b w:val="0"/>
          <w:bCs w:val="0"/>
          <w:spacing w:val="-4"/>
          <w:sz w:val="32"/>
          <w:szCs w:val="32"/>
          <w:lang w:val="en-US" w:eastAsia="zh-CN"/>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7497D5E8">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六</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8"/>
          <w:rFonts w:hint="eastAsia" w:ascii="楷体" w:hAnsi="楷体" w:eastAsia="楷体"/>
          <w:spacing w:val="-4"/>
          <w:sz w:val="32"/>
          <w:szCs w:val="32"/>
        </w:rPr>
        <w:t>情况</w:t>
      </w:r>
    </w:p>
    <w:p w14:paraId="326EED75">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服务对象满意度</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居民满意度，满分8分，得分8分，得分率100%。医院根据患者满意度调查问卷，问卷内容主要包括医院环境是否满意度、就医流程满意度、医生、护士服务是否满意等，患者满意度为96.53%。</w:t>
      </w:r>
    </w:p>
    <w:p w14:paraId="67A03A7C">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五</w:t>
      </w:r>
      <w:r>
        <w:rPr>
          <w:rStyle w:val="18"/>
          <w:rFonts w:hint="eastAsia" w:ascii="黑体" w:hAnsi="黑体" w:eastAsia="黑体"/>
          <w:b w:val="0"/>
          <w:spacing w:val="-4"/>
          <w:sz w:val="32"/>
          <w:szCs w:val="32"/>
        </w:rPr>
        <w:t>、主要经验及做法、存在的问题及原因分析</w:t>
      </w:r>
    </w:p>
    <w:p w14:paraId="16E7BC96">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b w:val="0"/>
          <w:bCs w:val="0"/>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是建立高效决策机制，明确决策责任与权限，明确相关人员的决策责任与权限，确保决策能够快速、准确地做出，避免决策拖延或责任不清。设立项目管理小组，根据项目规模和复杂性，设立专门的项目管理小组，负责项目的重大决策，确保决策的专业性和高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是强化决策分析与评估。开展决策前分析，在做出决策前，对项目现状、风险等进行全面分析，收集相关信息和数据，为决策提供科学依据。建立决策评估体系，制定决策评估标准和流程，对决策方案进行量化评估，确保选择最优方案。</w:t>
      </w:r>
      <w:r>
        <w:rPr>
          <w:rStyle w:val="18"/>
          <w:rFonts w:hint="eastAsia" w:ascii="仿宋_GB2312" w:hAnsi="仿宋_GB2312" w:eastAsia="仿宋_GB2312" w:cs="仿宋_GB2312"/>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三是加强决策沟通与协调。促进信息共享，建立有效的信息共享机制，确保决策所需的信息能够及时、准确地传递给相关人员。强化跨部门沟通，加强项目实施部门内部及与其他部门之间的沟通，确保决策过程中各方意见得到充分表达和讨论。</w:t>
      </w:r>
    </w:p>
    <w:p w14:paraId="5AB63311">
      <w:pPr>
        <w:keepNext w:val="0"/>
        <w:keepLines w:val="0"/>
        <w:pageBreakBefore w:val="0"/>
        <w:widowControl w:val="0"/>
        <w:kinsoku/>
        <w:wordWrap/>
        <w:overflowPunct/>
        <w:topLinePunct w:val="0"/>
        <w:autoSpaceDE/>
        <w:autoSpaceDN/>
        <w:bidi w:val="0"/>
        <w:adjustRightInd/>
        <w:snapToGrid/>
        <w:spacing w:line="560" w:lineRule="exact"/>
        <w:ind w:left="0" w:firstLine="0" w:firstLineChars="0"/>
        <w:textAlignment w:val="auto"/>
        <w:rPr>
          <w:rStyle w:val="18"/>
          <w:rFonts w:hint="eastAsia" w:ascii="楷体" w:hAnsi="楷体" w:eastAsia="楷体"/>
          <w:b w:val="0"/>
          <w:bCs w:val="0"/>
          <w:spacing w:val="-4"/>
          <w:sz w:val="32"/>
          <w:szCs w:val="32"/>
        </w:rPr>
      </w:pPr>
      <w:r>
        <w:rPr>
          <w:rStyle w:val="18"/>
          <w:rFonts w:hint="eastAsia" w:ascii="仿宋_GB2312" w:hAnsi="仿宋_GB2312" w:eastAsia="仿宋_GB2312" w:cs="仿宋_GB2312"/>
          <w:b w:val="0"/>
          <w:bCs w:val="0"/>
          <w:spacing w:val="-4"/>
          <w:sz w:val="32"/>
          <w:szCs w:val="32"/>
        </w:rPr>
        <w:t>（二）存在问题及原因分析</w:t>
      </w:r>
    </w:p>
    <w:p w14:paraId="71E92E22">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Fonts w:ascii="仿宋_GB2312" w:eastAsia="仿宋_GB2312"/>
          <w:spacing w:val="-4"/>
          <w:sz w:val="32"/>
          <w:szCs w:val="32"/>
        </w:rPr>
      </w:pPr>
      <w:r>
        <w:rPr>
          <w:rStyle w:val="18"/>
          <w:rFonts w:hint="eastAsia" w:ascii="仿宋_GB2312" w:hAnsi="仿宋_GB2312" w:eastAsia="仿宋_GB2312" w:cs="仿宋_GB2312"/>
          <w:b w:val="0"/>
          <w:bCs w:val="0"/>
          <w:spacing w:val="-4"/>
          <w:sz w:val="32"/>
          <w:szCs w:val="32"/>
        </w:rPr>
        <w:t>主要问题是年度总体目标设置合理性不高，年度目标设置为“本项目信息系统服务人员人数、信息系统使用人员满意度偏差大，主要原因在于我院预算绩效管理意识仍有待提高。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年中未及时调整预算导致预算数和执行数出现偏差，后续进一步加强预算管理，严格按照预算安排执行。</w:t>
      </w:r>
    </w:p>
    <w:p w14:paraId="0B46E2D1">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u w:val="dotted"/>
          <w:lang w:val="en-US" w:eastAsia="zh-CN"/>
        </w:rPr>
        <w:t>六</w:t>
      </w:r>
      <w:r>
        <w:rPr>
          <w:rStyle w:val="18"/>
          <w:rFonts w:hint="eastAsia" w:ascii="黑体" w:hAnsi="黑体" w:eastAsia="黑体"/>
          <w:b w:val="0"/>
          <w:spacing w:val="-4"/>
          <w:sz w:val="32"/>
          <w:szCs w:val="32"/>
        </w:rPr>
        <w:t>、有关建议</w:t>
      </w:r>
    </w:p>
    <w:p w14:paraId="4A94DB8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建议提升预算绩效管理水平，首先我院按照全面实施预算绩效管理的要求，及时、准确填报项目支出绩效目标申报表，并确保绩效目标设定具有适当性，绩效指标表述规范、符合项目实际且可衡量。其次我局在后续工作中将加强对部门科室的绩效培训力度，推动科室业务工作开展的同时重视绩效管理，理解绩效基本概念，提高单位绩效工作质量。</w:t>
      </w:r>
    </w:p>
    <w:p w14:paraId="0391314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3E0F69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bCs w:val="0"/>
          <w:spacing w:val="-4"/>
          <w:sz w:val="32"/>
          <w:szCs w:val="32"/>
        </w:rPr>
        <w:t>无</w:t>
      </w: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B8FF154">
        <w:pPr>
          <w:pStyle w:val="12"/>
          <w:jc w:val="center"/>
        </w:pPr>
        <w:r>
          <w:fldChar w:fldCharType="begin"/>
        </w:r>
        <w:r>
          <w:instrText xml:space="preserve">PAGE   \* MERGEFORMAT</w:instrText>
        </w:r>
        <w:r>
          <w:fldChar w:fldCharType="separate"/>
        </w:r>
        <w:r>
          <w:rPr>
            <w:lang w:val="zh-CN"/>
          </w:rPr>
          <w:t>1</w:t>
        </w:r>
        <w:r>
          <w:fldChar w:fldCharType="end"/>
        </w:r>
      </w:p>
    </w:sdtContent>
  </w:sdt>
  <w:p w14:paraId="0FD2D16E">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75FA0">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547D82"/>
    <w:multiLevelType w:val="singleLevel"/>
    <w:tmpl w:val="21547D8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3029612C"/>
    <w:rsid w:val="32A221C5"/>
    <w:rsid w:val="33F20F2A"/>
    <w:rsid w:val="34886B56"/>
    <w:rsid w:val="34C44675"/>
    <w:rsid w:val="35FC17DF"/>
    <w:rsid w:val="36B82B23"/>
    <w:rsid w:val="3B5B5607"/>
    <w:rsid w:val="3CE21B3C"/>
    <w:rsid w:val="4D2606A1"/>
    <w:rsid w:val="4F8A611E"/>
    <w:rsid w:val="51830480"/>
    <w:rsid w:val="51EB6428"/>
    <w:rsid w:val="53A616BE"/>
    <w:rsid w:val="54662BFB"/>
    <w:rsid w:val="62051CA5"/>
    <w:rsid w:val="6772621F"/>
    <w:rsid w:val="67D65A96"/>
    <w:rsid w:val="6C33576A"/>
    <w:rsid w:val="6C3A69EF"/>
    <w:rsid w:val="6E413C07"/>
    <w:rsid w:val="755A27D6"/>
    <w:rsid w:val="7D10066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7064</Words>
  <Characters>7423</Characters>
  <Lines>5</Lines>
  <Paragraphs>1</Paragraphs>
  <TotalTime>32</TotalTime>
  <ScaleCrop>false</ScaleCrop>
  <LinksUpToDate>false</LinksUpToDate>
  <CharactersWithSpaces>7491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2018-12-31T10:56:00Z</cp:lastPrinted>
  <dcterms:modified xsi:type="dcterms:W3CDTF">2025-11-08T07:24:00Z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