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C9F4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AB402C3">
      <w:pPr>
        <w:spacing w:line="540" w:lineRule="exact"/>
        <w:jc w:val="center"/>
        <w:rPr>
          <w:rFonts w:ascii="华文中宋" w:hAnsi="华文中宋" w:eastAsia="华文中宋" w:cs="宋体"/>
          <w:b/>
          <w:kern w:val="0"/>
          <w:sz w:val="52"/>
          <w:szCs w:val="52"/>
        </w:rPr>
      </w:pPr>
    </w:p>
    <w:p w14:paraId="780ED870">
      <w:pPr>
        <w:spacing w:line="540" w:lineRule="exact"/>
        <w:jc w:val="center"/>
        <w:rPr>
          <w:rFonts w:ascii="华文中宋" w:hAnsi="华文中宋" w:eastAsia="华文中宋" w:cs="宋体"/>
          <w:b/>
          <w:kern w:val="0"/>
          <w:sz w:val="52"/>
          <w:szCs w:val="52"/>
        </w:rPr>
      </w:pPr>
    </w:p>
    <w:p w14:paraId="71B67EDA">
      <w:pPr>
        <w:spacing w:line="540" w:lineRule="exact"/>
        <w:jc w:val="center"/>
        <w:rPr>
          <w:rFonts w:ascii="华文中宋" w:hAnsi="华文中宋" w:eastAsia="华文中宋" w:cs="宋体"/>
          <w:b/>
          <w:kern w:val="0"/>
          <w:sz w:val="52"/>
          <w:szCs w:val="52"/>
        </w:rPr>
      </w:pPr>
    </w:p>
    <w:p w14:paraId="29660FD5">
      <w:pPr>
        <w:spacing w:line="540" w:lineRule="exact"/>
        <w:jc w:val="center"/>
        <w:rPr>
          <w:rFonts w:hint="eastAsia" w:ascii="华文中宋" w:hAnsi="华文中宋" w:eastAsia="华文中宋" w:cs="宋体"/>
          <w:b/>
          <w:kern w:val="0"/>
          <w:sz w:val="52"/>
          <w:szCs w:val="52"/>
          <w:lang w:eastAsia="zh-CN"/>
        </w:rPr>
      </w:pPr>
    </w:p>
    <w:p w14:paraId="65524F23">
      <w:pPr>
        <w:spacing w:line="540" w:lineRule="exact"/>
        <w:jc w:val="center"/>
        <w:rPr>
          <w:rFonts w:ascii="华文中宋" w:hAnsi="华文中宋" w:eastAsia="华文中宋" w:cs="宋体"/>
          <w:b/>
          <w:kern w:val="0"/>
          <w:sz w:val="52"/>
          <w:szCs w:val="52"/>
        </w:rPr>
      </w:pPr>
    </w:p>
    <w:p w14:paraId="1D0F154D">
      <w:pPr>
        <w:spacing w:line="540" w:lineRule="exact"/>
        <w:jc w:val="center"/>
        <w:rPr>
          <w:rFonts w:ascii="华文中宋" w:hAnsi="华文中宋" w:eastAsia="华文中宋" w:cs="宋体"/>
          <w:b/>
          <w:kern w:val="0"/>
          <w:sz w:val="52"/>
          <w:szCs w:val="52"/>
        </w:rPr>
      </w:pPr>
    </w:p>
    <w:p w14:paraId="3B98A2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4A86DD0">
      <w:pPr>
        <w:spacing w:line="540" w:lineRule="exact"/>
        <w:jc w:val="center"/>
        <w:rPr>
          <w:rFonts w:ascii="华文中宋" w:hAnsi="华文中宋" w:eastAsia="华文中宋" w:cs="宋体"/>
          <w:b/>
          <w:kern w:val="0"/>
          <w:sz w:val="52"/>
          <w:szCs w:val="52"/>
        </w:rPr>
      </w:pPr>
    </w:p>
    <w:p w14:paraId="01F651D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F83B184">
      <w:pPr>
        <w:spacing w:line="540" w:lineRule="exact"/>
        <w:jc w:val="center"/>
        <w:rPr>
          <w:rFonts w:hAnsi="宋体" w:eastAsia="仿宋_GB2312" w:cs="宋体"/>
          <w:kern w:val="0"/>
          <w:sz w:val="30"/>
          <w:szCs w:val="30"/>
        </w:rPr>
      </w:pPr>
    </w:p>
    <w:p w14:paraId="16C514D3">
      <w:pPr>
        <w:spacing w:line="540" w:lineRule="exact"/>
        <w:jc w:val="center"/>
        <w:rPr>
          <w:rFonts w:hAnsi="宋体" w:eastAsia="仿宋_GB2312" w:cs="宋体"/>
          <w:kern w:val="0"/>
          <w:sz w:val="30"/>
          <w:szCs w:val="30"/>
        </w:rPr>
      </w:pPr>
    </w:p>
    <w:p w14:paraId="0D14BAC6">
      <w:pPr>
        <w:spacing w:line="540" w:lineRule="exact"/>
        <w:jc w:val="center"/>
        <w:rPr>
          <w:rFonts w:hAnsi="宋体" w:eastAsia="仿宋_GB2312" w:cs="宋体"/>
          <w:kern w:val="0"/>
          <w:sz w:val="30"/>
          <w:szCs w:val="30"/>
        </w:rPr>
      </w:pPr>
    </w:p>
    <w:p w14:paraId="2B551776">
      <w:pPr>
        <w:spacing w:line="540" w:lineRule="exact"/>
        <w:jc w:val="center"/>
        <w:rPr>
          <w:rFonts w:hAnsi="宋体" w:eastAsia="仿宋_GB2312" w:cs="宋体"/>
          <w:kern w:val="0"/>
          <w:sz w:val="30"/>
          <w:szCs w:val="30"/>
        </w:rPr>
      </w:pPr>
    </w:p>
    <w:p w14:paraId="76CBEF17">
      <w:pPr>
        <w:spacing w:line="540" w:lineRule="exact"/>
        <w:jc w:val="center"/>
        <w:rPr>
          <w:rFonts w:hAnsi="宋体" w:eastAsia="仿宋_GB2312" w:cs="宋体"/>
          <w:kern w:val="0"/>
          <w:sz w:val="30"/>
          <w:szCs w:val="30"/>
        </w:rPr>
      </w:pPr>
    </w:p>
    <w:p w14:paraId="7EE7FBC6">
      <w:pPr>
        <w:spacing w:line="540" w:lineRule="exact"/>
        <w:jc w:val="center"/>
        <w:rPr>
          <w:rFonts w:hAnsi="宋体" w:eastAsia="仿宋_GB2312" w:cs="宋体"/>
          <w:kern w:val="0"/>
          <w:sz w:val="30"/>
          <w:szCs w:val="30"/>
        </w:rPr>
      </w:pPr>
    </w:p>
    <w:p w14:paraId="251FAD17">
      <w:pPr>
        <w:spacing w:line="540" w:lineRule="exact"/>
        <w:rPr>
          <w:rFonts w:hAnsi="宋体" w:eastAsia="仿宋_GB2312" w:cs="宋体"/>
          <w:kern w:val="0"/>
          <w:sz w:val="30"/>
          <w:szCs w:val="30"/>
        </w:rPr>
      </w:pPr>
    </w:p>
    <w:p w14:paraId="4CF7000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DD4F03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特定类-代表活动经费</w:t>
      </w:r>
    </w:p>
    <w:p w14:paraId="35EB840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哈密市伊州区人民代表大会常务委员会</w:t>
      </w:r>
    </w:p>
    <w:p w14:paraId="59D95EB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哈密市伊州区人民代表大会常务委员会</w:t>
      </w:r>
    </w:p>
    <w:p w14:paraId="51F0E5F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海东兵</w:t>
      </w:r>
    </w:p>
    <w:p w14:paraId="2556E3D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p>
    <w:p w14:paraId="3C2A4D44">
      <w:pPr>
        <w:spacing w:line="700" w:lineRule="exact"/>
        <w:ind w:firstLine="708" w:firstLineChars="236"/>
        <w:jc w:val="left"/>
        <w:rPr>
          <w:rFonts w:hAnsi="宋体" w:eastAsia="仿宋_GB2312" w:cs="宋体"/>
          <w:kern w:val="0"/>
          <w:sz w:val="30"/>
          <w:szCs w:val="30"/>
        </w:rPr>
      </w:pPr>
    </w:p>
    <w:p w14:paraId="5FD51C86">
      <w:pPr>
        <w:spacing w:line="540" w:lineRule="exact"/>
        <w:rPr>
          <w:rStyle w:val="18"/>
          <w:rFonts w:ascii="黑体" w:hAnsi="黑体" w:eastAsia="黑体"/>
          <w:b w:val="0"/>
          <w:spacing w:val="-4"/>
          <w:sz w:val="32"/>
          <w:szCs w:val="32"/>
        </w:rPr>
      </w:pPr>
    </w:p>
    <w:p w14:paraId="39226681">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0622C9B">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0C8EF444">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支持和保障人大代表依法履行代表职务，充分发挥代表作用，特设立人大代表活动经费项目。人大代表作为人民群众的代表，在促进地方经济发展、社会和谐稳定等方面肩负着重要职责。通过开展各类代表活动，如集中视察、专题调研、建议办理督办等，能够有效加强代表与选民的联系，提高代表履职能力，推动各项政策的落实和完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经费主要用于人大代表出席相关会议费用，开展集中视察、专题调研活动的费用，代表建议办理督办费用，以及代表联系人民群众过程中发生的通讯、交通等费用补贴，参加代表议案审议和建议办理工作调研、座谈等活动的差旅费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2024年人大代表活动经费年初预算为 188.28万元，全年预算42.68万元，其中财政拨款42.68</w:t>
      </w:r>
      <w:r>
        <w:rPr>
          <w:rStyle w:val="18"/>
          <w:rFonts w:hint="eastAsia" w:ascii="仿宋_GB2312" w:hAnsi="仿宋_GB2312" w:eastAsia="仿宋_GB2312" w:cs="仿宋_GB2312"/>
          <w:b w:val="0"/>
          <w:bCs w:val="0"/>
          <w:spacing w:val="-4"/>
          <w:sz w:val="32"/>
          <w:szCs w:val="32"/>
          <w:lang w:eastAsia="zh-CN"/>
        </w:rPr>
        <w:t>万</w:t>
      </w:r>
      <w:r>
        <w:rPr>
          <w:rStyle w:val="18"/>
          <w:rFonts w:hint="eastAsia" w:ascii="仿宋_GB2312" w:hAnsi="仿宋_GB2312" w:eastAsia="仿宋_GB2312" w:cs="仿宋_GB2312"/>
          <w:b w:val="0"/>
          <w:bCs w:val="0"/>
          <w:spacing w:val="-4"/>
          <w:sz w:val="32"/>
          <w:szCs w:val="32"/>
        </w:rPr>
        <w:t>元，其他资金 0万元，2024年执行数为37.41万元，预算资金到位率为100%，执行率87.</w:t>
      </w:r>
      <w:r>
        <w:rPr>
          <w:rStyle w:val="18"/>
          <w:rFonts w:hint="eastAsia" w:ascii="仿宋_GB2312" w:hAnsi="仿宋_GB2312" w:eastAsia="仿宋_GB2312" w:cs="仿宋_GB2312"/>
          <w:b w:val="0"/>
          <w:bCs w:val="0"/>
          <w:spacing w:val="-4"/>
          <w:sz w:val="32"/>
          <w:szCs w:val="32"/>
          <w:lang w:val="en-US" w:eastAsia="zh-CN"/>
        </w:rPr>
        <w:t>7</w:t>
      </w:r>
      <w:r>
        <w:rPr>
          <w:rStyle w:val="18"/>
          <w:rFonts w:hint="eastAsia" w:ascii="仿宋_GB2312" w:hAnsi="仿宋_GB2312" w:eastAsia="仿宋_GB2312" w:cs="仿宋_GB2312"/>
          <w:b w:val="0"/>
          <w:bCs w:val="0"/>
          <w:spacing w:val="-4"/>
          <w:sz w:val="32"/>
          <w:szCs w:val="32"/>
        </w:rPr>
        <w:t>%。</w:t>
      </w:r>
    </w:p>
    <w:p w14:paraId="1EF08158">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5963B63D">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保障人大代表活动的顺利开展，提高代表履职能力，充分发挥代表作用，促进地方经济社会发展和民主法治建设。</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按时足额发放代表履职补助，定期支付代表活动经费，确保各项代表活动按计划完成；加强对代表活动的组织和管理，提高活动质量和效果；及时收集和整理代表意见建议，推动建议办理工作取得实效，提高代表和群众满意度。</w:t>
      </w:r>
    </w:p>
    <w:p w14:paraId="1F198B75">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DFA7F3E">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C62E41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1.绩效评价的目的</w:t>
      </w:r>
    </w:p>
    <w:p w14:paraId="465E33A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2.绩效评价的对象和范围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2024年度我单位实施的人大代表活动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B8F2D62">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13261EA">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人大代表活动经费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组织实施：管理制度健全性，权重5分，制度执行有效性，权重6分。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（3）项目产出召开伊州区人民代表大会不低于1次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数量指标：经费覆盖乡镇街道数量24个。权重6分。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质量指标：代表参加活动出勤率达到98%；资金使用合规率达到100。权重5分；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时效指标：资金</w:t>
      </w:r>
      <w:r>
        <w:rPr>
          <w:rStyle w:val="18"/>
          <w:rFonts w:hint="eastAsia" w:ascii="仿宋_GB2312" w:hAnsi="仿宋_GB2312" w:eastAsia="仿宋_GB2312" w:cs="仿宋_GB2312"/>
          <w:b w:val="0"/>
          <w:bCs w:val="0"/>
          <w:spacing w:val="-4"/>
          <w:sz w:val="32"/>
          <w:szCs w:val="32"/>
          <w:lang w:eastAsia="zh-CN"/>
        </w:rPr>
        <w:t>拨付</w:t>
      </w:r>
      <w:r>
        <w:rPr>
          <w:rStyle w:val="18"/>
          <w:rFonts w:hint="eastAsia" w:ascii="仿宋_GB2312" w:hAnsi="仿宋_GB2312" w:eastAsia="仿宋_GB2312" w:cs="仿宋_GB2312"/>
          <w:b w:val="0"/>
          <w:bCs w:val="0"/>
          <w:spacing w:val="-4"/>
          <w:sz w:val="32"/>
          <w:szCs w:val="32"/>
        </w:rPr>
        <w:t>及时率达到100%。权重5分。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经济成本指标：代表活动成本1585元/人/年。权重6分。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社会效益指标：听取代表议案，加强民主，提升公众服务能力。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代表参加活动满意度指标：参会人员满意度不低于98%。权重8分。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代表活动经费项目绩效评价主要通过项目单位自评、主管部门监督、财政部门参评的方式开展绩效评价工作。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14:paraId="658D29F8">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73E44590">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第一阶段：前期准备。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卡哈尔·司马义任评价组组长，绩效评价工作职责为检查项目绩效指标完成情况、审定项目支出绩效评价结果及项目支出绩效评价报告。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于延发任评价组副组长，绩效评价工作职责为组织和协调项目工作人员采取实地调查、资料检查等方式，核实项目绩效指标完成情况；组织受益对象对项目工作进行评价等。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韩晓英、阿依托合塔西·帕孜力任评价组成员，绩效评价工作职责为做好项目支出绩效评价工作的沟通协调工作，对项目实施情况进行实地调查，编写项目支出绩效评价报告。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项目撰写绩效评价报告，按照财政单位大平台绩效系统中统一格式和文本框架撰写绩效评价报告。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1D6D99C7">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95275D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97.33</w:t>
      </w:r>
      <w:r>
        <w:rPr>
          <w:rStyle w:val="18"/>
          <w:rFonts w:hint="eastAsia" w:ascii="仿宋_GB2312" w:hAnsi="仿宋_GB2312" w:eastAsia="仿宋_GB2312" w:cs="仿宋_GB2312"/>
          <w:b w:val="0"/>
          <w:bCs w:val="0"/>
          <w:spacing w:val="-4"/>
          <w:sz w:val="32"/>
          <w:szCs w:val="32"/>
        </w:rPr>
        <w:t>分，自评结果为“优”，其中项目决策得分11.5分，项目过程得分22分，项目产出得分21分，项目效益得分30分，项目满意度得分8分。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决策方面，根据《中华人民共和国地方各级人民代表大会和地方各级人民政府组织法》第三十九条：代表活动经费应当列入地方财政预算，专款专用。项目立项符合国家法律法规，属于本部门履职所需。本项目制定了项目支出绩效目标，明确了项目总体思路及总目标、并对项目任务进行了详细分解，对目标进行了细化。但对后期可能出现问题估计不足，个别绩效目标设置不合理根据评分标准。测算标准性：项目预算测算项目支出标准符合相关政策制度或行业、领域规定测算过程细度化：该项目测算过程细化清晰。项目产出方面：本项目资金分配依据充分，资金分配额度合理，与项目地方实际相适应。根据评分标准。预算执行率，该项目预算执行率</w:t>
      </w:r>
      <w:r>
        <w:rPr>
          <w:rStyle w:val="18"/>
          <w:rFonts w:hint="eastAsia" w:ascii="仿宋_GB2312" w:hAnsi="仿宋_GB2312" w:eastAsia="仿宋_GB2312" w:cs="仿宋_GB2312"/>
          <w:b w:val="0"/>
          <w:bCs w:val="0"/>
          <w:spacing w:val="-4"/>
          <w:sz w:val="32"/>
          <w:szCs w:val="32"/>
          <w:lang w:val="en-US" w:eastAsia="zh-CN"/>
        </w:rPr>
        <w:t>87.7</w:t>
      </w:r>
      <w:r>
        <w:rPr>
          <w:rStyle w:val="18"/>
          <w:rFonts w:hint="eastAsia" w:ascii="仿宋_GB2312" w:hAnsi="仿宋_GB2312" w:eastAsia="仿宋_GB2312" w:cs="仿宋_GB2312"/>
          <w:b w:val="0"/>
          <w:bCs w:val="0"/>
          <w:spacing w:val="-4"/>
          <w:sz w:val="32"/>
          <w:szCs w:val="32"/>
        </w:rPr>
        <w:t>%,管理制度健全性我单位制定了专项经费使用管理办法等相关规定，同时对财政专项资金进行严格管理，基本做到了专款专用。制度执行有效性：由部门提出经费预算支出可行性方案，经党组会议研究执行，财务对资金的使用合法合规性进行监督，年底对资金使用效果进行自评。项目效益方面，“听取代表议案，加强民主，提升公众服务能力”指标，预期指标值为“显著提升”，根据问卷调查可知，实际完成值为“显著提升”；项目满意度方面，“参会人员满意度”指标，预期指标值为“≥98%”，根据问卷调查，满意度达100%。</w:t>
      </w:r>
    </w:p>
    <w:p w14:paraId="4A658127">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 xml:space="preserve">四、绩效评价指标分析 </w:t>
      </w:r>
    </w:p>
    <w:p w14:paraId="02F1AA74">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（一）项目决策情况</w:t>
      </w:r>
    </w:p>
    <w:p w14:paraId="7F46B850">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立项依据充分性，满分4分，得分4分，得分率100%。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项目立项依据是根据《中华人民共和国地方各级人民代表大会和地方各级人民政府组织法》第三十九条：代表活动经费应当列入地方财政预算，专款专用。根据评分标准，该指标4分，得4分。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（1）绩效目标明确性，满分4分，得分2分，得分率50%。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本项目已将项目绩效目标细化分解为具体的绩效指标，并通过清晰、可衡量的指标值予以体现，个别指标前期设置不合理。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（2）绩效目标合理性，满分4分，得分1分，得分率25%。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本项目制定了项目支出绩效目标，明确了项目总体思路及总目标、并对项目任务进行了详细分解，对目标进行了细化。但对项目后期发生的</w:t>
      </w:r>
      <w:r>
        <w:rPr>
          <w:rStyle w:val="18"/>
          <w:rFonts w:hint="eastAsia" w:ascii="仿宋_GB2312" w:hAnsi="仿宋_GB2312" w:eastAsia="仿宋_GB2312" w:cs="仿宋_GB2312"/>
          <w:b w:val="0"/>
          <w:bCs w:val="0"/>
          <w:spacing w:val="-4"/>
          <w:sz w:val="32"/>
          <w:szCs w:val="32"/>
          <w:lang w:eastAsia="zh-CN"/>
        </w:rPr>
        <w:t>问题无法及时发现</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预算编制经过科学论证，内容与项目内容匹配，项目投资额与工作任务相匹配。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（2）测算过程细化度，满分2分，得分1.5分，得分率75%。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本项目预算编制较为详细，预算资金42.68万元，实际执行37.41万元，预算执行率为87.</w:t>
      </w:r>
      <w:r>
        <w:rPr>
          <w:rStyle w:val="18"/>
          <w:rFonts w:hint="eastAsia" w:ascii="仿宋_GB2312" w:hAnsi="仿宋_GB2312" w:eastAsia="仿宋_GB2312" w:cs="仿宋_GB2312"/>
          <w:b w:val="0"/>
          <w:bCs w:val="0"/>
          <w:spacing w:val="-4"/>
          <w:sz w:val="32"/>
          <w:szCs w:val="32"/>
          <w:lang w:val="en-US" w:eastAsia="zh-CN"/>
        </w:rPr>
        <w:t>7</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ab/>
      </w:r>
    </w:p>
    <w:p w14:paraId="650AAF12">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二</w:t>
      </w:r>
      <w:r>
        <w:rPr>
          <w:rStyle w:val="18"/>
          <w:rFonts w:hint="eastAsia" w:ascii="楷体" w:hAnsi="楷体" w:eastAsia="楷体"/>
          <w:spacing w:val="-4"/>
          <w:sz w:val="32"/>
          <w:szCs w:val="32"/>
        </w:rPr>
        <w:t>）项目过程情况</w:t>
      </w:r>
    </w:p>
    <w:p w14:paraId="21B71863">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该项目资金已全部拨付到位。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本项目预算编制较为详细，预算资金42.68万元，实际执行37.41万元，预算执行率为</w:t>
      </w:r>
      <w:r>
        <w:rPr>
          <w:rStyle w:val="18"/>
          <w:rFonts w:hint="eastAsia" w:ascii="仿宋_GB2312" w:hAnsi="仿宋_GB2312" w:eastAsia="仿宋_GB2312" w:cs="仿宋_GB2312"/>
          <w:b w:val="0"/>
          <w:bCs w:val="0"/>
          <w:spacing w:val="-4"/>
          <w:sz w:val="32"/>
          <w:szCs w:val="32"/>
          <w:lang w:val="en-US" w:eastAsia="zh-CN"/>
        </w:rPr>
        <w:t>87.7</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（1）管理制度健全性，满分5分，得分4分，得分率80%。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虽进一步建立健全各项项目管理制度，但在实施过程中与前期估计出入较大，导致目标设置不充分合理。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（2）制度执行有效性，满分6分，得分6分，得分率100%。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部门提出经费预算支出可行性方案，经过党组会议研究执行，财务对资金的使用合法合规性进行监督，年底对资金使用效果进行自评。</w:t>
      </w:r>
    </w:p>
    <w:p w14:paraId="7745338A">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三</w:t>
      </w:r>
      <w:r>
        <w:rPr>
          <w:rStyle w:val="18"/>
          <w:rFonts w:hint="eastAsia" w:ascii="楷体" w:hAnsi="楷体" w:eastAsia="楷体"/>
          <w:spacing w:val="-4"/>
          <w:sz w:val="32"/>
          <w:szCs w:val="32"/>
        </w:rPr>
        <w:t>）项目产出情况</w:t>
      </w:r>
    </w:p>
    <w:p w14:paraId="300501BD">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产出数量指标完成率，满分6分，得分6分，得分率100%。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“经费覆盖乡镇、街道数量”指标，预期指标值为“＝24个”，根据实际完成情况，与预期目标一致。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产出质量指标，满分5分，得分4分，得分率80%。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“代表参加活动出勤率指标”，预期指标值为“≥98%”，根据实际完成情况，实际完成93.26%，与预期目标有偏差，主要原因为部分代表因病不能按时参加会议，与预期目标不一致。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“资金使用合规率指标”，预期指标值为“≥98%”， 根据实际完成情况资金使用合规率达100%，超出预期。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产出时效指标，满分5分，得分5分，得分率100%。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w:t>
      </w:r>
      <w:r>
        <w:rPr>
          <w:rStyle w:val="18"/>
          <w:rFonts w:hint="eastAsia" w:ascii="仿宋_GB2312" w:hAnsi="仿宋_GB2312" w:eastAsia="仿宋_GB2312" w:cs="仿宋_GB2312"/>
          <w:b w:val="0"/>
          <w:bCs w:val="0"/>
          <w:spacing w:val="-4"/>
          <w:sz w:val="32"/>
          <w:szCs w:val="32"/>
          <w:lang w:eastAsia="zh-CN"/>
        </w:rPr>
        <w:t>拨付</w:t>
      </w:r>
      <w:r>
        <w:rPr>
          <w:rStyle w:val="18"/>
          <w:rFonts w:hint="eastAsia" w:ascii="仿宋_GB2312" w:hAnsi="仿宋_GB2312" w:eastAsia="仿宋_GB2312" w:cs="仿宋_GB2312"/>
          <w:b w:val="0"/>
          <w:bCs w:val="0"/>
          <w:spacing w:val="-4"/>
          <w:sz w:val="32"/>
          <w:szCs w:val="32"/>
        </w:rPr>
        <w:t>及时率”指标，预期指标值为“98%”，根据实际完成情况</w:t>
      </w:r>
      <w:r>
        <w:rPr>
          <w:rStyle w:val="18"/>
          <w:rFonts w:hint="eastAsia" w:ascii="仿宋_GB2312" w:hAnsi="仿宋_GB2312" w:eastAsia="仿宋_GB2312" w:cs="仿宋_GB2312"/>
          <w:b w:val="0"/>
          <w:bCs w:val="0"/>
          <w:spacing w:val="-4"/>
          <w:sz w:val="32"/>
          <w:szCs w:val="32"/>
          <w:lang w:eastAsia="zh-CN"/>
        </w:rPr>
        <w:t>拨</w:t>
      </w:r>
      <w:r>
        <w:rPr>
          <w:rStyle w:val="18"/>
          <w:rFonts w:hint="eastAsia" w:ascii="仿宋_GB2312" w:hAnsi="仿宋_GB2312" w:eastAsia="仿宋_GB2312" w:cs="仿宋_GB2312"/>
          <w:b w:val="0"/>
          <w:bCs w:val="0"/>
          <w:spacing w:val="-4"/>
          <w:sz w:val="32"/>
          <w:szCs w:val="32"/>
        </w:rPr>
        <w:t>付率达100%，超出预期。</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产出成本指标，满分6分，得分6分，得分率100%。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“代表参加活动成本”指标，预期指标值为“≤1585元/人/年”，根据项目开展情况和资金支付凭证显示，经费支出≤1701元/人/年，超出预期。</w:t>
      </w:r>
    </w:p>
    <w:p w14:paraId="146F3BA9">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四</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14:paraId="436882FC">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社会效益指标，满分30分，得分30分，得分率100%。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“听取代表议案，加强民主，提升公众服务能力”指标，预期指标值为“显著提升”，根据本单位年度考核情况可知，实际完成值为“好”。</w:t>
      </w:r>
    </w:p>
    <w:p w14:paraId="1E4BA4FE">
      <w:pPr>
        <w:spacing w:line="540" w:lineRule="exact"/>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五</w:t>
      </w:r>
      <w:r>
        <w:rPr>
          <w:rStyle w:val="18"/>
          <w:rFonts w:hint="eastAsia" w:ascii="楷体" w:hAnsi="楷体" w:eastAsia="楷体"/>
          <w:spacing w:val="-4"/>
          <w:sz w:val="32"/>
          <w:szCs w:val="32"/>
        </w:rPr>
        <w:t>）项目效益情况</w:t>
      </w:r>
    </w:p>
    <w:p w14:paraId="2BA47632">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六</w:t>
      </w:r>
      <w:r>
        <w:rPr>
          <w:rStyle w:val="18"/>
          <w:rFonts w:hint="eastAsia" w:ascii="楷体" w:hAnsi="楷体" w:eastAsia="楷体"/>
          <w:spacing w:val="-4"/>
          <w:sz w:val="32"/>
          <w:szCs w:val="32"/>
        </w:rPr>
        <w:t>）</w:t>
      </w:r>
      <w:r>
        <w:rPr>
          <w:rStyle w:val="18"/>
          <w:rFonts w:hint="eastAsia" w:ascii="楷体" w:hAnsi="楷体" w:eastAsia="楷体"/>
          <w:spacing w:val="-4"/>
          <w:sz w:val="32"/>
          <w:szCs w:val="32"/>
          <w:lang w:eastAsia="zh-CN"/>
        </w:rPr>
        <w:t>满意度</w:t>
      </w:r>
      <w:r>
        <w:rPr>
          <w:rStyle w:val="18"/>
          <w:rFonts w:hint="eastAsia" w:ascii="楷体" w:hAnsi="楷体" w:eastAsia="楷体"/>
          <w:spacing w:val="-4"/>
          <w:sz w:val="32"/>
          <w:szCs w:val="32"/>
        </w:rPr>
        <w:t>情况</w:t>
      </w:r>
    </w:p>
    <w:p w14:paraId="1F174606">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代表活动满意度，满分8分，得分8分，得分率100%。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“代表活动满意度”指标，预期指标值为“≥98%”，根据对代表参加活动满意度调查可知，满意度达100%。</w:t>
      </w:r>
    </w:p>
    <w:p w14:paraId="44C96799">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14:paraId="12FAF549">
      <w:pPr>
        <w:spacing w:line="540" w:lineRule="exact"/>
        <w:rPr>
          <w:rFonts w:hint="eastAsia" w:ascii="仿宋_GB2312" w:hAnsi="仿宋_GB2312" w:eastAsia="仿宋_GB2312" w:cs="仿宋_GB2312"/>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仿宋_GB2312" w:hAnsi="仿宋_GB2312" w:eastAsia="仿宋_GB2312" w:cs="仿宋_GB2312"/>
          <w:b w:val="0"/>
          <w:bCs w:val="0"/>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8"/>
          <w:rFonts w:hint="eastAsia" w:ascii="仿宋_GB2312" w:hAnsi="仿宋_GB2312" w:eastAsia="仿宋_GB2312" w:cs="仿宋_GB2312"/>
          <w:b w:val="0"/>
          <w:bCs w:val="0"/>
          <w:spacing w:val="-4"/>
          <w:sz w:val="32"/>
          <w:szCs w:val="32"/>
          <w:lang w:val="en-US" w:eastAsia="zh-CN"/>
        </w:rPr>
        <w:t>了</w:t>
      </w:r>
      <w:bookmarkStart w:id="0" w:name="_GoBack"/>
      <w:bookmarkEnd w:id="0"/>
      <w:r>
        <w:rPr>
          <w:rStyle w:val="18"/>
          <w:rFonts w:hint="eastAsia" w:ascii="仿宋_GB2312" w:hAnsi="仿宋_GB2312" w:eastAsia="仿宋_GB2312" w:cs="仿宋_GB2312"/>
          <w:b w:val="0"/>
          <w:bCs w:val="0"/>
          <w:spacing w:val="-4"/>
          <w:sz w:val="32"/>
          <w:szCs w:val="32"/>
        </w:rPr>
        <w:t>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eastAsia="zh-CN"/>
        </w:rPr>
        <w:t>健</w:t>
      </w:r>
      <w:r>
        <w:rPr>
          <w:rStyle w:val="18"/>
          <w:rFonts w:hint="eastAsia" w:ascii="仿宋_GB2312" w:hAnsi="仿宋_GB2312" w:eastAsia="仿宋_GB2312" w:cs="仿宋_GB2312"/>
          <w:b w:val="0"/>
          <w:bCs w:val="0"/>
          <w:spacing w:val="-4"/>
          <w:sz w:val="32"/>
          <w:szCs w:val="32"/>
        </w:rPr>
        <w:t>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3.项目支出绩效评价存在</w:t>
      </w:r>
      <w:r>
        <w:rPr>
          <w:rStyle w:val="18"/>
          <w:rFonts w:hint="eastAsia" w:ascii="仿宋_GB2312" w:hAnsi="仿宋_GB2312" w:eastAsia="仿宋_GB2312" w:cs="仿宋_GB2312"/>
          <w:b w:val="0"/>
          <w:bCs w:val="0"/>
          <w:spacing w:val="-4"/>
          <w:sz w:val="32"/>
          <w:szCs w:val="32"/>
          <w:lang w:eastAsia="zh-CN"/>
        </w:rPr>
        <w:t>局</w:t>
      </w:r>
      <w:r>
        <w:rPr>
          <w:rStyle w:val="18"/>
          <w:rFonts w:hint="eastAsia" w:ascii="仿宋_GB2312" w:hAnsi="仿宋_GB2312" w:eastAsia="仿宋_GB2312" w:cs="仿宋_GB2312"/>
          <w:b w:val="0"/>
          <w:bCs w:val="0"/>
          <w:spacing w:val="-4"/>
          <w:sz w:val="32"/>
          <w:szCs w:val="32"/>
        </w:rPr>
        <w:t>限</w:t>
      </w:r>
      <w:r>
        <w:rPr>
          <w:rStyle w:val="18"/>
          <w:rFonts w:hint="eastAsia" w:ascii="仿宋_GB2312" w:hAnsi="仿宋_GB2312" w:eastAsia="仿宋_GB2312" w:cs="仿宋_GB2312"/>
          <w:b w:val="0"/>
          <w:bCs w:val="0"/>
          <w:spacing w:val="-4"/>
          <w:sz w:val="32"/>
          <w:szCs w:val="32"/>
          <w:lang w:eastAsia="zh-CN"/>
        </w:rPr>
        <w:t>性</w:t>
      </w:r>
      <w:r>
        <w:rPr>
          <w:rStyle w:val="18"/>
          <w:rFonts w:hint="eastAsia" w:ascii="仿宋_GB2312" w:hAnsi="仿宋_GB2312" w:eastAsia="仿宋_GB2312" w:cs="仿宋_GB2312"/>
          <w:b w:val="0"/>
          <w:bCs w:val="0"/>
          <w:spacing w:val="-4"/>
          <w:sz w:val="32"/>
          <w:szCs w:val="32"/>
        </w:rPr>
        <w:t>，客观性有待加强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项目支出绩效评价工作还存在自我审定的</w:t>
      </w:r>
      <w:r>
        <w:rPr>
          <w:rStyle w:val="18"/>
          <w:rFonts w:hint="eastAsia" w:ascii="仿宋_GB2312" w:hAnsi="仿宋_GB2312" w:eastAsia="仿宋_GB2312" w:cs="仿宋_GB2312"/>
          <w:b w:val="0"/>
          <w:bCs w:val="0"/>
          <w:spacing w:val="-4"/>
          <w:sz w:val="32"/>
          <w:szCs w:val="32"/>
          <w:lang w:eastAsia="zh-CN"/>
        </w:rPr>
        <w:t>局</w:t>
      </w:r>
      <w:r>
        <w:rPr>
          <w:rStyle w:val="18"/>
          <w:rFonts w:hint="eastAsia" w:ascii="仿宋_GB2312" w:hAnsi="仿宋_GB2312" w:eastAsia="仿宋_GB2312" w:cs="仿宋_GB2312"/>
          <w:b w:val="0"/>
          <w:bCs w:val="0"/>
          <w:spacing w:val="-4"/>
          <w:sz w:val="32"/>
          <w:szCs w:val="32"/>
        </w:rPr>
        <w:t>限性，项目支出绩效工作有较大弹性，评价报告多</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单位</w:t>
      </w:r>
      <w:r>
        <w:rPr>
          <w:rStyle w:val="18"/>
          <w:rFonts w:hint="eastAsia" w:ascii="仿宋_GB2312" w:hAnsi="仿宋_GB2312" w:eastAsia="仿宋_GB2312" w:cs="仿宋_GB2312"/>
          <w:b w:val="0"/>
          <w:bCs w:val="0"/>
          <w:spacing w:val="-4"/>
          <w:sz w:val="32"/>
          <w:szCs w:val="32"/>
          <w:lang w:eastAsia="zh-CN"/>
        </w:rPr>
        <w:t>局</w:t>
      </w:r>
      <w:r>
        <w:rPr>
          <w:rStyle w:val="18"/>
          <w:rFonts w:hint="eastAsia" w:ascii="仿宋_GB2312" w:hAnsi="仿宋_GB2312" w:eastAsia="仿宋_GB2312" w:cs="仿宋_GB2312"/>
          <w:b w:val="0"/>
          <w:bCs w:val="0"/>
          <w:spacing w:val="-4"/>
          <w:sz w:val="32"/>
          <w:szCs w:val="32"/>
        </w:rPr>
        <w:t>限于描述项目实施情况，对问题避重就轻，对项目的打分松紧不一，会影响评价质量，在客观性和公正性上说服力不强。</w:t>
      </w:r>
    </w:p>
    <w:p w14:paraId="3D1F890E">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01D7855">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楷体" w:hAnsi="楷体" w:eastAsia="楷体"/>
          <w:spacing w:val="-4"/>
          <w:sz w:val="32"/>
          <w:szCs w:val="32"/>
        </w:rPr>
        <w:t>（一）加强培训，提高相关人员工作水平</w:t>
      </w:r>
      <w:r>
        <w:rPr>
          <w:rStyle w:val="18"/>
          <w:rFonts w:hint="eastAsia" w:ascii="楷体" w:hAnsi="楷体" w:eastAsia="楷体"/>
          <w:spacing w:val="-4"/>
          <w:sz w:val="32"/>
          <w:szCs w:val="32"/>
        </w:rPr>
        <w:br w:type="textWrapping"/>
      </w:r>
      <w:r>
        <w:rPr>
          <w:rStyle w:val="18"/>
          <w:rFonts w:hint="eastAsia" w:ascii="仿宋_GB2312" w:hAnsi="仿宋_GB2312" w:eastAsia="仿宋_GB2312" w:cs="仿宋_GB2312"/>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spacing w:val="-4"/>
          <w:sz w:val="32"/>
          <w:szCs w:val="32"/>
        </w:rPr>
        <w:t>（二）扎实推进档案规范化建设，提升档案管理水平</w:t>
      </w:r>
      <w:r>
        <w:rPr>
          <w:rStyle w:val="18"/>
          <w:rFonts w:hint="eastAsia" w:ascii="楷体" w:hAnsi="楷体" w:eastAsia="楷体"/>
          <w:spacing w:val="-4"/>
          <w:sz w:val="32"/>
          <w:szCs w:val="32"/>
        </w:rPr>
        <w:br w:type="textWrapping"/>
      </w:r>
      <w:r>
        <w:rPr>
          <w:rStyle w:val="18"/>
          <w:rFonts w:hint="eastAsia" w:ascii="仿宋_GB2312" w:hAnsi="仿宋_GB2312" w:eastAsia="仿宋_GB2312" w:cs="仿宋_GB2312"/>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spacing w:val="-4"/>
          <w:sz w:val="32"/>
          <w:szCs w:val="32"/>
        </w:rPr>
        <w:t>（三）高度重视，加强领导</w:t>
      </w:r>
      <w:r>
        <w:rPr>
          <w:rStyle w:val="18"/>
          <w:rFonts w:hint="eastAsia" w:ascii="楷体" w:hAnsi="楷体" w:eastAsia="楷体"/>
          <w:spacing w:val="-4"/>
          <w:sz w:val="32"/>
          <w:szCs w:val="32"/>
        </w:rPr>
        <w:br w:type="textWrapping"/>
      </w:r>
      <w:r>
        <w:rPr>
          <w:rStyle w:val="18"/>
          <w:rFonts w:hint="eastAsia" w:ascii="仿宋_GB2312" w:hAnsi="仿宋_GB2312" w:eastAsia="仿宋_GB2312" w:cs="仿宋_GB2312"/>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13581FB4">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148ED3B">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bCs w:val="0"/>
          <w:spacing w:val="-4"/>
          <w:sz w:val="32"/>
          <w:szCs w:val="32"/>
        </w:rPr>
        <w:t xml:space="preserve"> “无其他说明内容”。</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DF57933">
        <w:pPr>
          <w:pStyle w:val="12"/>
          <w:jc w:val="center"/>
        </w:pPr>
        <w:r>
          <w:fldChar w:fldCharType="begin"/>
        </w:r>
        <w:r>
          <w:instrText xml:space="preserve">PAGE   \* MERGEFORMAT</w:instrText>
        </w:r>
        <w:r>
          <w:fldChar w:fldCharType="separate"/>
        </w:r>
        <w:r>
          <w:rPr>
            <w:lang w:val="zh-CN"/>
          </w:rPr>
          <w:t>1</w:t>
        </w:r>
        <w:r>
          <w:fldChar w:fldCharType="end"/>
        </w:r>
      </w:p>
    </w:sdtContent>
  </w:sdt>
  <w:p w14:paraId="44BCBFD6">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FB3E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C44675"/>
    <w:rsid w:val="35AF1BCF"/>
    <w:rsid w:val="36B82B23"/>
    <w:rsid w:val="3B5B5607"/>
    <w:rsid w:val="3CE21B3C"/>
    <w:rsid w:val="4D2606A1"/>
    <w:rsid w:val="4F8A611E"/>
    <w:rsid w:val="51830480"/>
    <w:rsid w:val="51EB6428"/>
    <w:rsid w:val="53A616BE"/>
    <w:rsid w:val="54662BFB"/>
    <w:rsid w:val="603A5BC7"/>
    <w:rsid w:val="62051CA5"/>
    <w:rsid w:val="6772621F"/>
    <w:rsid w:val="67D65A96"/>
    <w:rsid w:val="6A3A396B"/>
    <w:rsid w:val="6C33576A"/>
    <w:rsid w:val="6C3A69EF"/>
    <w:rsid w:val="6E413C07"/>
    <w:rsid w:val="7D0276C9"/>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6296</Words>
  <Characters>6520</Characters>
  <Lines>5</Lines>
  <Paragraphs>1</Paragraphs>
  <TotalTime>122</TotalTime>
  <ScaleCrop>false</ScaleCrop>
  <LinksUpToDate>false</LinksUpToDate>
  <CharactersWithSpaces>6573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2025-11-08T07:21:16Z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