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FCE6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E1067A5">
      <w:pPr>
        <w:spacing w:line="540" w:lineRule="exact"/>
        <w:jc w:val="center"/>
        <w:rPr>
          <w:rFonts w:ascii="华文中宋" w:hAnsi="华文中宋" w:eastAsia="华文中宋" w:cs="宋体"/>
          <w:b/>
          <w:kern w:val="0"/>
          <w:sz w:val="52"/>
          <w:szCs w:val="52"/>
        </w:rPr>
      </w:pPr>
    </w:p>
    <w:p w14:paraId="4FF3B1CE">
      <w:pPr>
        <w:spacing w:line="540" w:lineRule="exact"/>
        <w:jc w:val="center"/>
        <w:rPr>
          <w:rFonts w:ascii="华文中宋" w:hAnsi="华文中宋" w:eastAsia="华文中宋" w:cs="宋体"/>
          <w:b/>
          <w:kern w:val="0"/>
          <w:sz w:val="52"/>
          <w:szCs w:val="52"/>
        </w:rPr>
      </w:pPr>
    </w:p>
    <w:p w14:paraId="27B148DC">
      <w:pPr>
        <w:spacing w:line="540" w:lineRule="exact"/>
        <w:jc w:val="center"/>
        <w:rPr>
          <w:rFonts w:ascii="华文中宋" w:hAnsi="华文中宋" w:eastAsia="华文中宋" w:cs="宋体"/>
          <w:b/>
          <w:kern w:val="0"/>
          <w:sz w:val="52"/>
          <w:szCs w:val="52"/>
        </w:rPr>
      </w:pPr>
    </w:p>
    <w:p w14:paraId="65A5FC2B">
      <w:pPr>
        <w:spacing w:line="540" w:lineRule="exact"/>
        <w:jc w:val="center"/>
        <w:rPr>
          <w:rFonts w:hint="eastAsia" w:ascii="华文中宋" w:hAnsi="华文中宋" w:eastAsia="华文中宋" w:cs="宋体"/>
          <w:b/>
          <w:kern w:val="0"/>
          <w:sz w:val="52"/>
          <w:szCs w:val="52"/>
          <w:lang w:eastAsia="zh-CN"/>
        </w:rPr>
      </w:pPr>
    </w:p>
    <w:p w14:paraId="7E82A195">
      <w:pPr>
        <w:spacing w:line="540" w:lineRule="exact"/>
        <w:jc w:val="center"/>
        <w:rPr>
          <w:rFonts w:ascii="华文中宋" w:hAnsi="华文中宋" w:eastAsia="华文中宋" w:cs="宋体"/>
          <w:b/>
          <w:kern w:val="0"/>
          <w:sz w:val="52"/>
          <w:szCs w:val="52"/>
        </w:rPr>
      </w:pPr>
    </w:p>
    <w:p w14:paraId="4BFD4D3E">
      <w:pPr>
        <w:spacing w:line="540" w:lineRule="exact"/>
        <w:jc w:val="center"/>
        <w:rPr>
          <w:rFonts w:ascii="华文中宋" w:hAnsi="华文中宋" w:eastAsia="华文中宋" w:cs="宋体"/>
          <w:b/>
          <w:kern w:val="0"/>
          <w:sz w:val="52"/>
          <w:szCs w:val="52"/>
        </w:rPr>
      </w:pPr>
    </w:p>
    <w:p w14:paraId="5E74C124">
      <w:pPr>
        <w:spacing w:line="540" w:lineRule="exact"/>
        <w:jc w:val="center"/>
        <w:rPr>
          <w:rFonts w:hint="eastAsia" w:ascii="方正小标宋_GBK" w:hAnsi="华文中宋" w:eastAsia="方正小标宋_GBK" w:cs="宋体"/>
          <w:b/>
          <w:bCs w:val="0"/>
          <w:kern w:val="0"/>
          <w:sz w:val="60"/>
          <w:szCs w:val="60"/>
        </w:rPr>
      </w:pPr>
      <w:r>
        <w:rPr>
          <w:rFonts w:hint="eastAsia" w:ascii="方正小标宋_GBK" w:hAnsi="华文中宋" w:eastAsia="方正小标宋_GBK" w:cs="宋体"/>
          <w:b/>
          <w:bCs w:val="0"/>
          <w:kern w:val="0"/>
          <w:sz w:val="60"/>
          <w:szCs w:val="60"/>
        </w:rPr>
        <w:t>项目支出绩效自评报告</w:t>
      </w:r>
    </w:p>
    <w:p w14:paraId="6F57E82E">
      <w:pPr>
        <w:spacing w:line="540" w:lineRule="exact"/>
        <w:jc w:val="center"/>
        <w:rPr>
          <w:rFonts w:ascii="华文中宋" w:hAnsi="华文中宋" w:eastAsia="华文中宋" w:cs="宋体"/>
          <w:b/>
          <w:kern w:val="0"/>
          <w:sz w:val="52"/>
          <w:szCs w:val="52"/>
        </w:rPr>
      </w:pPr>
    </w:p>
    <w:p w14:paraId="18049DC2">
      <w:pPr>
        <w:spacing w:line="540" w:lineRule="exact"/>
        <w:jc w:val="center"/>
        <w:rPr>
          <w:rFonts w:hint="eastAsia" w:ascii="楷体" w:hAnsi="楷体" w:eastAsia="楷体" w:cs="楷体"/>
          <w:kern w:val="0"/>
          <w:sz w:val="32"/>
          <w:szCs w:val="32"/>
        </w:rPr>
      </w:pPr>
      <w:r>
        <w:rPr>
          <w:rFonts w:hint="eastAsia" w:ascii="楷体" w:hAnsi="楷体" w:eastAsia="楷体" w:cs="楷体"/>
          <w:kern w:val="0"/>
          <w:sz w:val="32"/>
          <w:szCs w:val="32"/>
        </w:rPr>
        <w:t>（   2024  年度）</w:t>
      </w:r>
    </w:p>
    <w:p w14:paraId="38ED27E8">
      <w:pPr>
        <w:spacing w:line="540" w:lineRule="exact"/>
        <w:jc w:val="center"/>
        <w:rPr>
          <w:rFonts w:hAnsi="宋体" w:eastAsia="仿宋_GB2312" w:cs="宋体"/>
          <w:kern w:val="0"/>
          <w:sz w:val="30"/>
          <w:szCs w:val="30"/>
        </w:rPr>
      </w:pPr>
    </w:p>
    <w:p w14:paraId="474CC440">
      <w:pPr>
        <w:spacing w:line="540" w:lineRule="exact"/>
        <w:jc w:val="center"/>
        <w:rPr>
          <w:rFonts w:hAnsi="宋体" w:eastAsia="仿宋_GB2312" w:cs="宋体"/>
          <w:kern w:val="0"/>
          <w:sz w:val="30"/>
          <w:szCs w:val="30"/>
        </w:rPr>
      </w:pPr>
    </w:p>
    <w:p w14:paraId="11E212CE">
      <w:pPr>
        <w:spacing w:line="540" w:lineRule="exact"/>
        <w:jc w:val="center"/>
        <w:rPr>
          <w:rFonts w:hAnsi="宋体" w:eastAsia="仿宋_GB2312" w:cs="宋体"/>
          <w:kern w:val="0"/>
          <w:sz w:val="30"/>
          <w:szCs w:val="30"/>
        </w:rPr>
      </w:pPr>
    </w:p>
    <w:p w14:paraId="62D67AFA">
      <w:pPr>
        <w:spacing w:line="540" w:lineRule="exact"/>
        <w:jc w:val="center"/>
        <w:rPr>
          <w:rFonts w:hAnsi="宋体" w:eastAsia="仿宋_GB2312" w:cs="宋体"/>
          <w:kern w:val="0"/>
          <w:sz w:val="30"/>
          <w:szCs w:val="30"/>
        </w:rPr>
      </w:pPr>
    </w:p>
    <w:p w14:paraId="36AAA377">
      <w:pPr>
        <w:spacing w:line="540" w:lineRule="exact"/>
        <w:jc w:val="center"/>
        <w:rPr>
          <w:rFonts w:hAnsi="宋体" w:eastAsia="仿宋_GB2312" w:cs="宋体"/>
          <w:kern w:val="0"/>
          <w:sz w:val="30"/>
          <w:szCs w:val="30"/>
        </w:rPr>
      </w:pPr>
    </w:p>
    <w:p w14:paraId="44AF152F">
      <w:pPr>
        <w:spacing w:line="540" w:lineRule="exact"/>
        <w:jc w:val="center"/>
        <w:rPr>
          <w:rFonts w:hAnsi="宋体" w:eastAsia="仿宋_GB2312" w:cs="宋体"/>
          <w:kern w:val="0"/>
          <w:sz w:val="30"/>
          <w:szCs w:val="30"/>
        </w:rPr>
      </w:pPr>
    </w:p>
    <w:p w14:paraId="51EC21F2">
      <w:pPr>
        <w:spacing w:line="540" w:lineRule="exact"/>
        <w:rPr>
          <w:rFonts w:hAnsi="宋体" w:eastAsia="仿宋_GB2312" w:cs="宋体"/>
          <w:kern w:val="0"/>
          <w:sz w:val="30"/>
          <w:szCs w:val="30"/>
        </w:rPr>
      </w:pPr>
    </w:p>
    <w:p w14:paraId="392C607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FEE0094">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6"/>
          <w:szCs w:val="36"/>
        </w:rPr>
        <w:t>巩固拓展成果</w:t>
      </w:r>
      <w:r>
        <w:rPr>
          <w:rStyle w:val="19"/>
          <w:rFonts w:hint="eastAsia" w:ascii="楷体" w:hAnsi="楷体" w:eastAsia="楷体"/>
          <w:b w:val="0"/>
          <w:bCs w:val="0"/>
          <w:spacing w:val="-4"/>
          <w:sz w:val="36"/>
          <w:szCs w:val="36"/>
          <w:lang w:eastAsia="zh-CN"/>
        </w:rPr>
        <w:t>改善民生</w:t>
      </w:r>
      <w:r>
        <w:rPr>
          <w:rStyle w:val="19"/>
          <w:rFonts w:hint="eastAsia" w:ascii="楷体" w:hAnsi="楷体" w:eastAsia="楷体"/>
          <w:b w:val="0"/>
          <w:bCs w:val="0"/>
          <w:spacing w:val="-4"/>
          <w:sz w:val="36"/>
          <w:szCs w:val="36"/>
        </w:rPr>
        <w:t>衔接支出—本级（前期费）</w:t>
      </w:r>
    </w:p>
    <w:p w14:paraId="7A5245BF">
      <w:pPr>
        <w:spacing w:line="540" w:lineRule="exact"/>
        <w:ind w:firstLine="567"/>
        <w:rPr>
          <w:rStyle w:val="19"/>
          <w:rFonts w:hint="eastAsia" w:ascii="楷体" w:hAnsi="楷体" w:eastAsia="楷体"/>
          <w:b w:val="0"/>
          <w:bCs w:val="0"/>
          <w:spacing w:val="-4"/>
          <w:sz w:val="36"/>
          <w:szCs w:val="36"/>
        </w:rPr>
      </w:pPr>
      <w:r>
        <w:rPr>
          <w:rFonts w:hint="eastAsia" w:hAnsi="宋体" w:eastAsia="仿宋_GB2312" w:cs="宋体"/>
          <w:kern w:val="0"/>
          <w:sz w:val="36"/>
          <w:szCs w:val="36"/>
        </w:rPr>
        <w:t xml:space="preserve">  实施单位（公章）：</w:t>
      </w:r>
      <w:r>
        <w:rPr>
          <w:rStyle w:val="19"/>
          <w:rFonts w:hint="eastAsia" w:ascii="楷体" w:hAnsi="楷体" w:eastAsia="楷体"/>
          <w:b w:val="0"/>
          <w:bCs w:val="0"/>
          <w:spacing w:val="-4"/>
          <w:sz w:val="36"/>
          <w:szCs w:val="36"/>
        </w:rPr>
        <w:t>哈密市伊州区</w:t>
      </w:r>
      <w:r>
        <w:rPr>
          <w:rStyle w:val="19"/>
          <w:rFonts w:hint="eastAsia" w:ascii="楷体" w:hAnsi="楷体" w:eastAsia="楷体"/>
          <w:b w:val="0"/>
          <w:bCs w:val="0"/>
          <w:spacing w:val="-4"/>
          <w:sz w:val="36"/>
          <w:szCs w:val="36"/>
          <w:lang w:eastAsia="zh-CN"/>
        </w:rPr>
        <w:t>改善民生</w:t>
      </w:r>
      <w:r>
        <w:rPr>
          <w:rStyle w:val="19"/>
          <w:rFonts w:hint="eastAsia" w:ascii="楷体" w:hAnsi="楷体" w:eastAsia="楷体"/>
          <w:b w:val="0"/>
          <w:bCs w:val="0"/>
          <w:spacing w:val="-4"/>
          <w:sz w:val="36"/>
          <w:szCs w:val="36"/>
        </w:rPr>
        <w:t>局</w:t>
      </w:r>
    </w:p>
    <w:p w14:paraId="33E3E66D">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主管部门（公章）：</w:t>
      </w:r>
      <w:r>
        <w:rPr>
          <w:rStyle w:val="19"/>
          <w:rFonts w:hint="eastAsia" w:ascii="楷体" w:hAnsi="楷体" w:eastAsia="楷体"/>
          <w:b w:val="0"/>
          <w:bCs w:val="0"/>
          <w:spacing w:val="-4"/>
          <w:sz w:val="36"/>
          <w:szCs w:val="36"/>
        </w:rPr>
        <w:t>哈密市伊州区</w:t>
      </w:r>
      <w:r>
        <w:rPr>
          <w:rStyle w:val="19"/>
          <w:rFonts w:hint="eastAsia" w:ascii="楷体" w:hAnsi="楷体" w:eastAsia="楷体"/>
          <w:b w:val="0"/>
          <w:bCs w:val="0"/>
          <w:spacing w:val="-4"/>
          <w:sz w:val="36"/>
          <w:szCs w:val="36"/>
          <w:lang w:eastAsia="zh-CN"/>
        </w:rPr>
        <w:t>改善民生</w:t>
      </w:r>
      <w:r>
        <w:rPr>
          <w:rStyle w:val="19"/>
          <w:rFonts w:hint="eastAsia" w:ascii="楷体" w:hAnsi="楷体" w:eastAsia="楷体"/>
          <w:b w:val="0"/>
          <w:bCs w:val="0"/>
          <w:spacing w:val="-4"/>
          <w:sz w:val="36"/>
          <w:szCs w:val="36"/>
        </w:rPr>
        <w:t>局</w:t>
      </w:r>
    </w:p>
    <w:p w14:paraId="79365233">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项目负责人（签章）：</w:t>
      </w:r>
      <w:r>
        <w:rPr>
          <w:rStyle w:val="19"/>
          <w:rFonts w:hint="eastAsia" w:ascii="楷体" w:hAnsi="楷体" w:eastAsia="楷体"/>
          <w:b w:val="0"/>
          <w:bCs w:val="0"/>
          <w:spacing w:val="-4"/>
          <w:sz w:val="36"/>
          <w:szCs w:val="36"/>
        </w:rPr>
        <w:t>吾米提·托来西</w:t>
      </w:r>
    </w:p>
    <w:p w14:paraId="3DFB7087">
      <w:pPr>
        <w:spacing w:line="540" w:lineRule="exact"/>
        <w:ind w:left="273" w:firstLine="567"/>
        <w:rPr>
          <w:rStyle w:val="19"/>
          <w:rFonts w:ascii="黑体" w:hAnsi="黑体" w:eastAsia="黑体"/>
          <w:b w:val="0"/>
          <w:spacing w:val="-4"/>
          <w:sz w:val="32"/>
          <w:szCs w:val="32"/>
        </w:rPr>
      </w:pPr>
      <w:r>
        <w:rPr>
          <w:rFonts w:hint="eastAsia" w:hAnsi="宋体" w:eastAsia="仿宋_GB2312" w:cs="宋体"/>
          <w:kern w:val="0"/>
          <w:sz w:val="36"/>
          <w:szCs w:val="36"/>
        </w:rPr>
        <w:t>填报时间：</w:t>
      </w:r>
      <w:r>
        <w:rPr>
          <w:rStyle w:val="19"/>
          <w:rFonts w:hint="eastAsia" w:ascii="楷体" w:hAnsi="楷体" w:eastAsia="楷体"/>
          <w:b w:val="0"/>
          <w:bCs w:val="0"/>
          <w:spacing w:val="-4"/>
          <w:sz w:val="36"/>
          <w:szCs w:val="36"/>
        </w:rPr>
        <w:t>2025年05月20日</w:t>
      </w:r>
    </w:p>
    <w:p w14:paraId="0760602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5A0130E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70994C1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56D897A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为贯彻落实党中央、国务院关于实现巩固拓展脱贫攻坚成果同</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有效衔接的决策部署，进一步推进</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补助资金项目绩效管理工作，根据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文件精神及财政衔接推进</w:t>
      </w:r>
      <w:r>
        <w:rPr>
          <w:rStyle w:val="19"/>
          <w:rFonts w:hint="eastAsia" w:ascii="楷体" w:hAnsi="楷体" w:eastAsia="楷体"/>
          <w:b w:val="0"/>
          <w:bCs w:val="0"/>
          <w:spacing w:val="-4"/>
          <w:sz w:val="32"/>
          <w:szCs w:val="32"/>
          <w:lang w:val="en-US" w:eastAsia="zh-CN"/>
        </w:rPr>
        <w:t>改善民生</w:t>
      </w:r>
      <w:r>
        <w:rPr>
          <w:rStyle w:val="19"/>
          <w:rFonts w:hint="eastAsia" w:ascii="楷体" w:hAnsi="楷体" w:eastAsia="楷体"/>
          <w:b w:val="0"/>
          <w:bCs w:val="0"/>
          <w:spacing w:val="-4"/>
          <w:sz w:val="32"/>
          <w:szCs w:val="32"/>
        </w:rPr>
        <w:t>补助资金管理使用相关规定等文件，确保衔接资金项目实施精准、项目资金使用规范。根据实际，确保该项目的顺利实施。</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2.主要内容及实施情况</w:t>
      </w:r>
    </w:p>
    <w:p w14:paraId="5DBA035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在巩固拓展成果同</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衔接支出—本级（前期费）项目中，前期调研与咨询、监理、招标、设计等工作内容紧密关联，共同为项目的顺利实施筑牢根基。</w:t>
      </w:r>
    </w:p>
    <w:p w14:paraId="184718D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以乡村产业发展、基础设施建设、公共服务提升等项目为核心，通过调研明确项目实施的必要性与可行性。邀请农业经济、工程建设、乡村规划等领域的咨询公司参与调研，凭借其专业知识和经验，对项目进行全面分析评估。咨询机构通过收集数据、实地考察、案例研究等方式，为项目提供专业建议，如项目规模、技术路线、运营模式等，形成可行性研究报告和项目建议书 ，为后续决策提供科学依据。将调研获取的基础数据、需求信息及咨询成果传递给设计单位，设计单位在初步设计完成后，与调研团队、咨询机构及当地政府、村民代表进行多轮沟通，根据各方反馈意见对设计方案进行优化调整。</w:t>
      </w:r>
    </w:p>
    <w:p w14:paraId="558854C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前期调研过程中，监理单位提前介入，对调研工作的规范性、数据准确性进行监督，在项目设计阶段，监理单位对设计文件进行审查，从工程质量、安全、成本控制等角度提出意见。检查设计是否符合相关规范和技术标准，是否满足项目功能需求，避免设计缺陷导致后期施工变更和成本增加。</w:t>
      </w:r>
    </w:p>
    <w:p w14:paraId="78F87D6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调研确定的项目建设内容、规模及设计方案，编制详细的招标文件。明确招标范围、技术要求、质量标准、工期要求、评标办法等关键内容。通过公开招标，吸引符合资质要求的施工单位、供应商参与竞争。利用调研中对市场的了解，评估投标单位的实力、信誉、过往业绩等，确保选择具有丰富乡村项目建设经验、技术能力强的合作方，保障项目顺利实施。</w:t>
      </w:r>
    </w:p>
    <w:p w14:paraId="57813E3A">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2024年计划拨付1000万元，项目于2024年批复预算资金291.44万元，截至2024年12月31日，项目用于前期调研工作，</w:t>
      </w:r>
      <w:r>
        <w:rPr>
          <w:rStyle w:val="19"/>
          <w:rFonts w:hint="eastAsia" w:ascii="楷体" w:hAnsi="楷体" w:eastAsia="楷体"/>
          <w:b w:val="0"/>
          <w:bCs w:val="0"/>
          <w:spacing w:val="-4"/>
          <w:sz w:val="32"/>
          <w:szCs w:val="32"/>
          <w:lang w:val="en-US" w:eastAsia="zh-CN"/>
        </w:rPr>
        <w:t>设计</w:t>
      </w:r>
      <w:r>
        <w:rPr>
          <w:rStyle w:val="19"/>
          <w:rFonts w:hint="eastAsia" w:ascii="楷体" w:hAnsi="楷体" w:eastAsia="楷体"/>
          <w:b w:val="0"/>
          <w:bCs w:val="0"/>
          <w:spacing w:val="-4"/>
          <w:sz w:val="32"/>
          <w:szCs w:val="32"/>
        </w:rPr>
        <w:t>咨询、监理、招标、设计等工作内容，根据调研确定的项目建设内容、规模及设计方案，编制详细的招标文件。明确招标范围、技术要求、质量标准、工期要求、评标办法等关键内容。通过公开招标，吸引符合资质要求的施工单位、供应商参与竞争。利用调研中对市场的了解，评估投标单位的实力、信誉、过往业绩等，确保选择具有丰富乡村项目建设经验、技术能力强的合作方，保障项目顺利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项目资金支付290.39万元，资金到位率100%，预算执行率为99.6</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%。通过本项目的实施有效保障了项目实施合理合规。</w:t>
      </w:r>
    </w:p>
    <w:p w14:paraId="5A9599C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5242E4C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本项目总体目标为：2024年本项目计划投入291.44万元，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通过对项目开展前期调研工作，</w:t>
      </w:r>
      <w:r>
        <w:rPr>
          <w:rStyle w:val="19"/>
          <w:rFonts w:hint="eastAsia" w:ascii="楷体" w:hAnsi="楷体" w:eastAsia="楷体"/>
          <w:b w:val="0"/>
          <w:bCs w:val="0"/>
          <w:spacing w:val="-4"/>
          <w:sz w:val="32"/>
          <w:szCs w:val="32"/>
          <w:lang w:val="en-US" w:eastAsia="zh-CN"/>
        </w:rPr>
        <w:t>设计</w:t>
      </w:r>
      <w:r>
        <w:rPr>
          <w:rStyle w:val="19"/>
          <w:rFonts w:hint="eastAsia" w:ascii="楷体" w:hAnsi="楷体" w:eastAsia="楷体"/>
          <w:b w:val="0"/>
          <w:bCs w:val="0"/>
          <w:spacing w:val="-4"/>
          <w:sz w:val="32"/>
          <w:szCs w:val="32"/>
        </w:rPr>
        <w:t>咨询、监理、招标、设计等工作内容，保障项目后期工作顺利实施，实施内容合理合规。</w:t>
      </w:r>
    </w:p>
    <w:p w14:paraId="13BB4D9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数量指标：涉及单位数量不低于10个。</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质量指标：聘用机构资质达标率达到100%。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时效指标：前期工作完成及时率达到90%。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经济成本指标：项目前期费用不高于1000万元。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社会效益指标：项目设计方案使用率不低于90%；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社会效益指标：保障项目实施合理合规。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满意度指标：项目实施单位满意度不低于90%。</w:t>
      </w:r>
    </w:p>
    <w:p w14:paraId="1F12DF6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0B7B53C3">
      <w:pPr>
        <w:spacing w:line="540" w:lineRule="exact"/>
        <w:ind w:firstLine="567" w:firstLineChars="181"/>
        <w:rPr>
          <w:rStyle w:val="19"/>
          <w:rFonts w:hint="eastAsia" w:ascii="楷体" w:hAnsi="楷体" w:eastAsia="楷体"/>
          <w:b w:val="0"/>
          <w:bCs w:val="0"/>
          <w:spacing w:val="-4"/>
          <w:sz w:val="32"/>
          <w:szCs w:val="32"/>
        </w:rPr>
      </w:pPr>
      <w:r>
        <w:rPr>
          <w:rStyle w:val="19"/>
          <w:rFonts w:hint="eastAsia" w:ascii="楷体" w:hAnsi="楷体" w:eastAsia="楷体"/>
          <w:spacing w:val="-4"/>
          <w:sz w:val="32"/>
          <w:szCs w:val="32"/>
        </w:rPr>
        <w:t>（一）绩效评价目的、对象和范围</w:t>
      </w:r>
    </w:p>
    <w:p w14:paraId="7A27B8E3">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文件精神，对巩固拓展成果同</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衔接支出—本级（前期费）项目绩效目标实现情况进行自评。</w:t>
      </w:r>
    </w:p>
    <w:p w14:paraId="014B9FD9">
      <w:pPr>
        <w:spacing w:line="540" w:lineRule="exact"/>
        <w:ind w:firstLine="564" w:firstLineChars="181"/>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43DDB12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4FDBDD6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5D37288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p>
    <w:p w14:paraId="4F01CDA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p>
    <w:p w14:paraId="1D73C50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项目立项：立项依据充分性，权重2分；立项程序规范性，权重2分。</w:t>
      </w:r>
    </w:p>
    <w:p w14:paraId="116D631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绩效目标：绩效目标明确性，权重4分；绩效目标合理性，权重4分。</w:t>
      </w:r>
    </w:p>
    <w:p w14:paraId="5935EF5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p>
    <w:p w14:paraId="0BA291D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资金管理：资金到位率，权重6分；预算执行率，权重6分。</w:t>
      </w:r>
    </w:p>
    <w:p w14:paraId="728F8FC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数量指标：涉及单位数量，权重6分。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质量指标：聘用机构资质达标率，权重5分。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时效指标：前期工作完成及时率，权重5分。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经济成本指标：项目前期费用，权重6分。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社会效益指标：项目设计方案使用率，权重15分；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社会效益指标：保障项目实施合理合规，权重15分。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满意度指标：项目实施单位满意度，权重8分。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3.评价方法</w:t>
      </w:r>
    </w:p>
    <w:p w14:paraId="1348E6A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巩固拓展成果同</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衔接支出—本级（前期费）项目绩效评价主要通过项目单位自评、主管部门监督、财政部门参评的方式开展绩效评价工作。</w:t>
      </w:r>
    </w:p>
    <w:p w14:paraId="0AF0D73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p>
    <w:p w14:paraId="4D75F53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437C2E1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002DA68B">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27D3A0E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6F5BB44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（1）项目全过程资料档案复核</w:t>
      </w:r>
    </w:p>
    <w:p w14:paraId="2CACC9E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p>
    <w:p w14:paraId="3AFF5FA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p>
    <w:p w14:paraId="62EACBB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发放调查问卷开展项目实施单位满意度调查工作。</w:t>
      </w:r>
    </w:p>
    <w:p w14:paraId="6F3826BB">
      <w:pPr>
        <w:numPr>
          <w:ilvl w:val="0"/>
          <w:numId w:val="1"/>
        </w:num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撰写报告情况</w:t>
      </w:r>
    </w:p>
    <w:p w14:paraId="2805B16A">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57AD49F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9D5C86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75.81</w:t>
      </w:r>
      <w:r>
        <w:rPr>
          <w:rStyle w:val="19"/>
          <w:rFonts w:hint="eastAsia" w:ascii="楷体" w:hAnsi="楷体" w:eastAsia="楷体"/>
          <w:b w:val="0"/>
          <w:bCs w:val="0"/>
          <w:spacing w:val="-4"/>
          <w:sz w:val="32"/>
          <w:szCs w:val="32"/>
        </w:rPr>
        <w:t>分，自评结果为“优”，其中项目决策得分17分，项目过程得分23分，项目产出得分22分，项目效益得分30分，项目满意度得分8分。</w:t>
      </w:r>
    </w:p>
    <w:p w14:paraId="429B6F5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综合评价结论：项目决策方面，项目立项依据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文件精神及财政衔接推进</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补助资金管理使用相关规定等文件要求进行立项，符合相关规定要求，绩效目标设置明确，符合部门履职工作需求；项目过程方面，预算执行情况良好，项目管理制度健全，制度执行有效；项目产出方面，项目开展</w:t>
      </w:r>
      <w:r>
        <w:rPr>
          <w:rStyle w:val="19"/>
          <w:rFonts w:hint="eastAsia" w:ascii="楷体" w:hAnsi="楷体" w:eastAsia="楷体"/>
          <w:b w:val="0"/>
          <w:bCs w:val="0"/>
          <w:spacing w:val="-4"/>
          <w:sz w:val="32"/>
          <w:szCs w:val="32"/>
          <w:lang w:val="en-US" w:eastAsia="zh-CN"/>
        </w:rPr>
        <w:t>前</w:t>
      </w:r>
      <w:r>
        <w:rPr>
          <w:rStyle w:val="19"/>
          <w:rFonts w:hint="eastAsia" w:ascii="楷体" w:hAnsi="楷体" w:eastAsia="楷体"/>
          <w:b w:val="0"/>
          <w:bCs w:val="0"/>
          <w:spacing w:val="-4"/>
          <w:sz w:val="32"/>
          <w:szCs w:val="32"/>
        </w:rPr>
        <w:t>期调研工作，资金拨付合规，时限及时，成本控制符合预期标准项目；效益方面，部门项目实施，测算过程部分达成年度指标并具有一定的效果建设指标清晰；项目满意度方面，社会公众或服务对象对项目实施效果的满意度调查结果好。</w:t>
      </w:r>
    </w:p>
    <w:p w14:paraId="06B3F1D3">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1026A4D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09872FF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693AFE61">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）立项依据充分性，满分2分，得分2分，得分率100%。</w:t>
      </w:r>
    </w:p>
    <w:p w14:paraId="398B210A">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根据项目立项依据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文件精神及财政衔接推进</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补助资金管理使用相关规定等文件，项目立项是否符合国家法律法规、国民经济</w:t>
      </w:r>
      <w:r>
        <w:rPr>
          <w:rStyle w:val="19"/>
          <w:rFonts w:hint="eastAsia" w:ascii="楷体" w:hAnsi="楷体" w:eastAsia="楷体"/>
          <w:b w:val="0"/>
          <w:bCs w:val="0"/>
          <w:spacing w:val="-4"/>
          <w:sz w:val="32"/>
          <w:szCs w:val="32"/>
          <w:lang w:val="en-US" w:eastAsia="zh-CN"/>
        </w:rPr>
        <w:t>和社会</w:t>
      </w:r>
      <w:r>
        <w:rPr>
          <w:rStyle w:val="19"/>
          <w:rFonts w:hint="eastAsia" w:ascii="楷体" w:hAnsi="楷体" w:eastAsia="楷体"/>
          <w:b w:val="0"/>
          <w:bCs w:val="0"/>
          <w:spacing w:val="-4"/>
          <w:sz w:val="32"/>
          <w:szCs w:val="32"/>
        </w:rPr>
        <w:t>发展规划和相关政策，符合行业发展规划和政策要求，且属于部门履职所需属于公共财政支持范围，符合市、区两级政府事权支出责任划分原则。项目不存在与相关部门同类项目或部门相关项目存在政策交叉重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（2）立项程序规范性，满分2分，得分2分，得分率100%。</w:t>
      </w:r>
    </w:p>
    <w:p w14:paraId="55A8F964">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p>
    <w:p w14:paraId="209B7D3C">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文件精神及财政衔接推进</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补助资金管理使用相关规定等文件要求</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为保障项目后期工作顺利实施，实施内容合理合规。通过清晰、可衡量的指标值予以体现；与项目目标任务数或计划数相对应。</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（2）绩效目标合理性，满分4分，得分4分，得分率100%。</w:t>
      </w:r>
    </w:p>
    <w:p w14:paraId="57C2772C">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文件精神及财政衔接推进</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补助资金管理使用相关规定等文件要求</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进行项目绩效目标与实际工作内容是否具有相关性；项目预期产出效益和效果是否符合正常的业绩水平；与预算确定的项目投资额</w:t>
      </w:r>
      <w:r>
        <w:rPr>
          <w:rStyle w:val="19"/>
          <w:rFonts w:hint="eastAsia" w:ascii="楷体" w:hAnsi="楷体" w:eastAsia="楷体"/>
          <w:b w:val="0"/>
          <w:bCs w:val="0"/>
          <w:spacing w:val="-4"/>
          <w:sz w:val="32"/>
          <w:szCs w:val="32"/>
          <w:lang w:val="en-US" w:eastAsia="zh-CN"/>
        </w:rPr>
        <w:t>和</w:t>
      </w:r>
      <w:r>
        <w:rPr>
          <w:rStyle w:val="19"/>
          <w:rFonts w:hint="eastAsia" w:ascii="楷体" w:hAnsi="楷体" w:eastAsia="楷体"/>
          <w:b w:val="0"/>
          <w:bCs w:val="0"/>
          <w:spacing w:val="-4"/>
          <w:sz w:val="32"/>
          <w:szCs w:val="32"/>
        </w:rPr>
        <w:t>资金量相匹配。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（1）测算标准合理性，满分3分，得分3分，得分率100%。</w:t>
      </w:r>
    </w:p>
    <w:p w14:paraId="16E05F0F">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文件精神及财政衔接推进</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补助资金管理使用相关规定等文件要求</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进行项目绩效目标与实际工作内容的相关性；下达巩固拓展脱贫攻坚成果同</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衔接支出—本级（前期费）291.44万元。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（2）测算过程细化度，满分2分，得分2分，得分率100%。</w:t>
      </w:r>
    </w:p>
    <w:p w14:paraId="008CDD7F">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本项目不涉及人力、资本性支出等项目内容，只涉及商品服务支出。</w:t>
      </w:r>
      <w:r>
        <w:rPr>
          <w:rStyle w:val="19"/>
          <w:rFonts w:hint="eastAsia" w:ascii="楷体" w:hAnsi="楷体" w:eastAsia="楷体"/>
          <w:b w:val="0"/>
          <w:bCs w:val="0"/>
          <w:spacing w:val="-4"/>
          <w:sz w:val="32"/>
          <w:szCs w:val="32"/>
          <w:lang w:eastAsia="zh-CN"/>
        </w:rPr>
        <w:tab/>
      </w:r>
    </w:p>
    <w:p w14:paraId="7ADEE5FC">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4DD29C5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3BA4129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（1）资金到位率，满分6分，得分6分，得分率100%。</w:t>
      </w:r>
    </w:p>
    <w:p w14:paraId="5FC8407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文件精神及财政衔接推进</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补助资金管理使用相关规定等文件要求，预算批复1000万元，年中预算调整为291.44万元，实际到位资金291.44万元，资金到位率100%。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（2）预算执行率，满分6分，得分6分，得分率100%。</w:t>
      </w:r>
    </w:p>
    <w:p w14:paraId="172BA0F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伊州区财政全年实际下达“巩固拓展成果同</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衔接支出—本级（前期费）”预算资金291.44万元，截止2024年12月底实际支付290.39万元，项目预算执行率为99.6</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（2）管理制度健全性，满分4分，得分4分，得分率100%。</w:t>
      </w:r>
    </w:p>
    <w:p w14:paraId="7236385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建立本单位采购、轮岗、固定资产、绩效管理、合同等制度，但本单位业务管理制度还不够健全。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（3）制度执行有效性，满分3分，得分3分，得分率100%。</w:t>
      </w:r>
    </w:p>
    <w:p w14:paraId="5A42FFA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本单位聘请了专业的法律顾问，在合同签订、项目验收等方面能进行专业指导。</w:t>
      </w:r>
    </w:p>
    <w:p w14:paraId="07A71CF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40CC27D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1C269B4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（1）涉及单位数量，满分6分，得分6分，得分率100%。</w:t>
      </w:r>
    </w:p>
    <w:p w14:paraId="567ABCF4">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根据项目工作计划要求，涉及单位数量不低于10个，依据工作总结显示，实际完成涉及单位数量为16个，符合计划要求。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p>
    <w:p w14:paraId="793519DE">
      <w:pPr>
        <w:numPr>
          <w:ilvl w:val="0"/>
          <w:numId w:val="2"/>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聘用机构资质达标率，满分5分，得分5分，得分率100%。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根据项目工作计划，要求聘用机构资质达标率为100%，通过项目合同显示，聘用机构资质达标率为100%，符合计划要求。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前期工作完成及时率，满分5分，得分5分，得分率100%。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本年度伊州区开</w:t>
      </w:r>
      <w:r>
        <w:rPr>
          <w:rStyle w:val="19"/>
          <w:rFonts w:hint="eastAsia" w:ascii="楷体" w:hAnsi="楷体" w:eastAsia="楷体"/>
          <w:b w:val="0"/>
          <w:bCs w:val="0"/>
          <w:spacing w:val="-4"/>
          <w:sz w:val="32"/>
          <w:szCs w:val="32"/>
          <w:lang w:val="en-US" w:eastAsia="zh-CN"/>
        </w:rPr>
        <w:t>发</w:t>
      </w:r>
      <w:r>
        <w:rPr>
          <w:rStyle w:val="19"/>
          <w:rFonts w:hint="eastAsia" w:ascii="楷体" w:hAnsi="楷体" w:eastAsia="楷体"/>
          <w:b w:val="0"/>
          <w:bCs w:val="0"/>
          <w:spacing w:val="-4"/>
          <w:sz w:val="32"/>
          <w:szCs w:val="32"/>
        </w:rPr>
        <w:t>公室根据区政府的统一安排进行拨付；项目全部开展，实施完成。前期工作完成及时率为90%。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项目前期费用，满分6分，得分6分，得分率100%。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伊州区财政全年实际下达“巩固拓展成果同</w:t>
      </w:r>
      <w:r>
        <w:rPr>
          <w:rStyle w:val="19"/>
          <w:rFonts w:hint="eastAsia" w:ascii="楷体" w:hAnsi="楷体" w:eastAsia="楷体"/>
          <w:b w:val="0"/>
          <w:bCs w:val="0"/>
          <w:spacing w:val="-4"/>
          <w:sz w:val="32"/>
          <w:szCs w:val="32"/>
          <w:lang w:eastAsia="zh-CN"/>
        </w:rPr>
        <w:t>改善民生</w:t>
      </w:r>
      <w:r>
        <w:rPr>
          <w:rStyle w:val="19"/>
          <w:rFonts w:hint="eastAsia" w:ascii="楷体" w:hAnsi="楷体" w:eastAsia="楷体"/>
          <w:b w:val="0"/>
          <w:bCs w:val="0"/>
          <w:spacing w:val="-4"/>
          <w:sz w:val="32"/>
          <w:szCs w:val="32"/>
        </w:rPr>
        <w:t>衔接支出—本级（前期费）”项目资金291.44万元，2024年实际支付290.39万元，项目预算资金能按照计划执行，预算执行率为99.6</w:t>
      </w:r>
      <w:r>
        <w:rPr>
          <w:rStyle w:val="19"/>
          <w:rFonts w:hint="eastAsia" w:ascii="楷体" w:hAnsi="楷体" w:eastAsia="楷体"/>
          <w:b w:val="0"/>
          <w:bCs w:val="0"/>
          <w:spacing w:val="-4"/>
          <w:sz w:val="32"/>
          <w:szCs w:val="32"/>
          <w:lang w:val="en-US" w:eastAsia="zh-CN"/>
        </w:rPr>
        <w:t>0</w:t>
      </w:r>
      <w:r>
        <w:rPr>
          <w:rStyle w:val="19"/>
          <w:rFonts w:hint="eastAsia" w:ascii="楷体" w:hAnsi="楷体" w:eastAsia="楷体"/>
          <w:b w:val="0"/>
          <w:bCs w:val="0"/>
          <w:spacing w:val="-4"/>
          <w:sz w:val="32"/>
          <w:szCs w:val="32"/>
        </w:rPr>
        <w:t>%。</w:t>
      </w:r>
    </w:p>
    <w:p w14:paraId="443B44E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0B247E98">
      <w:pPr>
        <w:spacing w:line="540" w:lineRule="exact"/>
        <w:ind w:firstLine="936" w:firstLineChars="3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社会效益指标</w:t>
      </w:r>
    </w:p>
    <w:p w14:paraId="5D48BAFF">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（1）项目涉及方案使用率，满分15分，得分15分，得分率100%。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要求项目涉及方案使用率应达到90%，根据项目总结显示，项目</w:t>
      </w:r>
      <w:r>
        <w:rPr>
          <w:rStyle w:val="19"/>
          <w:rFonts w:hint="eastAsia" w:ascii="楷体" w:hAnsi="楷体" w:eastAsia="楷体"/>
          <w:b w:val="0"/>
          <w:bCs w:val="0"/>
          <w:spacing w:val="-4"/>
          <w:sz w:val="32"/>
          <w:szCs w:val="32"/>
          <w:lang w:val="en-US" w:eastAsia="zh-CN"/>
        </w:rPr>
        <w:t>设计方</w:t>
      </w:r>
      <w:r>
        <w:rPr>
          <w:rStyle w:val="19"/>
          <w:rFonts w:hint="eastAsia" w:ascii="楷体" w:hAnsi="楷体" w:eastAsia="楷体"/>
          <w:b w:val="0"/>
          <w:bCs w:val="0"/>
          <w:spacing w:val="-4"/>
          <w:sz w:val="32"/>
          <w:szCs w:val="32"/>
        </w:rPr>
        <w:t>案使用率达到了90%。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（2）保障项目实施合理合规，满分15分，得分15分，得分率100%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相关文件要求</w:t>
      </w:r>
      <w:r>
        <w:rPr>
          <w:rStyle w:val="19"/>
          <w:rFonts w:hint="eastAsia" w:ascii="楷体" w:hAnsi="楷体" w:eastAsia="楷体"/>
          <w:b w:val="0"/>
          <w:bCs w:val="0"/>
          <w:spacing w:val="-4"/>
          <w:sz w:val="32"/>
          <w:szCs w:val="32"/>
        </w:rPr>
        <w:t>，利用调研中对市场的了解，评估投标单位的实力、信誉、过往业绩等，确保选择具有丰富乡村项目建设经验、技术能力强的合作方，保障项目顺利实施，保障项目实施合理合规。</w:t>
      </w:r>
    </w:p>
    <w:p w14:paraId="1130512E">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5DD3794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项目实施单位满意度，满分8分，得分8分，得分率100%。</w:t>
      </w:r>
    </w:p>
    <w:p w14:paraId="23A7DCBE">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本年度伊州区</w:t>
      </w:r>
      <w:r>
        <w:rPr>
          <w:rStyle w:val="19"/>
          <w:rFonts w:hint="eastAsia" w:ascii="楷体" w:hAnsi="楷体" w:eastAsia="楷体"/>
          <w:b w:val="0"/>
          <w:bCs w:val="0"/>
          <w:spacing w:val="-4"/>
          <w:sz w:val="32"/>
          <w:szCs w:val="32"/>
          <w:lang w:val="en-US" w:eastAsia="zh-CN"/>
        </w:rPr>
        <w:t>开发</w:t>
      </w:r>
      <w:r>
        <w:rPr>
          <w:rStyle w:val="19"/>
          <w:rFonts w:hint="eastAsia" w:ascii="楷体" w:hAnsi="楷体" w:eastAsia="楷体"/>
          <w:b w:val="0"/>
          <w:bCs w:val="0"/>
          <w:spacing w:val="-4"/>
          <w:sz w:val="32"/>
          <w:szCs w:val="32"/>
        </w:rPr>
        <w:t>办公室对项目实施单位发放出10份调查表，结果都获得了一致的好评。</w:t>
      </w:r>
    </w:p>
    <w:p w14:paraId="0A6AE4F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03C01EC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638FAB0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年初加强绩效执行管理，做好事前审批、事中管理和事后监督工作，不断加快绩效执行进度，推动绩效执行按照资金计划有序进行。强化支出绩效约束，进一步提高年初绩效编制的科学性和准确性，完善绩效执行动态约束机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2、加强财政绩效资金管理，统筹协调推进项目执行，提高财政资金效益和效果进一步细化收支项目，按项目、按时间、按进度支出，提高资金的使用</w:t>
      </w:r>
      <w:r>
        <w:rPr>
          <w:rStyle w:val="19"/>
          <w:rFonts w:hint="eastAsia" w:ascii="楷体" w:hAnsi="楷体" w:eastAsia="楷体"/>
          <w:b w:val="0"/>
          <w:bCs w:val="0"/>
          <w:spacing w:val="-4"/>
          <w:sz w:val="32"/>
          <w:szCs w:val="32"/>
          <w:lang w:val="en-US" w:eastAsia="zh-CN"/>
        </w:rPr>
        <w:t>效率</w:t>
      </w:r>
      <w:r>
        <w:rPr>
          <w:rStyle w:val="19"/>
          <w:rFonts w:hint="eastAsia" w:ascii="楷体" w:hAnsi="楷体" w:eastAsia="楷体"/>
          <w:b w:val="0"/>
          <w:bCs w:val="0"/>
          <w:spacing w:val="-4"/>
          <w:sz w:val="32"/>
          <w:szCs w:val="32"/>
        </w:rPr>
        <w:t>，尽量避免跨年下拨。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1.预算执行观念薄弱。</w:t>
      </w:r>
    </w:p>
    <w:p w14:paraId="2B638CE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对预算执行缺乏正确认识，对预算执行的重要性的认识还不到位，预算执行意识不强，对预算执行知识缺乏基本了解，把预算执行看成是财务部门的事，对预算执行缺乏积极性、主动性。</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2.工作主动性、前瞻性不足。</w:t>
      </w:r>
    </w:p>
    <w:p w14:paraId="7D2A2401">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在项目实施的工程中，在项目立项的过程中绩效指标设置不够严谨，没有把握好项目所设立的绩效目标，没有具体细化分解产出指标、效益指标及满意度指标，项目产出指标中的数量指标没有具体量化，预算资金到位存在个别指标未完全达到预期。</w:t>
      </w:r>
    </w:p>
    <w:p w14:paraId="6FCE0B28">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5490347E">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1、完善管理落实预算执行分析，及时了解预算执行差异，合理调整、纠正预算</w:t>
      </w:r>
      <w:r>
        <w:rPr>
          <w:rStyle w:val="19"/>
          <w:rFonts w:hint="eastAsia" w:ascii="楷体" w:hAnsi="楷体" w:eastAsia="楷体"/>
          <w:b w:val="0"/>
          <w:bCs w:val="0"/>
          <w:spacing w:val="-4"/>
          <w:sz w:val="32"/>
          <w:szCs w:val="32"/>
          <w:lang w:val="en-US" w:eastAsia="zh-CN"/>
        </w:rPr>
        <w:t>执行</w:t>
      </w:r>
      <w:r>
        <w:rPr>
          <w:rStyle w:val="19"/>
          <w:rFonts w:hint="eastAsia" w:ascii="楷体" w:hAnsi="楷体" w:eastAsia="楷体"/>
          <w:b w:val="0"/>
          <w:bCs w:val="0"/>
          <w:spacing w:val="-4"/>
          <w:sz w:val="32"/>
          <w:szCs w:val="32"/>
        </w:rPr>
        <w:t>偏差，切实提高部门预算收支管理水平。加强项目管理人员的培训和素质提升，提高其对项目管理的要求和标准的认识和理解。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 xml:space="preserve"> 2、建立完善的项目立项管理制度和流程，规范项目立项的各个阶段和环节，提高项目立项的效率和质量。加强项目管理，保障项目及时完成高度重视，精心组织。项目负责人及时调整项目内容，提高项目管理精确度，加强业务人员沟通交流，保障项目及时运转。</w:t>
      </w:r>
      <w:bookmarkStart w:id="0" w:name="_GoBack"/>
      <w:bookmarkEnd w:id="0"/>
      <w:r>
        <w:rPr>
          <w:rStyle w:val="19"/>
          <w:rFonts w:hint="eastAsia" w:ascii="楷体" w:hAnsi="楷体" w:eastAsia="楷体"/>
          <w:b w:val="0"/>
          <w:bCs w:val="0"/>
          <w:spacing w:val="-4"/>
          <w:sz w:val="32"/>
          <w:szCs w:val="32"/>
        </w:rPr>
        <w:t>进一歩健全绩效目标设置和绩效评价体系，优化完善分行业、分类别绩效评价标准，促进绩效评价管理水平的不断提升。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3、加强预算执行培训，提高财务人员工作水平，采取多种培训形式对单位财务人员、业务科室人员进行集中培训，进一步树牢预算执行观念，多</w:t>
      </w:r>
      <w:r>
        <w:rPr>
          <w:rStyle w:val="19"/>
          <w:rFonts w:hint="eastAsia" w:ascii="楷体" w:hAnsi="楷体" w:eastAsia="楷体"/>
          <w:b w:val="0"/>
          <w:bCs w:val="0"/>
          <w:spacing w:val="-4"/>
          <w:sz w:val="32"/>
          <w:szCs w:val="32"/>
          <w:lang w:val="en-US" w:eastAsia="zh-CN"/>
        </w:rPr>
        <w:t>与</w:t>
      </w:r>
      <w:r>
        <w:rPr>
          <w:rStyle w:val="19"/>
          <w:rFonts w:hint="eastAsia" w:ascii="楷体" w:hAnsi="楷体" w:eastAsia="楷体"/>
          <w:b w:val="0"/>
          <w:bCs w:val="0"/>
          <w:spacing w:val="-4"/>
          <w:sz w:val="32"/>
          <w:szCs w:val="32"/>
        </w:rPr>
        <w:t>财政沟通，提高本单位工作人员的预算执行能力和工作水平，为预算执行管理相关工作的顺利开展提供保障。</w:t>
      </w:r>
    </w:p>
    <w:p w14:paraId="04DF412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69133C4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1661F964">
      <w:pPr>
        <w:spacing w:line="540" w:lineRule="exact"/>
        <w:ind w:firstLine="567"/>
        <w:rPr>
          <w:rStyle w:val="19"/>
          <w:rFonts w:ascii="仿宋" w:hAnsi="仿宋" w:eastAsia="仿宋"/>
          <w:b w:val="0"/>
          <w:spacing w:val="-4"/>
          <w:sz w:val="32"/>
          <w:szCs w:val="32"/>
        </w:rPr>
      </w:pPr>
    </w:p>
    <w:p w14:paraId="69215CF9">
      <w:pPr>
        <w:spacing w:line="540" w:lineRule="exact"/>
        <w:ind w:firstLine="567"/>
        <w:rPr>
          <w:rStyle w:val="19"/>
          <w:rFonts w:ascii="仿宋" w:hAnsi="仿宋" w:eastAsia="仿宋"/>
          <w:b w:val="0"/>
          <w:spacing w:val="-4"/>
          <w:sz w:val="32"/>
          <w:szCs w:val="32"/>
        </w:rPr>
      </w:pPr>
    </w:p>
    <w:p w14:paraId="059B84E7">
      <w:pPr>
        <w:spacing w:line="540" w:lineRule="exact"/>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7A547D6">
        <w:pPr>
          <w:pStyle w:val="12"/>
          <w:jc w:val="center"/>
        </w:pPr>
        <w:r>
          <w:fldChar w:fldCharType="begin"/>
        </w:r>
        <w:r>
          <w:instrText xml:space="preserve">PAGE   \* MERGEFORMAT</w:instrText>
        </w:r>
        <w:r>
          <w:fldChar w:fldCharType="separate"/>
        </w:r>
        <w:r>
          <w:rPr>
            <w:lang w:val="zh-CN"/>
          </w:rPr>
          <w:t>1</w:t>
        </w:r>
        <w:r>
          <w:fldChar w:fldCharType="end"/>
        </w:r>
      </w:p>
    </w:sdtContent>
  </w:sdt>
  <w:p w14:paraId="248E6EF2">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0E59E">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C73BA"/>
    <w:rsid w:val="0FBD6E6C"/>
    <w:rsid w:val="2AAA1FB8"/>
    <w:rsid w:val="36981915"/>
    <w:rsid w:val="5E7B5ACD"/>
    <w:rsid w:val="77701517"/>
    <w:rsid w:val="7C4E1659"/>
    <w:rsid w:val="7DD50326"/>
    <w:rsid w:val="7EF42A2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石头</cp:lastModifiedBy>
  <cp:lastPrinted>2018-12-31T10:56:00Z</cp:lastPrinted>
  <dcterms:modified xsi:type="dcterms:W3CDTF">2025-11-06T08:31:51Z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15</Pages>
  <Words>790</Words>
  <Characters>817</Characters>
  <Lines>5</Lines>
  <Paragraphs>1</Paragraphs>
  <TotalTime>8</TotalTime>
  <ScaleCrop>false</ScaleCrop>
  <LinksUpToDate>false</LinksUpToDate>
  <CharactersWithSpaces>834</CharactersWithSpaces>
  <Application>WPS Office_12.1.0.23542_F1E327BC-269C-435d-A152-05C5408002CA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Props1.xml><?xml version="1.0" encoding="utf-8"?>
<ds:datastoreItem xmlns:ds="http://schemas.openxmlformats.org/officeDocument/2006/customXml" ds:itemID="{15d14627-d957-4290-a741-e43db3ef6ce9}">
  <ds:schemaRefs/>
</ds:datastoreItem>
</file>

<file path=customXml/itemProps2.xml><?xml version="1.0" encoding="utf-8"?>
<ds:datastoreItem xmlns:ds="http://schemas.openxmlformats.org/officeDocument/2006/customXml" ds:itemID="{df7c068b-993d-4563-8b7e-9cdf4f55055c}">
  <ds:schemaRefs/>
</ds:datastoreItem>
</file>

<file path=customXml/itemProps3.xml><?xml version="1.0" encoding="utf-8"?>
<ds:datastoreItem xmlns:ds="http://schemas.openxmlformats.org/officeDocument/2006/customXml" ds:itemID="{87973346-c78a-4a42-951c-097be3ef2c48}">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6247</Words>
  <Characters>6481</Characters>
  <Lines>5</Lines>
  <Paragraphs>1</Paragraphs>
  <TotalTime>16</TotalTime>
  <ScaleCrop>false</ScaleCrop>
  <LinksUpToDate>false</LinksUpToDate>
  <CharactersWithSpaces>6728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2025-11-08T08:23:47Z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