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村级支出-本级</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哈密市伊州区东河街道办事处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哈密市伊州区东河街道办事处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张建军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numPr>
          <w:ilvl w:val="0"/>
          <w:numId w:val="0"/>
        </w:num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一、</w:t>
      </w:r>
      <w:r>
        <w:rPr>
          <w:rStyle w:val="18"/>
          <w:rFonts w:hint="eastAsia" w:ascii="仿宋_GB2312" w:hAnsi="仿宋_GB2312" w:eastAsia="仿宋_GB2312" w:cs="仿宋_GB2312"/>
          <w:b w:val="0"/>
          <w:spacing w:val="-4"/>
          <w:sz w:val="32"/>
          <w:szCs w:val="32"/>
        </w:rPr>
        <w:t>基本情况</w:t>
      </w:r>
    </w:p>
    <w:p>
      <w:pPr>
        <w:numPr>
          <w:ilvl w:val="0"/>
          <w:numId w:val="0"/>
        </w:num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随着农村社会综治、换届选举、文化活动等事务增加，村级组织需承担更多职能，如村民文化活动、垃圾分类处理等，进一步加大了对村级支出的需求，而村级支出旨在提升农业生产效率和村民生活质量。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本项目主要内容为村级支出,主要用于办公用品购置、纸张耗材、办公设备维护等，确保村级组织日常行政事务正常开展。经费下拨至吾尔达村、上阿牙村，由吾尔达村、上阿牙村开展项目相关的活动。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级支出-本级支出计划拨付45万元，项目于2024年1月28日批复预算资金45万元，截至2024年12月31日，项目用于基层运转支出，包括办公用品购置、办公设备维护、水电暖等维持办公场所正常运转的必要支出，项目资金支付45万元，资金到位率100%，预算执行率为100%。</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本项目总体目标为：通过对村委会日常公经费支出，保障村级各类支出经费正常运转，提高村级各项工作质量，保障村委会服务群众工作圆满完成。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数量指标：经费保障村级组织个数不低于2个；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数量指标：村干部不低于14人；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质量指标：保障村级组织正常运转率达到100%；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质量指标：保障生活正常需求率达到100%；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时效指标：保障工作运转及时率达到100%。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经济成本指标：村级办公经费不高于45万元。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社会效益指标：保障村级组织基层建设。</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满意度指标：村干部满意度不低于95%。</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我单位根据《自治区财政支出绩效评价管理暂行办法》（新财预〔2018〕189号）文件精神，对村级支出-本级项目绩效目标实现情况进行自评。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数量指标：经费保障村级组织数量，权重4分；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数量指标：经费保障村级组织数量，权重4分；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质量指标：保障村级组织正常运转率，权重4分；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质量指标：保障生活正常需求率，权重4分；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时效指标：保障工作运转及时率，权重3分。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成本指标：村级办公经费，权重3分。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社会效益指标：保障村级组织基层建设，权重30分；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服务对象满意度指标：村干部满意度，权重8分。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村级支出-本级支出项目绩效评价主要通过项目单位自评、主管部门监督、财政部门参评的方式开展绩效评价工作。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发放调查问卷开展村干部满意度调查工作。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绩效目标明确合理；项目过程方面，管理制度健全，制度执行有效，资金到位及预算执行情况较好；项目产出方面，数量指标满分，质量指标达标，项目完成及时；项目效益方面，有效提高工作人员的工作积极性和保障机构正常高效运转；项目满意度方面，村民较为满意。</w:t>
      </w:r>
    </w:p>
    <w:p>
      <w:pPr>
        <w:spacing w:line="540" w:lineRule="exact"/>
        <w:ind w:firstLine="640"/>
        <w:rPr>
          <w:rStyle w:val="18"/>
          <w:rFonts w:hint="eastAsia" w:ascii="仿宋_GB2312" w:hAnsi="仿宋_GB2312" w:eastAsia="仿宋_GB2312" w:cs="仿宋_GB231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rPr>
        <w:t xml:space="preserve"> </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tabs>
          <w:tab w:val="center" w:pos="4295"/>
        </w:tabs>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本项目是由哈密市伊州区东河街道办事处提出申报，项目立项符合国家法律法规、自治区和地区行业发展规划和政策要求，属于本部门履职所需。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东河街道办事处2024年村级支出-本级项目预算编制经过科学论证，围绕区委、区政府工作中心，，项目投资额与工作任务相匹配。内容与项目内容匹配，依据《哈密市基层组织经费管理使用办法》 哈市财规〔2023〕1号第三条根基实际需求，科学研究使用计划和支出金额，确保经费使用发挥最大效益。规范操作。认真落实“三重一大”和“四议两公开”等民主决策制度，严格按照规定流程确定、申报、审批、使用经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按照项目东河街道办事处2024年村级支出-本级项目内容，依据财政分配单，此经费划拨给伊州区东河街道吾尔达村委会和伊州区东河街道上阿牙村村委会，两个行政村人力条件充足，切实按照事权划分准确核定本级财政支出。</w:t>
      </w:r>
      <w:r>
        <w:rPr>
          <w:rStyle w:val="18"/>
          <w:rFonts w:hint="eastAsia" w:ascii="仿宋_GB2312" w:hAnsi="仿宋_GB2312" w:eastAsia="仿宋_GB2312" w:cs="仿宋_GB2312"/>
          <w:b w:val="0"/>
          <w:bCs w:val="0"/>
          <w:spacing w:val="-4"/>
          <w:sz w:val="32"/>
          <w:szCs w:val="32"/>
          <w:lang w:eastAsia="zh-CN"/>
        </w:rPr>
        <w:tab/>
      </w:r>
    </w:p>
    <w:p>
      <w:pPr>
        <w:spacing w:line="540" w:lineRule="exact"/>
        <w:ind w:firstLine="567" w:firstLineChars="181"/>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该项目所需财政资金能够足额拨付到位，牵头单位能够及时足额按照合同约定将专项资金拨付给单位。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本项目实际拨付45万元，实际支出45万元，资金支出总体能够按照预算执行。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井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我单位制定了《东河街道办事处财务管理办法》等相关项目管理办法，同时对财政专项资金进行严格管理，基本做到了专款专用。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部门提出经费预算支出可行性方案，经过与市政府分管领导沟通后，报党委会议研究执行，财务对资金的使用合法合规性进行监督，年底对资金使用效果进行自评。</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（1）经费保障村级组织个数，满分4分，得分4分，得分率100%。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“经费保障村级组织个数”指标，预期指标值为“≥2个”，根据实际资金实际拨付，实际完成“经费保障村级组织个数”指标，指标值为“=2个”，指标完成率为100%，与预期目标一致。</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（2）村干部人数，满分4分，得分4分，得分率100%。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“村干部人数”指标，预期指标值为“≥14个”，根据实际资金实际拨付，实际完成“村干部人数”指标，指标值为“=14个”，指标完成率为100%，与预期目标一致。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（1）保障村级组织正常需求率，满分4分，得分4分，得分率100%。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“保障村级组织正常需求率”指标，预期指标值为“=100%”，根据实际资金实际拨付，实际完成“保障村级组织正常需求率”指标，指标值为“=100%”，指标完成率为100%，与预期目标一致。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（2）保障生活正常需求率，满分4分，得分4分，得分率100%。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“保障生活正常需求率”指标，预期指标值为“=100%”，根据实际资金实际拨付，实际完成“保障生活正常需求率”指标，指标值为“=100%”，指标完成率为100%，与预期目标一致。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（1）保障工作及时运转率，满分3分，得分3分，得分率100%。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“保障工作及时运转率”指标，预期指标值为“≥95%”，根据实际资金实际拨付，实际完成“保障工作及时运转率”指标，指标值为“≥95%”，指标完成率为100%，与预期目标一致。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（1）村级办公经费，满分3分，得分3分，得分率100%。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“村级办公经费”指标，预期指标值为“≤45万元”，根据实际资金实际拨付，实际完成“村级办公经费”指标，指标值为≤45万元”，指标完成率为100%，与预期目标一致。</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（1）保障村级组织基层建设，满分30分，得分30分，得分率100%。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“保障村级组织基层建设”指标，预期指标值为“有效保障”；“有效保障机构正常高效运转”指标，预期指标值为“有效保障”，实际完成值为达成年度指标。</w:t>
      </w:r>
    </w:p>
    <w:p>
      <w:pPr>
        <w:spacing w:line="540" w:lineRule="exact"/>
        <w:ind w:firstLine="567" w:firstLineChars="181"/>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（1）村干部满意度，满分8分，得分8分，得分率100%。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“村干部满意度”指标，预期指标值为“≥95%”，根据村干部调查问卷进行满意度问卷调查的结果可知，满意度达100%。</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1.聚焦重点任务，推动项目工作落地落实</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仿宋_GB2312" w:hAnsi="仿宋_GB2312" w:eastAsia="仿宋_GB2312" w:cs="仿宋_GB2312"/>
          <w:b w:val="0"/>
          <w:bCs w:val="0"/>
          <w:spacing w:val="-4"/>
          <w:sz w:val="32"/>
          <w:szCs w:val="32"/>
          <w:lang w:eastAsia="zh-CN"/>
        </w:rPr>
        <w:t>健</w:t>
      </w:r>
      <w:r>
        <w:rPr>
          <w:rStyle w:val="18"/>
          <w:rFonts w:hint="eastAsia" w:ascii="仿宋_GB2312" w:hAnsi="仿宋_GB2312" w:eastAsia="仿宋_GB2312" w:cs="仿宋_GB2312"/>
          <w:b w:val="0"/>
          <w:bCs w:val="0"/>
          <w:spacing w:val="-4"/>
          <w:sz w:val="32"/>
          <w:szCs w:val="32"/>
        </w:rPr>
        <w:t>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3.项目支出绩效评价存在单位限，客观性有待加强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u w:val="dotted"/>
          <w:lang w:val="en-US" w:eastAsia="zh-CN"/>
        </w:rPr>
        <w:t>六</w:t>
      </w:r>
      <w:r>
        <w:rPr>
          <w:rStyle w:val="18"/>
          <w:rFonts w:hint="eastAsia" w:ascii="仿宋_GB2312" w:hAnsi="仿宋_GB2312" w:eastAsia="仿宋_GB2312" w:cs="仿宋_GB2312"/>
          <w:b w:val="0"/>
          <w:spacing w:val="-4"/>
          <w:sz w:val="32"/>
          <w:szCs w:val="32"/>
        </w:rPr>
        <w:t>、有关建议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1.加强培训，提高相关人员工作水平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2.扎实推进档案规范化建设，提升档案管理水平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3.高度重视，加强领导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bookmarkStart w:id="0" w:name="_GoBack"/>
      <w:bookmarkEnd w:id="0"/>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0393FF4"/>
    <w:rsid w:val="3029612C"/>
    <w:rsid w:val="32A221C5"/>
    <w:rsid w:val="33F20F2A"/>
    <w:rsid w:val="34C44675"/>
    <w:rsid w:val="36B82B23"/>
    <w:rsid w:val="39115296"/>
    <w:rsid w:val="3B5B5607"/>
    <w:rsid w:val="3CE21B3C"/>
    <w:rsid w:val="402740CC"/>
    <w:rsid w:val="4D2606A1"/>
    <w:rsid w:val="4F8A611E"/>
    <w:rsid w:val="51830480"/>
    <w:rsid w:val="51A06FEC"/>
    <w:rsid w:val="51EB6428"/>
    <w:rsid w:val="53A616BE"/>
    <w:rsid w:val="54662BFB"/>
    <w:rsid w:val="567C046F"/>
    <w:rsid w:val="62051CA5"/>
    <w:rsid w:val="6772621F"/>
    <w:rsid w:val="67D65A96"/>
    <w:rsid w:val="6C33576A"/>
    <w:rsid w:val="6C3A69EF"/>
    <w:rsid w:val="6E413C07"/>
    <w:rsid w:val="6F925848"/>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6061</Words>
  <Characters>6274</Characters>
  <Lines>5</Lines>
  <Paragraphs>1</Paragraphs>
  <TotalTime>12</TotalTime>
  <ScaleCrop>false</ScaleCrop>
  <LinksUpToDate>false</LinksUpToDate>
  <CharactersWithSpaces>6290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2025-11-06T13:34:10Z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