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全口径项目（2024）</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哈密国家农业科技园区管委会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哈密国家农业科技园区管委会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李志刚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2025年05月21日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根据伊区财全〔2024〕1号，为有效化解中小企业债务，保障中小企业权益，我单位全口径项目总预算金额2万元，预计化解1项陈年欠款项目。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11"/>
          <w:sz w:val="32"/>
          <w:szCs w:val="32"/>
        </w:rPr>
        <w:t>该项目总预算金额2万元，用于化解1项陈年欠款项目，实际支出1.9</w:t>
      </w:r>
      <w:r>
        <w:rPr>
          <w:rStyle w:val="18"/>
          <w:rFonts w:hint="eastAsia" w:ascii="仿宋" w:hAnsi="仿宋" w:eastAsia="仿宋" w:cs="仿宋"/>
          <w:b w:val="0"/>
          <w:bCs w:val="0"/>
          <w:spacing w:val="-11"/>
          <w:sz w:val="32"/>
          <w:szCs w:val="32"/>
          <w:lang w:val="en-US" w:eastAsia="zh-CN"/>
        </w:rPr>
        <w:t>4</w:t>
      </w:r>
      <w:r>
        <w:rPr>
          <w:rStyle w:val="18"/>
          <w:rFonts w:hint="eastAsia" w:ascii="仿宋" w:hAnsi="仿宋" w:eastAsia="仿宋" w:cs="仿宋"/>
          <w:b w:val="0"/>
          <w:bCs w:val="0"/>
          <w:spacing w:val="-11"/>
          <w:sz w:val="32"/>
          <w:szCs w:val="32"/>
        </w:rPr>
        <w:t>万元，化解了1项陈年欠款项目，有效保障了债权人权益。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全口径项目计划拨付2万元，项目于2024年批复预算资金2万元，截至2024年12月31日，项目用于支付现代农业园区新建养殖园区内、北区场家送电项目工程欠款，项目资金支付1.9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万元，资金到位率100%，预算执行率为</w:t>
      </w:r>
      <w:r>
        <w:rPr>
          <w:rStyle w:val="18"/>
          <w:rFonts w:hint="eastAsia" w:ascii="仿宋" w:hAnsi="仿宋" w:eastAsia="仿宋" w:cs="仿宋"/>
          <w:b w:val="0"/>
          <w:bCs w:val="0"/>
          <w:spacing w:val="-4"/>
          <w:sz w:val="32"/>
          <w:szCs w:val="32"/>
          <w:lang w:val="en-US" w:eastAsia="zh-CN"/>
        </w:rPr>
        <w:t>100</w:t>
      </w:r>
      <w:r>
        <w:rPr>
          <w:rStyle w:val="18"/>
          <w:rFonts w:hint="eastAsia" w:ascii="仿宋" w:hAnsi="仿宋" w:eastAsia="仿宋" w:cs="仿宋"/>
          <w:b w:val="0"/>
          <w:bCs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本项目总体目标为：用于偿还哈密国家农业科技园区管委会中小微企业建设项目欠款，减轻单位负债，保障债权人的权益。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数量指标：全口径还款单位数量1个；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质量指标：资金拨付合规率达到100%；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时效指标：资金拨付及时率达到100%。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经济成本指标：化解债务成本不高于2万元。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社会效益指标：有效保障企业资金链；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社会效益指标：有效保障债权人的权益。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满意度指标：债权人满意度不低于95%。</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我单位根据《自治区财政支出绩效评价管理暂行办法》（新财预〔2018〕189号）文件精神，对全口径项目绩效目标实现情况进行自评。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组织实施：管理制度健全性，权重5分，制度执行有效性，权重6分。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数量指标：全口径还款单位数量，权重6分；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质量指标：资金拨付合规率，权重5分；时效指标：资金拨付及时率，权重5分。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成本指标：化解建设项目债务成本，权重6分。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社会效益指标：保障企业资金链成效，权重15分；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社会效益指标：保障债权人的权益成效，权重15分。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服务对象满意度指标：债权人满意度，权重8分。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全口径项目绩效评价主要通过项目单位自评、主管部门监督、财政部门参评的方式开展绩效评价工作。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发放调查问卷开展债权人满意度调查工作。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100</w:t>
      </w:r>
      <w:r>
        <w:rPr>
          <w:rStyle w:val="18"/>
          <w:rFonts w:hint="eastAsia" w:ascii="仿宋" w:hAnsi="仿宋" w:eastAsia="仿宋" w:cs="仿宋"/>
          <w:b w:val="0"/>
          <w:bCs w:val="0"/>
          <w:spacing w:val="-4"/>
          <w:sz w:val="32"/>
          <w:szCs w:val="32"/>
        </w:rPr>
        <w:t>分，自评结果为“优”，其中项目决策得分17分，项目过程得分22.8</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分，项目产出得分21.8</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立项依据充分，绩效目标明确、合理，测算标准合理，测算过程细化清晰；项目过程方面，资金管理合理，管理制度健全；项目产出方面，各项指标完成度较好；项目效益方面，社会效益成效显著；项目满意度方面，服务对象满意度较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sz w:val="32"/>
          <w:szCs w:val="32"/>
        </w:rPr>
      </w:pPr>
      <w:r>
        <w:rPr>
          <w:rStyle w:val="18"/>
          <w:rFonts w:hint="eastAsia" w:ascii="仿宋" w:hAnsi="仿宋" w:eastAsia="仿宋" w:cs="仿宋"/>
          <w:b w:val="0"/>
          <w:spacing w:val="-4"/>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立项依据充分性，满分4分，得分4分，得分率100%。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项目立项依据《伊区财全〔2024〕1号》文件要求，符合上级政策要求，与我单位部门职责相关，项目属性符合公共财政支持范围，不存在重复交叉情况。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绩效目标从还款数量，资金拨付及时率及合规率，化解债务成效以及欠款单位满意度的角度考核。产出指标、成本指标、效益指标与满意度指标占比合理、清晰，与项目目标任务数或计划数相对应。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设置指标共7条，与我单位实际工作内容相关，贴合实际情况，各项指标占比分配合理，项目预期产出效益和效果与预算确定的项目资金量相匹配。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预算根据伊区财全〔2024〕1号文件制定，按照上级分配表格测算，预算过程使用部门自行制定的支出标准，符合上级管理部门的标准。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预算按照项目内容，审计金额、已支付金额、剩余金额分别测算，按照分年度计划化解金额，列出本年度计划化解金额，预算根据事权划分准确核定本级财政支出。</w:t>
      </w:r>
      <w:r>
        <w:rPr>
          <w:rStyle w:val="18"/>
          <w:rFonts w:hint="eastAsia" w:ascii="仿宋" w:hAnsi="仿宋" w:eastAsia="仿宋" w:cs="仿宋"/>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该项目2024年预算资金2万元，下达资金2万元，计划资金到位率100%。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（2）预算执行率，满分6分，得分5.8</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分，得分率9</w:t>
      </w:r>
      <w:r>
        <w:rPr>
          <w:rStyle w:val="18"/>
          <w:rFonts w:hint="eastAsia" w:ascii="仿宋" w:hAnsi="仿宋" w:eastAsia="仿宋" w:cs="仿宋"/>
          <w:b w:val="0"/>
          <w:bCs w:val="0"/>
          <w:spacing w:val="-4"/>
          <w:sz w:val="32"/>
          <w:szCs w:val="32"/>
          <w:lang w:val="en-US" w:eastAsia="zh-CN"/>
        </w:rPr>
        <w:t>7.00</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2024年财政实际到位资金</w:t>
      </w:r>
      <w:r>
        <w:rPr>
          <w:rStyle w:val="18"/>
          <w:rFonts w:hint="eastAsia" w:ascii="仿宋" w:hAnsi="仿宋" w:eastAsia="仿宋" w:cs="仿宋"/>
          <w:b w:val="0"/>
          <w:bCs w:val="0"/>
          <w:spacing w:val="-4"/>
          <w:sz w:val="32"/>
          <w:szCs w:val="32"/>
          <w:lang w:val="en-US" w:eastAsia="zh-CN"/>
        </w:rPr>
        <w:t>1.94</w:t>
      </w:r>
      <w:r>
        <w:rPr>
          <w:rStyle w:val="18"/>
          <w:rFonts w:hint="eastAsia" w:ascii="仿宋" w:hAnsi="仿宋" w:eastAsia="仿宋" w:cs="仿宋"/>
          <w:b w:val="0"/>
          <w:bCs w:val="0"/>
          <w:spacing w:val="-4"/>
          <w:sz w:val="32"/>
          <w:szCs w:val="32"/>
        </w:rPr>
        <w:t>万元，于2024年11月实际支出资金1.9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万元，资金执行率</w:t>
      </w:r>
      <w:r>
        <w:rPr>
          <w:rStyle w:val="18"/>
          <w:rFonts w:hint="eastAsia" w:ascii="仿宋" w:hAnsi="仿宋" w:eastAsia="仿宋" w:cs="仿宋"/>
          <w:b w:val="0"/>
          <w:bCs w:val="0"/>
          <w:spacing w:val="-4"/>
          <w:sz w:val="32"/>
          <w:szCs w:val="32"/>
          <w:lang w:val="en-US" w:eastAsia="zh-CN"/>
        </w:rPr>
        <w:t>100</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（1）管理制度健全性，满分5分，得分5分，得分率100%。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制定《财务支出管理制度》、《内部控制制度》与《整体支出预算绩效管理制度》，对全口径资金的预算、支出、监控做出详细且合理的规定，与上位法要求相符，侧重点明细；财务和业务管理制度合法、合规、完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（2）制度执行有效性，满分6分，得分6分，得分率100%。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由部门提出经费预算支出可行性方案，经过与政府分管领导沟通后，报党委会议研究执行，财务对资金的使用合法合规性进行监督，相关档案资料及时入档，年底对资金使用效果进行自评。</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17"/>
          <w:sz w:val="32"/>
          <w:szCs w:val="32"/>
        </w:rPr>
        <w:t>数量指标全口径还款单位数量，满分6分，得分6分，得分率100%</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根据预算分配指标，我单位年初计划化解债务1项，根据对财务资料完整性的要求以及对剩余债务的核实，实际还款单位数量1个，完成率为100%。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质量指标资金拨付合规率，满分5分，得分5分，得分率100%。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根据《财务支出管理制度》中对资金拨付合规率的要求，该项目做到专款专用，完成率达到100%。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时效指标资金拨付及时率，满分5分，得分5分，得分率100%。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根据财政预算要求，当年下达指标当年完成预算内支付，该笔资金当年下达，且于当年11月完成支付，资金拨付及时率达100%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成本指标全口径成本，满分6分，得分5.8</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分，得分率</w:t>
      </w:r>
      <w:r>
        <w:rPr>
          <w:rStyle w:val="18"/>
          <w:rFonts w:hint="eastAsia" w:ascii="仿宋" w:hAnsi="仿宋" w:eastAsia="仿宋" w:cs="仿宋"/>
          <w:b w:val="0"/>
          <w:bCs w:val="0"/>
          <w:spacing w:val="-4"/>
          <w:sz w:val="32"/>
          <w:szCs w:val="32"/>
          <w:lang w:val="en-US" w:eastAsia="zh-CN"/>
        </w:rPr>
        <w:t>97.00</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根据伊区财全〔2024〕1号文件，化解当年全口径平台1个项目，实际支付过程中，对每个项目进行对账及财务资料完整性进行核查，实际支付1个项目，拨付1.9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万元，完成率为</w:t>
      </w:r>
      <w:r>
        <w:rPr>
          <w:rStyle w:val="18"/>
          <w:rFonts w:hint="eastAsia" w:ascii="仿宋" w:hAnsi="仿宋" w:eastAsia="仿宋" w:cs="仿宋"/>
          <w:b w:val="0"/>
          <w:bCs w:val="0"/>
          <w:spacing w:val="-4"/>
          <w:sz w:val="32"/>
          <w:szCs w:val="32"/>
          <w:lang w:val="en-US" w:eastAsia="zh-CN"/>
        </w:rPr>
        <w:t>97.00</w:t>
      </w:r>
      <w:r>
        <w:rPr>
          <w:rStyle w:val="18"/>
          <w:rFonts w:hint="eastAsia" w:ascii="仿宋" w:hAnsi="仿宋" w:eastAsia="仿宋" w:cs="仿宋"/>
          <w:b w:val="0"/>
          <w:bCs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社会效益指标保障企业资金链，满分15分，得分15分，得分率100%。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此次支付1.9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万元，有效化解中小企业债务，减轻我单位债务压力及矛盾纠纷，保障了企业资金链。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社会效益指标保障债权人的权益，满分15分，得分15分，得分率100%。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此次支付1.9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万元，有效化解中小企业债务，减轻我单位矛盾纠纷，保障债权人的权益。</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债权人满意度，满分8分，得分8分，得分率100%。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全口径化债项目涉及1家单位，实际发放问卷2份，满意份数2份，欠款单位满意度达100%。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left="624" w:hanging="624" w:hanging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1.聚焦重点任务，推动项目工作落地落实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2.坚持问题导向，加强执行监控，提高资金效益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bookmarkStart w:id="0" w:name="_GoBack"/>
      <w:bookmarkEnd w:id="0"/>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资金支付率未达到100%，主要是因为根据伊区财全〔2024〕1号文件，化解当年全口径1个项目合计2万元，实际支付过程中，对项目进行对账及财务资料完整性进行核查，实际支付1个项目，拨付1.9</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万元，完成率为9</w:t>
      </w:r>
      <w:r>
        <w:rPr>
          <w:rStyle w:val="18"/>
          <w:rFonts w:hint="eastAsia" w:ascii="仿宋" w:hAnsi="仿宋" w:eastAsia="仿宋" w:cs="仿宋"/>
          <w:b w:val="0"/>
          <w:bCs w:val="0"/>
          <w:spacing w:val="-4"/>
          <w:sz w:val="32"/>
          <w:szCs w:val="32"/>
          <w:lang w:val="en-US" w:eastAsia="zh-CN"/>
        </w:rPr>
        <w:t>7.00</w:t>
      </w:r>
      <w:r>
        <w:rPr>
          <w:rStyle w:val="18"/>
          <w:rFonts w:hint="eastAsia" w:ascii="仿宋" w:hAnsi="仿宋" w:eastAsia="仿宋" w:cs="仿宋"/>
          <w:b w:val="0"/>
          <w:bCs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对于未支付项目，进行详细核实，今后应提高对专项资金重要性的认识，加强业务人员培训，健全内控制度，主动跟踪项目指标情况，按照规定标准、范围列支费用，正确核算专项资金，提高会计信息质量，充分发挥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七</w:t>
      </w:r>
      <w:r>
        <w:rPr>
          <w:rStyle w:val="18"/>
          <w:rFonts w:hint="eastAsia" w:ascii="黑体" w:hAnsi="黑体" w:eastAsia="黑体" w:cs="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 w:hAnsi="仿宋" w:eastAsia="仿宋" w:cs="仿宋"/>
          <w:b w:val="0"/>
          <w:spacing w:val="-4"/>
          <w:sz w:val="32"/>
          <w:szCs w:val="32"/>
        </w:rPr>
      </w:pPr>
      <w:r>
        <w:rPr>
          <w:rStyle w:val="18"/>
          <w:rFonts w:hint="eastAsia" w:ascii="仿宋" w:hAnsi="仿宋" w:eastAsia="仿宋" w:cs="仿宋"/>
          <w:b w:val="0"/>
          <w:bCs w:val="0"/>
          <w:spacing w:val="-4"/>
          <w:sz w:val="32"/>
          <w:szCs w:val="32"/>
        </w:rPr>
        <w:t>无</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0C35178"/>
    <w:rsid w:val="115A7505"/>
    <w:rsid w:val="11BD75F7"/>
    <w:rsid w:val="13BE561A"/>
    <w:rsid w:val="15392994"/>
    <w:rsid w:val="15520B1A"/>
    <w:rsid w:val="18FE139B"/>
    <w:rsid w:val="1C8A2865"/>
    <w:rsid w:val="3029612C"/>
    <w:rsid w:val="3168163E"/>
    <w:rsid w:val="31AD4BF9"/>
    <w:rsid w:val="32A221C5"/>
    <w:rsid w:val="33F20F2A"/>
    <w:rsid w:val="34C44675"/>
    <w:rsid w:val="36B82B23"/>
    <w:rsid w:val="3B5B5607"/>
    <w:rsid w:val="3CE21B3C"/>
    <w:rsid w:val="4D2606A1"/>
    <w:rsid w:val="4F8A611E"/>
    <w:rsid w:val="51830480"/>
    <w:rsid w:val="51EB6428"/>
    <w:rsid w:val="53A616BE"/>
    <w:rsid w:val="53E74F32"/>
    <w:rsid w:val="54662BFB"/>
    <w:rsid w:val="62051CA5"/>
    <w:rsid w:val="63F45405"/>
    <w:rsid w:val="6772621F"/>
    <w:rsid w:val="67D65A96"/>
    <w:rsid w:val="6C33576A"/>
    <w:rsid w:val="6C3A69EF"/>
    <w:rsid w:val="6E413C07"/>
    <w:rsid w:val="751214C4"/>
    <w:rsid w:val="7CBE2EE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4697</Words>
  <Characters>4975</Characters>
  <Lines>5</Lines>
  <Paragraphs>1</Paragraphs>
  <TotalTime>13</TotalTime>
  <ScaleCrop>false</ScaleCrop>
  <LinksUpToDate>false</LinksUpToDate>
  <CharactersWithSpaces>4990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2025-11-06T09:36:55Z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