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lang w:eastAsia="zh-CN"/>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7"/>
          <w:rFonts w:hint="eastAsia" w:ascii="楷体" w:hAnsi="楷体" w:eastAsia="楷体"/>
          <w:spacing w:val="-4"/>
          <w:sz w:val="32"/>
          <w:szCs w:val="32"/>
        </w:rPr>
        <w:t>全口径项目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7"/>
          <w:rFonts w:hint="eastAsia" w:ascii="楷体" w:hAnsi="楷体" w:eastAsia="楷体"/>
          <w:spacing w:val="-4"/>
          <w:sz w:val="28"/>
          <w:szCs w:val="28"/>
        </w:rPr>
        <w:t>伊州区西河街道社区卫生服务中心</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7"/>
          <w:rFonts w:hint="eastAsia" w:ascii="楷体" w:hAnsi="楷体" w:eastAsia="楷体"/>
          <w:spacing w:val="-4"/>
          <w:sz w:val="28"/>
          <w:szCs w:val="28"/>
        </w:rPr>
        <w:t>哈密市伊州区卫生健康委员会</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7"/>
          <w:rFonts w:hint="eastAsia" w:ascii="楷体" w:hAnsi="楷体" w:eastAsia="楷体"/>
          <w:spacing w:val="-4"/>
          <w:sz w:val="32"/>
          <w:szCs w:val="32"/>
        </w:rPr>
        <w:t>摆艳玲</w:t>
      </w:r>
    </w:p>
    <w:p>
      <w:pPr>
        <w:spacing w:line="540" w:lineRule="exact"/>
        <w:ind w:left="273" w:firstLine="567"/>
        <w:rPr>
          <w:rStyle w:val="17"/>
          <w:rFonts w:ascii="楷体" w:hAnsi="楷体" w:eastAsia="楷体"/>
          <w:spacing w:val="-4"/>
          <w:sz w:val="32"/>
          <w:szCs w:val="32"/>
        </w:rPr>
      </w:pPr>
      <w:r>
        <w:rPr>
          <w:rFonts w:hint="eastAsia" w:hAnsi="宋体" w:eastAsia="仿宋_GB2312" w:cs="宋体"/>
          <w:kern w:val="0"/>
          <w:sz w:val="36"/>
          <w:szCs w:val="36"/>
        </w:rPr>
        <w:t>填报时间：</w:t>
      </w:r>
      <w:r>
        <w:rPr>
          <w:rStyle w:val="17"/>
          <w:rFonts w:hint="eastAsia" w:ascii="楷体" w:hAnsi="楷体" w:eastAsia="楷体"/>
          <w:spacing w:val="-4"/>
          <w:sz w:val="32"/>
          <w:szCs w:val="32"/>
        </w:rPr>
        <w:t>2025年05月17日</w:t>
      </w:r>
    </w:p>
    <w:p>
      <w:pPr>
        <w:spacing w:line="700" w:lineRule="exact"/>
        <w:ind w:firstLine="708" w:firstLineChars="236"/>
        <w:jc w:val="left"/>
        <w:rPr>
          <w:rFonts w:hAnsi="宋体" w:eastAsia="仿宋_GB2312" w:cs="宋体"/>
          <w:kern w:val="0"/>
          <w:sz w:val="30"/>
          <w:szCs w:val="30"/>
        </w:rPr>
      </w:pPr>
    </w:p>
    <w:p>
      <w:pPr>
        <w:spacing w:line="540" w:lineRule="exact"/>
        <w:rPr>
          <w:rStyle w:val="17"/>
          <w:rFonts w:hint="eastAsia" w:ascii="仿宋_GB2312" w:hAnsi="仿宋_GB2312" w:eastAsia="仿宋_GB2312" w:cs="仿宋_GB2312"/>
          <w:b w:val="0"/>
          <w:spacing w:val="-4"/>
          <w:sz w:val="32"/>
          <w:szCs w:val="32"/>
        </w:rPr>
      </w:pPr>
    </w:p>
    <w:p>
      <w:pPr>
        <w:spacing w:line="540" w:lineRule="exact"/>
        <w:rPr>
          <w:rStyle w:val="17"/>
          <w:rFonts w:hint="eastAsia" w:ascii="仿宋_GB2312" w:hAnsi="仿宋_GB2312" w:eastAsia="仿宋_GB2312" w:cs="仿宋_GB2312"/>
          <w:b w:val="0"/>
          <w:spacing w:val="-4"/>
          <w:sz w:val="32"/>
          <w:szCs w:val="32"/>
        </w:rPr>
      </w:pPr>
      <w:r>
        <w:rPr>
          <w:rStyle w:val="17"/>
          <w:rFonts w:hint="eastAsia" w:ascii="仿宋_GB2312" w:hAnsi="仿宋_GB2312" w:eastAsia="仿宋_GB2312" w:cs="仿宋_GB2312"/>
          <w:b w:val="0"/>
          <w:spacing w:val="-4"/>
          <w:sz w:val="32"/>
          <w:szCs w:val="32"/>
        </w:rPr>
        <w:t>一、基本情况</w:t>
      </w:r>
    </w:p>
    <w:p>
      <w:pPr>
        <w:spacing w:line="540" w:lineRule="exact"/>
        <w:rPr>
          <w:rStyle w:val="17"/>
          <w:rFonts w:hint="eastAsia" w:ascii="仿宋_GB2312" w:hAnsi="仿宋_GB2312" w:eastAsia="仿宋_GB2312" w:cs="仿宋_GB2312"/>
          <w:spacing w:val="-4"/>
          <w:sz w:val="32"/>
          <w:szCs w:val="32"/>
        </w:rPr>
      </w:pPr>
      <w:r>
        <w:rPr>
          <w:rStyle w:val="17"/>
          <w:rFonts w:hint="eastAsia" w:ascii="仿宋_GB2312" w:hAnsi="仿宋_GB2312" w:eastAsia="仿宋_GB2312" w:cs="仿宋_GB2312"/>
          <w:spacing w:val="-4"/>
          <w:sz w:val="32"/>
          <w:szCs w:val="32"/>
        </w:rPr>
        <w:t>（一）项目概况</w:t>
      </w:r>
    </w:p>
    <w:p>
      <w:pPr>
        <w:spacing w:line="540" w:lineRule="exact"/>
        <w:ind w:left="312" w:hanging="312" w:hangingChars="100"/>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1.项目背景</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历年政府欠款项目经财政审核后统一纳入全口径债务平台，按计划偿还，故我单位以此为背景开展本项目。</w:t>
      </w:r>
    </w:p>
    <w:p>
      <w:pPr>
        <w:spacing w:line="540" w:lineRule="exact"/>
        <w:ind w:left="312" w:hanging="312" w:hangingChars="100"/>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2.主要内容及实施情况</w:t>
      </w:r>
      <w:r>
        <w:rPr>
          <w:rStyle w:val="17"/>
          <w:rFonts w:hint="eastAsia" w:ascii="仿宋_GB2312" w:hAnsi="仿宋_GB2312" w:eastAsia="仿宋_GB2312" w:cs="仿宋_GB2312"/>
          <w:b w:val="0"/>
          <w:bCs w:val="0"/>
          <w:spacing w:val="-4"/>
          <w:sz w:val="32"/>
          <w:szCs w:val="32"/>
        </w:rPr>
        <w:cr/>
      </w:r>
      <w:r>
        <w:rPr>
          <w:rStyle w:val="17"/>
          <w:rFonts w:hint="eastAsia" w:ascii="仿宋_GB2312" w:hAnsi="仿宋_GB2312" w:eastAsia="仿宋_GB2312" w:cs="仿宋_GB2312"/>
          <w:b w:val="0"/>
          <w:bCs w:val="0"/>
          <w:spacing w:val="-4"/>
          <w:sz w:val="32"/>
          <w:szCs w:val="32"/>
        </w:rPr>
        <w:t>本项目主要内容是根据项目相关合同，2024年</w:t>
      </w:r>
      <w:r>
        <w:rPr>
          <w:rStyle w:val="17"/>
          <w:rFonts w:hint="eastAsia" w:ascii="仿宋_GB2312" w:hAnsi="仿宋_GB2312" w:eastAsia="仿宋_GB2312" w:cs="仿宋_GB2312"/>
          <w:b w:val="0"/>
          <w:bCs w:val="0"/>
          <w:spacing w:val="-4"/>
          <w:sz w:val="32"/>
          <w:szCs w:val="32"/>
          <w:lang w:val="en-US" w:eastAsia="zh-CN"/>
        </w:rPr>
        <w:t>度</w:t>
      </w:r>
      <w:r>
        <w:rPr>
          <w:rStyle w:val="17"/>
          <w:rFonts w:hint="eastAsia" w:ascii="仿宋_GB2312" w:hAnsi="仿宋_GB2312" w:eastAsia="仿宋_GB2312" w:cs="仿宋_GB2312"/>
          <w:b w:val="0"/>
          <w:bCs w:val="0"/>
          <w:spacing w:val="-4"/>
          <w:sz w:val="32"/>
          <w:szCs w:val="32"/>
        </w:rPr>
        <w:t>计划偿还维修项目欠款，保障债权人的权益。已于2024年开展并已偿还欠款。</w:t>
      </w:r>
    </w:p>
    <w:p>
      <w:pPr>
        <w:spacing w:line="540" w:lineRule="exact"/>
        <w:ind w:left="312" w:hanging="312" w:hangingChars="100"/>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3.资金投入和使用情况</w:t>
      </w:r>
      <w:r>
        <w:rPr>
          <w:rStyle w:val="17"/>
          <w:rFonts w:hint="eastAsia" w:ascii="仿宋_GB2312" w:hAnsi="仿宋_GB2312" w:eastAsia="仿宋_GB2312" w:cs="仿宋_GB2312"/>
          <w:b w:val="0"/>
          <w:bCs w:val="0"/>
          <w:spacing w:val="-4"/>
          <w:sz w:val="32"/>
          <w:szCs w:val="32"/>
        </w:rPr>
        <w:cr/>
      </w:r>
      <w:r>
        <w:rPr>
          <w:rStyle w:val="17"/>
          <w:rFonts w:hint="eastAsia" w:ascii="仿宋_GB2312" w:hAnsi="仿宋_GB2312" w:eastAsia="仿宋_GB2312" w:cs="仿宋_GB2312"/>
          <w:b w:val="0"/>
          <w:bCs w:val="0"/>
          <w:spacing w:val="-4"/>
          <w:sz w:val="32"/>
          <w:szCs w:val="32"/>
        </w:rPr>
        <w:t>2024年计划拨付7万元，项目于2024年1月28日批复预算资金7万元，截至2024年12月31日，项目用于偿还全口径债务，项目资金支付7万元，资金到位率100%，预算执行率为100%。</w:t>
      </w:r>
    </w:p>
    <w:p>
      <w:pPr>
        <w:spacing w:line="540" w:lineRule="exact"/>
        <w:rPr>
          <w:rStyle w:val="17"/>
          <w:rFonts w:hint="eastAsia" w:ascii="仿宋_GB2312" w:hAnsi="仿宋_GB2312" w:eastAsia="仿宋_GB2312" w:cs="仿宋_GB2312"/>
          <w:spacing w:val="-4"/>
          <w:sz w:val="32"/>
          <w:szCs w:val="32"/>
        </w:rPr>
      </w:pPr>
      <w:r>
        <w:rPr>
          <w:rStyle w:val="17"/>
          <w:rFonts w:hint="eastAsia" w:ascii="仿宋_GB2312" w:hAnsi="仿宋_GB2312" w:eastAsia="仿宋_GB2312" w:cs="仿宋_GB2312"/>
          <w:spacing w:val="-4"/>
          <w:sz w:val="32"/>
          <w:szCs w:val="32"/>
        </w:rPr>
        <w:t>（二）项目绩效目标</w:t>
      </w:r>
    </w:p>
    <w:p>
      <w:pPr>
        <w:spacing w:line="540" w:lineRule="exact"/>
        <w:ind w:firstLine="567"/>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本项目总体目标为：根据历年签订还款协议，2024年全口径还款、年初预算7万元、主要用于维修费完善机构基础设施、改善环境就诊就医,实现员工、居民、债权人满意度96%以上。根据《自治区财政支出绩效评价管理暂行办法》（新财预〔2018〕189号）等文件精神，结合项目相关信息，将年度目标细化分解，最终确定该项目阶段性目标如下：</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1.产出指标</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数量指标：全口径债务不低于1个；</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质量指标：还款资金发放准确率达到100%；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时效指标：偿还欠款完成及时率达到100%。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2.成本指标</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经济成本指标：偿还工程项目费用不高于7万元。</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3.效益指标</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社会效益指标：保障债权人的权益；</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4.满意度指标</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满意度指标：债权人满意度不低于95%。</w:t>
      </w:r>
    </w:p>
    <w:p>
      <w:pPr>
        <w:spacing w:line="540" w:lineRule="exact"/>
        <w:rPr>
          <w:rStyle w:val="17"/>
          <w:rFonts w:hint="eastAsia" w:ascii="仿宋_GB2312" w:hAnsi="仿宋_GB2312" w:eastAsia="仿宋_GB2312" w:cs="仿宋_GB2312"/>
          <w:b w:val="0"/>
          <w:spacing w:val="-4"/>
          <w:sz w:val="32"/>
          <w:szCs w:val="32"/>
        </w:rPr>
      </w:pPr>
      <w:r>
        <w:rPr>
          <w:rStyle w:val="17"/>
          <w:rFonts w:hint="eastAsia" w:ascii="仿宋_GB2312" w:hAnsi="仿宋_GB2312" w:eastAsia="仿宋_GB2312" w:cs="仿宋_GB2312"/>
          <w:b w:val="0"/>
          <w:spacing w:val="-4"/>
          <w:sz w:val="32"/>
          <w:szCs w:val="32"/>
        </w:rPr>
        <w:t>二、绩效评价工作开展情况</w:t>
      </w:r>
    </w:p>
    <w:p>
      <w:pPr>
        <w:spacing w:line="540" w:lineRule="exact"/>
        <w:rPr>
          <w:rStyle w:val="17"/>
          <w:rFonts w:hint="eastAsia" w:ascii="仿宋_GB2312" w:hAnsi="仿宋_GB2312" w:eastAsia="仿宋_GB2312" w:cs="仿宋_GB2312"/>
          <w:spacing w:val="-4"/>
          <w:sz w:val="32"/>
          <w:szCs w:val="32"/>
        </w:rPr>
      </w:pPr>
      <w:r>
        <w:rPr>
          <w:rStyle w:val="17"/>
          <w:rFonts w:hint="eastAsia" w:ascii="仿宋_GB2312" w:hAnsi="仿宋_GB2312" w:eastAsia="仿宋_GB2312" w:cs="仿宋_GB2312"/>
          <w:spacing w:val="-4"/>
          <w:sz w:val="32"/>
          <w:szCs w:val="32"/>
        </w:rPr>
        <w:t>（一）绩效评价目的、对象和范围</w:t>
      </w:r>
    </w:p>
    <w:p>
      <w:pPr>
        <w:spacing w:line="540" w:lineRule="exact"/>
        <w:ind w:firstLine="624" w:firstLineChars="200"/>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我单位根据《自治区财政支出绩效评价管理暂行办法》（新财预〔2018〕189号）文件精神，对全口径项目绩效目标实现情况进行自评。</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通过对本项目开展绩效自评，全面分析该项目资金使用、管理和项目实施等情况，规范项目申报、公示、审批、实施、监管、验收及资金发放等程序，对项目主管单位和实施单位的资金分配、管理等制度进行自查，加强项目实施管理，强化财政支出绩效理念，提高资金使用效益。</w:t>
      </w:r>
    </w:p>
    <w:p>
      <w:pPr>
        <w:spacing w:line="540" w:lineRule="exact"/>
        <w:rPr>
          <w:rStyle w:val="17"/>
          <w:rFonts w:hint="eastAsia" w:ascii="仿宋_GB2312" w:hAnsi="仿宋_GB2312" w:eastAsia="仿宋_GB2312" w:cs="仿宋_GB2312"/>
          <w:spacing w:val="-4"/>
          <w:sz w:val="32"/>
          <w:szCs w:val="32"/>
        </w:rPr>
      </w:pPr>
      <w:r>
        <w:rPr>
          <w:rStyle w:val="17"/>
          <w:rFonts w:hint="eastAsia" w:ascii="仿宋_GB2312" w:hAnsi="仿宋_GB2312" w:eastAsia="仿宋_GB2312" w:cs="仿宋_GB2312"/>
          <w:spacing w:val="-4"/>
          <w:sz w:val="32"/>
          <w:szCs w:val="32"/>
        </w:rPr>
        <w:t>（二）绩效评价原则、评价指标体系、评价方法、评价标准</w:t>
      </w:r>
    </w:p>
    <w:p>
      <w:pPr>
        <w:spacing w:line="540" w:lineRule="exact"/>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1.绩效评价原则</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（1）科学公正。绩效评价应当运用科学合理的方法，按照规范的程序，对项目绩效进行客观、公正的反映。</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统筹兼顾。单位自评、部门评价和财政评价应职责明确，各有侧重，相互衔接。单位自评应由项目单位负责实施，即“谁支出、谁自评”。部门评价和财政评价应在单位自评的基础上开展，必要时可委托第三方机构实施。</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（3）激励约束。绩效评价结果应与预算安排、政策调整、改进管理实质性挂钩，体现奖优罚劣和激励导向，有效要安排、低效要压减、无效要问责。</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（4）公开透明。绩效评价结果应依法依规公开，并自觉接受社会监督。</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2.评价指标体系</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本项目评价指标体系采用项目绩效自评表与决策、过程自定指标相结合方式，其中项目决策17分，项目过程23分，项目产出22分，项目效益30分，项目满意度8分，详细情况见附件2：</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（1）项目决策</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项目立项：立项依据充分性，权重4分。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绩效目标：绩效目标明确性，权重4分；绩效目标合理性，权重4分。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预算编制：测算标准合理性，权重3分；测算过程细化度，权重2分。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（2）项目过程</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资金管理：资金到位率，权重6分；预算执行率，权重6分。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组织实施：管理制度健全性，权重5分，制度执行有效性，权重6分。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（3）项目产出</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数量指标：全口径债务数量，权重6分；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质量指标：还款资金发放准确率，权重5分；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时效指标：偿还欠款完成及时率，权重5分。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成本指标：偿还工程项目费用，权重6分。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（3）效益指标</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社会效益指标：保障债权人的权益，权重26分；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（4）满意度指标</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服务对象满意度指标：债权人满意度，权重8分。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3.评价方法</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全口径项目绩效评价主要通过项目单位自评、主管部门监督、财政部门参评的方式开展绩效评价工作。</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绩效评价的方法主要包括：成本效益分析法、比较法、因素分析法、最低成本法、公众评判法、核实法等。根据评价指标的具体情况，可采用一种或多种方法。</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（1）成本效益分析法。是指将投入与产出、效益进行关联性分析的方法。</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（2）比较法。是指将实施情况与绩效目标、历史情况、不同部门和地区同类支出情况进行比较的方法。</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（3）因素分析法。是指综合分析影响绩效目标实现、实施效果的内外部因素的方法。</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（4）最低成本法。是指在绩效目标确定的前提下，成本最小者为优的方法。</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（5）公众评判法。是指通过专家评估、公众问卷及抽样调查等方式进行评判的方法。</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（6）核实法。是收集包括书面资料及以外的信息以证实书面资料及其所反映经济活动的真实，合法，合理，有效和正确的方法。</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4.评价标准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绩效评价标准通常包括计划标准、行业标准、历史标准等，用于对绩效指标完成情况进行比较。</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单位自评采用定量与定性评价相结合的比较法，总分由各项指标得分汇总形成。</w:t>
      </w:r>
    </w:p>
    <w:p>
      <w:pPr>
        <w:spacing w:line="540" w:lineRule="exact"/>
        <w:rPr>
          <w:rStyle w:val="17"/>
          <w:rFonts w:hint="eastAsia" w:ascii="仿宋_GB2312" w:hAnsi="仿宋_GB2312" w:eastAsia="仿宋_GB2312" w:cs="仿宋_GB2312"/>
          <w:spacing w:val="-4"/>
          <w:sz w:val="32"/>
          <w:szCs w:val="32"/>
        </w:rPr>
      </w:pPr>
      <w:r>
        <w:rPr>
          <w:rStyle w:val="17"/>
          <w:rFonts w:hint="eastAsia" w:ascii="仿宋_GB2312" w:hAnsi="仿宋_GB2312" w:eastAsia="仿宋_GB2312" w:cs="仿宋_GB2312"/>
          <w:spacing w:val="-4"/>
          <w:sz w:val="32"/>
          <w:szCs w:val="32"/>
        </w:rPr>
        <w:t>（三）绩效评价工作过程</w:t>
      </w:r>
    </w:p>
    <w:p>
      <w:pPr>
        <w:spacing w:line="540" w:lineRule="exact"/>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1.前期准备</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整理项目全过程资料建档：资金及项目批复文件、绩效目标申报表、可行性研究报告或实施方案、（招标文件）绩效目标过程监控表、验收报告（或决算）、资金支付或会计凭证、满意度调查问卷。作为评价基础资料。</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（2）采取“年初绩效目标预定与实施效果比较法”进行评价，评价指标体系以绩效目标申报指标为依据。</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2.组织过程</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（1）项目全过程资料档案复核</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采取现场和非现场评价相结合的方式实施评价，核查核实评价基础资料，主要是：相关政策文件、项目实施情况、资金支出情况、项目完成情况。对缺少的印证资料进行补充，对由资金下发不及时和跨年度等原因导致未完成项目，提供相关说明和批复文件。</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（2）检查内容和过程</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一是专项资金是否存在截留、挪用，支付审批是否合规、是否存在用途改变、范围超支和虚列项目支出等情况；二是项目实施是否符合专项管理办法，流程和管理制度是否合规；三是项目完成情况的真实性和绩效目标完成情况分析。</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发放调查问卷开展居民满意度调查工作。</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（3）撰写报告情况</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根据所搜集的印证材料，按绩效评价原理和指标体系进行分析、评价和汇总，撰写绩效自评报告，并在规定时间上报。</w:t>
      </w:r>
    </w:p>
    <w:p>
      <w:pPr>
        <w:spacing w:line="540" w:lineRule="exact"/>
        <w:rPr>
          <w:rStyle w:val="17"/>
          <w:rFonts w:hint="eastAsia" w:ascii="仿宋_GB2312" w:hAnsi="仿宋_GB2312" w:eastAsia="仿宋_GB2312" w:cs="仿宋_GB2312"/>
          <w:b w:val="0"/>
          <w:spacing w:val="-4"/>
          <w:sz w:val="32"/>
          <w:szCs w:val="32"/>
        </w:rPr>
      </w:pPr>
      <w:r>
        <w:rPr>
          <w:rStyle w:val="17"/>
          <w:rFonts w:hint="eastAsia" w:ascii="仿宋_GB2312" w:hAnsi="仿宋_GB2312" w:eastAsia="仿宋_GB2312" w:cs="仿宋_GB2312"/>
          <w:b w:val="0"/>
          <w:spacing w:val="-4"/>
          <w:sz w:val="32"/>
          <w:szCs w:val="32"/>
        </w:rPr>
        <w:t>三、综合评价情况及评价结论</w:t>
      </w:r>
    </w:p>
    <w:p>
      <w:pPr>
        <w:spacing w:line="540" w:lineRule="exact"/>
        <w:ind w:firstLine="567"/>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本次项目自评满分100分，自评得分</w:t>
      </w:r>
      <w:r>
        <w:rPr>
          <w:rStyle w:val="17"/>
          <w:rFonts w:hint="eastAsia" w:ascii="仿宋_GB2312" w:hAnsi="仿宋_GB2312" w:eastAsia="仿宋_GB2312" w:cs="仿宋_GB2312"/>
          <w:b w:val="0"/>
          <w:bCs w:val="0"/>
          <w:spacing w:val="-4"/>
          <w:sz w:val="32"/>
          <w:szCs w:val="32"/>
          <w:lang w:val="en-US" w:eastAsia="zh-CN"/>
        </w:rPr>
        <w:t>10</w:t>
      </w:r>
      <w:r>
        <w:rPr>
          <w:rStyle w:val="17"/>
          <w:rFonts w:hint="eastAsia" w:ascii="仿宋_GB2312" w:hAnsi="仿宋_GB2312" w:eastAsia="仿宋_GB2312" w:cs="仿宋_GB2312"/>
          <w:b w:val="0"/>
          <w:bCs w:val="0"/>
          <w:spacing w:val="-4"/>
          <w:sz w:val="32"/>
          <w:szCs w:val="32"/>
        </w:rPr>
        <w:t>0分，自评结果为“优”，其中项目决策得分15分，项目过程得分19分，项目产出得分22分，项目效益得分26分，项目满意度得分8分。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综合评价结论：项目决策方面项目符合国家法律法规、国民经济和社会发展规划和相关政策，符合行业发展规划和政策要求；项目过程方面，已制定或具有相应的财务和业务管理制度，财务和业务管理制度合法、合规、完整，遵守相关法律法规和相关管理规定，项目调整</w:t>
      </w:r>
      <w:r>
        <w:rPr>
          <w:rStyle w:val="17"/>
          <w:rFonts w:hint="eastAsia" w:ascii="仿宋_GB2312" w:hAnsi="仿宋_GB2312" w:eastAsia="仿宋_GB2312" w:cs="仿宋_GB2312"/>
          <w:b w:val="0"/>
          <w:bCs w:val="0"/>
          <w:spacing w:val="-4"/>
          <w:sz w:val="32"/>
          <w:szCs w:val="32"/>
          <w:lang w:val="en-US" w:eastAsia="zh-CN"/>
        </w:rPr>
        <w:t>及</w:t>
      </w:r>
      <w:r>
        <w:rPr>
          <w:rStyle w:val="17"/>
          <w:rFonts w:hint="eastAsia" w:ascii="仿宋_GB2312" w:hAnsi="仿宋_GB2312" w:eastAsia="仿宋_GB2312" w:cs="仿宋_GB2312"/>
          <w:b w:val="0"/>
          <w:bCs w:val="0"/>
          <w:spacing w:val="-4"/>
          <w:sz w:val="32"/>
          <w:szCs w:val="32"/>
        </w:rPr>
        <w:t>调整手续完备，项目合同书、验收报告、技术鉴定等资料齐全并及时归档；项目产出方面，能够合理、合法的使用项目经费，并且拨付及时能够保障债权人权益，从而保证工作顺利开展；项目效益方面，项目经费使用合理能够保障职工的工作环境，居民就医环境；项目满意度方面，单位职工及居民满意度平均能够达到95%。</w:t>
      </w:r>
    </w:p>
    <w:p>
      <w:pPr>
        <w:spacing w:line="540" w:lineRule="exact"/>
        <w:rPr>
          <w:rStyle w:val="17"/>
          <w:rFonts w:hint="eastAsia" w:ascii="仿宋_GB2312" w:hAnsi="仿宋_GB2312" w:eastAsia="仿宋_GB2312" w:cs="仿宋_GB2312"/>
          <w:sz w:val="32"/>
          <w:szCs w:val="32"/>
        </w:rPr>
      </w:pPr>
      <w:r>
        <w:rPr>
          <w:rStyle w:val="17"/>
          <w:rFonts w:hint="eastAsia" w:ascii="仿宋_GB2312" w:hAnsi="仿宋_GB2312" w:eastAsia="仿宋_GB2312" w:cs="仿宋_GB2312"/>
          <w:b w:val="0"/>
          <w:spacing w:val="-4"/>
          <w:sz w:val="32"/>
          <w:szCs w:val="32"/>
        </w:rPr>
        <w:t>四、绩效评价指标分析</w:t>
      </w:r>
      <w:r>
        <w:rPr>
          <w:rStyle w:val="17"/>
          <w:rFonts w:hint="eastAsia" w:ascii="仿宋_GB2312" w:hAnsi="仿宋_GB2312" w:eastAsia="仿宋_GB2312" w:cs="仿宋_GB2312"/>
          <w:sz w:val="32"/>
          <w:szCs w:val="32"/>
        </w:rPr>
        <w:t xml:space="preserve"> </w:t>
      </w:r>
    </w:p>
    <w:p>
      <w:pPr>
        <w:spacing w:line="540" w:lineRule="exact"/>
        <w:rPr>
          <w:rStyle w:val="17"/>
          <w:rFonts w:hint="eastAsia" w:ascii="仿宋_GB2312" w:hAnsi="仿宋_GB2312" w:eastAsia="仿宋_GB2312" w:cs="仿宋_GB2312"/>
          <w:spacing w:val="-4"/>
          <w:sz w:val="32"/>
          <w:szCs w:val="32"/>
        </w:rPr>
      </w:pPr>
      <w:r>
        <w:rPr>
          <w:rFonts w:hint="eastAsia" w:ascii="仿宋_GB2312" w:hAnsi="仿宋_GB2312" w:eastAsia="仿宋_GB2312" w:cs="仿宋_GB2312"/>
          <w:b/>
          <w:spacing w:val="-4"/>
          <w:sz w:val="32"/>
          <w:szCs w:val="32"/>
        </w:rPr>
        <w:t>（一）</w:t>
      </w:r>
      <w:r>
        <w:rPr>
          <w:rStyle w:val="17"/>
          <w:rFonts w:hint="eastAsia" w:ascii="仿宋_GB2312" w:hAnsi="仿宋_GB2312" w:eastAsia="仿宋_GB2312" w:cs="仿宋_GB2312"/>
          <w:spacing w:val="-4"/>
          <w:sz w:val="32"/>
          <w:szCs w:val="32"/>
        </w:rPr>
        <w:t>项目决策情况</w:t>
      </w:r>
    </w:p>
    <w:p>
      <w:pPr>
        <w:spacing w:line="540" w:lineRule="exact"/>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ab/>
      </w:r>
      <w:r>
        <w:rPr>
          <w:rStyle w:val="17"/>
          <w:rFonts w:hint="eastAsia" w:ascii="仿宋_GB2312" w:hAnsi="仿宋_GB2312" w:eastAsia="仿宋_GB2312" w:cs="仿宋_GB2312"/>
          <w:b w:val="0"/>
          <w:bCs w:val="0"/>
          <w:spacing w:val="-4"/>
          <w:sz w:val="32"/>
          <w:szCs w:val="32"/>
        </w:rPr>
        <w:t>1.项目立项</w:t>
      </w:r>
    </w:p>
    <w:p>
      <w:pPr>
        <w:spacing w:line="540" w:lineRule="exact"/>
        <w:ind w:left="936" w:hanging="936" w:hangingChars="300"/>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（1）立项依据充分性，满分2分，得分2分，得分率100%。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①项目立项依据符合国家法律法规、国民经济和社会发展规划和相关政策；</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②项目立项符合行业发展规划和政策要求；</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③项目立项与部门职责范围相符，属于部门履职所需；</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④项目属于公共财政支持范围，符合市、区两级政府事权支出责任划分原则；</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⑤项目没有与相关部门同类项目或部门内部相关项目存在政策交叉重复。</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（2）立项程序规范性，满分2分，得分2分，得分率100%。项目立项符合规定程序，审批文件等材料合规、完整，有完整的评估程序和集体决策。</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2.绩效目标</w:t>
      </w:r>
      <w:r>
        <w:rPr>
          <w:rStyle w:val="17"/>
          <w:rFonts w:hint="eastAsia" w:ascii="仿宋_GB2312" w:hAnsi="仿宋_GB2312" w:eastAsia="仿宋_GB2312" w:cs="仿宋_GB2312"/>
          <w:b w:val="0"/>
          <w:bCs w:val="0"/>
          <w:spacing w:val="-4"/>
          <w:sz w:val="32"/>
          <w:szCs w:val="32"/>
        </w:rPr>
        <w:cr/>
      </w:r>
      <w:r>
        <w:rPr>
          <w:rStyle w:val="17"/>
          <w:rFonts w:hint="eastAsia" w:ascii="仿宋_GB2312" w:hAnsi="仿宋_GB2312" w:eastAsia="仿宋_GB2312" w:cs="仿宋_GB2312"/>
          <w:b w:val="0"/>
          <w:bCs w:val="0"/>
          <w:spacing w:val="-4"/>
          <w:sz w:val="32"/>
          <w:szCs w:val="32"/>
        </w:rPr>
        <w:t>（1）绩效目标明确性，满分4分，得分4分，得分率100%。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①明确项目相关合同，按规定偿还以前年度维修项目的欠款，减轻单位负债，保障债权人的权益。</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②与项目目标任务数1项与计划数相对应。</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（2）绩效目标合理性，满分4分，得分4分，得分率100%。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①项目绩效目标细化分解为具体的绩效指标；</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②项目绩效目标与实际工作内容相关；</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③项目预期产出效益和效果符合正常的业绩水平；</w:t>
      </w:r>
    </w:p>
    <w:p>
      <w:pPr>
        <w:spacing w:line="540" w:lineRule="exact"/>
        <w:ind w:left="941" w:leftChars="448" w:firstLine="0" w:firstLineChars="0"/>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④与预算确定的项目投资额或资金量相匹配。</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3.预算编制</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（1）测算标准合理性，满分3分，得分3分，得分率100%。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①预算测算内容符合相关政策文件规定和相关行业、领域管理标准；</w:t>
      </w:r>
    </w:p>
    <w:p>
      <w:pPr>
        <w:spacing w:line="540" w:lineRule="exact"/>
        <w:ind w:left="941" w:leftChars="448" w:firstLine="0" w:firstLineChars="0"/>
        <w:rPr>
          <w:rStyle w:val="17"/>
          <w:rFonts w:hint="eastAsia" w:ascii="仿宋_GB2312" w:hAnsi="仿宋_GB2312" w:eastAsia="仿宋_GB2312" w:cs="仿宋_GB2312"/>
          <w:b w:val="0"/>
          <w:bCs w:val="0"/>
          <w:spacing w:val="-4"/>
          <w:sz w:val="32"/>
          <w:szCs w:val="32"/>
          <w:lang w:eastAsia="zh-CN"/>
        </w:rPr>
      </w:pPr>
      <w:r>
        <w:rPr>
          <w:rStyle w:val="17"/>
          <w:rFonts w:hint="eastAsia" w:ascii="仿宋_GB2312" w:hAnsi="仿宋_GB2312" w:eastAsia="仿宋_GB2312" w:cs="仿宋_GB2312"/>
          <w:b w:val="0"/>
          <w:bCs w:val="0"/>
          <w:spacing w:val="-4"/>
          <w:sz w:val="32"/>
          <w:szCs w:val="32"/>
        </w:rPr>
        <w:t>②预算测算使用部门自行制定的支出标准，符合上级管理部门的标准或社会实际支出水平。</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（2）测算过程细化度，满分2分，得分0分，得分率0%。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 xml:space="preserve">①预算未按照项目内容，包括人力、商品和服务、资本性等各类支出，分别测算成本； </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②预算没有根据事权划分准确核定本级财政支出。</w:t>
      </w:r>
      <w:r>
        <w:rPr>
          <w:rStyle w:val="17"/>
          <w:rFonts w:hint="eastAsia" w:ascii="仿宋_GB2312" w:hAnsi="仿宋_GB2312" w:eastAsia="仿宋_GB2312" w:cs="仿宋_GB2312"/>
          <w:b w:val="0"/>
          <w:bCs w:val="0"/>
          <w:spacing w:val="-4"/>
          <w:sz w:val="32"/>
          <w:szCs w:val="32"/>
          <w:lang w:eastAsia="zh-CN"/>
        </w:rPr>
        <w:tab/>
      </w:r>
    </w:p>
    <w:p>
      <w:pPr>
        <w:spacing w:line="540" w:lineRule="exact"/>
        <w:rPr>
          <w:rStyle w:val="17"/>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二</w:t>
      </w:r>
      <w:r>
        <w:rPr>
          <w:rFonts w:hint="eastAsia" w:ascii="仿宋_GB2312" w:hAnsi="仿宋_GB2312" w:eastAsia="仿宋_GB2312" w:cs="仿宋_GB2312"/>
          <w:b/>
          <w:spacing w:val="-4"/>
          <w:sz w:val="32"/>
          <w:szCs w:val="32"/>
        </w:rPr>
        <w:t>）</w:t>
      </w:r>
      <w:r>
        <w:rPr>
          <w:rStyle w:val="17"/>
          <w:rFonts w:hint="eastAsia" w:ascii="仿宋_GB2312" w:hAnsi="仿宋_GB2312" w:eastAsia="仿宋_GB2312" w:cs="仿宋_GB2312"/>
          <w:spacing w:val="-4"/>
          <w:sz w:val="32"/>
          <w:szCs w:val="32"/>
        </w:rPr>
        <w:t>项目过程情况</w:t>
      </w:r>
    </w:p>
    <w:p>
      <w:pPr>
        <w:spacing w:line="540" w:lineRule="exact"/>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1.资金管理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（1）资金到位率，满分6分，得分6分，得分率100%。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2023年12月申请全口径还款金额7万元，2024年1月财政下达全口径金额7万元，资金到位率100%</w:t>
      </w:r>
      <w:r>
        <w:rPr>
          <w:rStyle w:val="17"/>
          <w:rFonts w:hint="eastAsia" w:ascii="仿宋_GB2312" w:hAnsi="仿宋_GB2312" w:eastAsia="仿宋_GB2312" w:cs="仿宋_GB2312"/>
          <w:b w:val="0"/>
          <w:bCs w:val="0"/>
          <w:spacing w:val="-4"/>
          <w:sz w:val="32"/>
          <w:szCs w:val="32"/>
          <w:lang w:eastAsia="zh-CN"/>
        </w:rPr>
        <w:t>。</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（2）预算执行率，满分6分，得分6分，得分率100%。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 xml:space="preserve">  2024年1月财政下达全口径金额7万元，2024年7月实际支付7万元，预算执行率达到100%</w:t>
      </w:r>
      <w:r>
        <w:rPr>
          <w:rStyle w:val="17"/>
          <w:rFonts w:hint="eastAsia" w:ascii="仿宋_GB2312" w:hAnsi="仿宋_GB2312" w:eastAsia="仿宋_GB2312" w:cs="仿宋_GB2312"/>
          <w:b w:val="0"/>
          <w:bCs w:val="0"/>
          <w:spacing w:val="-4"/>
          <w:sz w:val="32"/>
          <w:szCs w:val="32"/>
          <w:lang w:eastAsia="zh-CN"/>
        </w:rPr>
        <w:t>。</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2.组织实施</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（1）资金使用合规性，满分4分，得分4分，得分率100%。项目资金使用符合政府会计制度的相关规定，各项拨付</w:t>
      </w:r>
      <w:r>
        <w:rPr>
          <w:rStyle w:val="17"/>
          <w:rFonts w:hint="eastAsia" w:ascii="仿宋_GB2312" w:hAnsi="仿宋_GB2312" w:eastAsia="仿宋_GB2312" w:cs="仿宋_GB2312"/>
          <w:b w:val="0"/>
          <w:bCs w:val="0"/>
          <w:spacing w:val="-4"/>
          <w:sz w:val="32"/>
          <w:szCs w:val="32"/>
          <w:lang w:val="en-US" w:eastAsia="zh-CN"/>
        </w:rPr>
        <w:t>经</w:t>
      </w:r>
      <w:r>
        <w:rPr>
          <w:rStyle w:val="17"/>
          <w:rFonts w:hint="eastAsia" w:ascii="仿宋_GB2312" w:hAnsi="仿宋_GB2312" w:eastAsia="仿宋_GB2312" w:cs="仿宋_GB2312"/>
          <w:b w:val="0"/>
          <w:bCs w:val="0"/>
          <w:spacing w:val="-4"/>
          <w:sz w:val="32"/>
          <w:szCs w:val="32"/>
        </w:rPr>
        <w:t>领导审批，有完整的审批手续，项目支出不存在截留、挤占、挪用、虚列支出等情况，本年度审计、巡视、财政巡察未发现违规问题。</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w:t>
      </w:r>
      <w:r>
        <w:rPr>
          <w:rStyle w:val="17"/>
          <w:rFonts w:hint="eastAsia" w:ascii="仿宋_GB2312" w:hAnsi="仿宋_GB2312" w:eastAsia="仿宋_GB2312" w:cs="仿宋_GB2312"/>
          <w:b w:val="0"/>
          <w:bCs w:val="0"/>
          <w:spacing w:val="-4"/>
          <w:sz w:val="32"/>
          <w:szCs w:val="32"/>
          <w:lang w:val="en-US" w:eastAsia="zh-CN"/>
        </w:rPr>
        <w:t>2</w:t>
      </w:r>
      <w:r>
        <w:rPr>
          <w:rStyle w:val="17"/>
          <w:rFonts w:hint="eastAsia" w:ascii="仿宋_GB2312" w:hAnsi="仿宋_GB2312" w:eastAsia="仿宋_GB2312" w:cs="仿宋_GB2312"/>
          <w:b w:val="0"/>
          <w:bCs w:val="0"/>
          <w:spacing w:val="-4"/>
          <w:sz w:val="32"/>
          <w:szCs w:val="32"/>
        </w:rPr>
        <w:t>）管理制度健全性，满分4分，得分4分，得分率100%。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①已制定或具有相应的财务和业务管理制度，与上位法要求是否相符，但侧重点不具体；</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②财务和业务管理制度合法、合规、完整。</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w:t>
      </w:r>
      <w:r>
        <w:rPr>
          <w:rStyle w:val="17"/>
          <w:rFonts w:hint="eastAsia" w:ascii="仿宋_GB2312" w:hAnsi="仿宋_GB2312" w:eastAsia="仿宋_GB2312" w:cs="仿宋_GB2312"/>
          <w:b w:val="0"/>
          <w:bCs w:val="0"/>
          <w:spacing w:val="-4"/>
          <w:sz w:val="32"/>
          <w:szCs w:val="32"/>
          <w:lang w:val="en-US" w:eastAsia="zh-CN"/>
        </w:rPr>
        <w:t>3</w:t>
      </w:r>
      <w:r>
        <w:rPr>
          <w:rStyle w:val="17"/>
          <w:rFonts w:hint="eastAsia" w:ascii="仿宋_GB2312" w:hAnsi="仿宋_GB2312" w:eastAsia="仿宋_GB2312" w:cs="仿宋_GB2312"/>
          <w:b w:val="0"/>
          <w:bCs w:val="0"/>
          <w:spacing w:val="-4"/>
          <w:sz w:val="32"/>
          <w:szCs w:val="32"/>
        </w:rPr>
        <w:t>）制度执行有效性，满分3分，得分3分，得分率100%。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①遵守相关法律法规和相关管理规定；</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②项目调整及支出调整手续完备；</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③项目合同书、验收报告、技术鉴定等资料</w:t>
      </w:r>
      <w:r>
        <w:rPr>
          <w:rStyle w:val="17"/>
          <w:rFonts w:hint="eastAsia" w:ascii="仿宋_GB2312" w:hAnsi="仿宋_GB2312" w:eastAsia="仿宋_GB2312" w:cs="仿宋_GB2312"/>
          <w:b w:val="0"/>
          <w:bCs w:val="0"/>
          <w:spacing w:val="-4"/>
          <w:sz w:val="32"/>
          <w:szCs w:val="32"/>
          <w:lang w:val="en-US" w:eastAsia="zh-CN"/>
        </w:rPr>
        <w:t>不</w:t>
      </w:r>
      <w:bookmarkStart w:id="0" w:name="_GoBack"/>
      <w:bookmarkEnd w:id="0"/>
      <w:r>
        <w:rPr>
          <w:rStyle w:val="17"/>
          <w:rFonts w:hint="eastAsia" w:ascii="仿宋_GB2312" w:hAnsi="仿宋_GB2312" w:eastAsia="仿宋_GB2312" w:cs="仿宋_GB2312"/>
          <w:b w:val="0"/>
          <w:bCs w:val="0"/>
          <w:spacing w:val="-4"/>
          <w:sz w:val="32"/>
          <w:szCs w:val="32"/>
        </w:rPr>
        <w:t>齐全未及时归档；</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④项目实施的人员条件、场地设备、信息支撑等落实到位。</w:t>
      </w:r>
    </w:p>
    <w:p>
      <w:pPr>
        <w:spacing w:line="540" w:lineRule="exact"/>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三</w:t>
      </w:r>
      <w:r>
        <w:rPr>
          <w:rFonts w:hint="eastAsia" w:ascii="仿宋_GB2312" w:hAnsi="仿宋_GB2312" w:eastAsia="仿宋_GB2312" w:cs="仿宋_GB2312"/>
          <w:b/>
          <w:spacing w:val="-4"/>
          <w:sz w:val="32"/>
          <w:szCs w:val="32"/>
        </w:rPr>
        <w:t>）</w:t>
      </w:r>
      <w:r>
        <w:rPr>
          <w:rStyle w:val="17"/>
          <w:rFonts w:hint="eastAsia" w:ascii="仿宋_GB2312" w:hAnsi="仿宋_GB2312" w:eastAsia="仿宋_GB2312" w:cs="仿宋_GB2312"/>
          <w:spacing w:val="-4"/>
          <w:sz w:val="32"/>
          <w:szCs w:val="32"/>
        </w:rPr>
        <w:t>项目产出情况</w:t>
      </w:r>
    </w:p>
    <w:p>
      <w:pPr>
        <w:spacing w:line="540" w:lineRule="exact"/>
        <w:ind w:left="312" w:hanging="312" w:hangingChars="100"/>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1.产出数量</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数量指标，满分6分，得分6分，得分率100%。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①根据历年签订全口径还款协议可确定全口径债务计划数量为1，目标数量为1，得分6分。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2.产出质量</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还款资金发放准确率，满分5分，得分5分，得分率100%。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①遵守相关法律法规和相关管理规定，附件：工程合同；得分2.5分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②项目已验收，且验收合格，附件：工程验收单，得分2.5分。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3.产出时效</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 xml:space="preserve"> 偿还欠款完成及时率，满分5分，得分5分，得分率100%。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①遵守相关法律法规和相关管理规定进行支付，附件：工程合同；得分2.5分。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②能保障项目经费不被挪用和截留；2023年7月实际支付7万元，附件：支付回单，得分2.5分。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4.产出成本</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偿还工程项目费用，满分6分，得分6分，得分率100%。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①对资金的支出按照审批权限进行层层审批，附件：支付审批表；得分2分。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②能够合理的使用资金，附件：工程合同；得分2分。</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③能够合法的使用资金，未出现资金挪用、截留情况，附件：支付回单，得分2分。</w:t>
      </w:r>
    </w:p>
    <w:p>
      <w:pPr>
        <w:spacing w:line="540" w:lineRule="exact"/>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四</w:t>
      </w:r>
      <w:r>
        <w:rPr>
          <w:rFonts w:hint="eastAsia" w:ascii="仿宋_GB2312" w:hAnsi="仿宋_GB2312" w:eastAsia="仿宋_GB2312" w:cs="仿宋_GB2312"/>
          <w:b/>
          <w:spacing w:val="-4"/>
          <w:sz w:val="32"/>
          <w:szCs w:val="32"/>
        </w:rPr>
        <w:t>）</w:t>
      </w:r>
      <w:r>
        <w:rPr>
          <w:rStyle w:val="17"/>
          <w:rFonts w:hint="eastAsia" w:ascii="仿宋_GB2312" w:hAnsi="仿宋_GB2312" w:eastAsia="仿宋_GB2312" w:cs="仿宋_GB2312"/>
          <w:spacing w:val="-4"/>
          <w:sz w:val="32"/>
          <w:szCs w:val="32"/>
        </w:rPr>
        <w:t>项目</w:t>
      </w:r>
      <w:r>
        <w:rPr>
          <w:rStyle w:val="17"/>
          <w:rFonts w:hint="eastAsia" w:ascii="仿宋_GB2312" w:hAnsi="仿宋_GB2312" w:eastAsia="仿宋_GB2312" w:cs="仿宋_GB2312"/>
          <w:spacing w:val="-4"/>
          <w:sz w:val="32"/>
          <w:szCs w:val="32"/>
          <w:lang w:val="en-US" w:eastAsia="zh-CN"/>
        </w:rPr>
        <w:t>成本</w:t>
      </w:r>
      <w:r>
        <w:rPr>
          <w:rStyle w:val="17"/>
          <w:rFonts w:hint="eastAsia" w:ascii="仿宋_GB2312" w:hAnsi="仿宋_GB2312" w:eastAsia="仿宋_GB2312" w:cs="仿宋_GB2312"/>
          <w:spacing w:val="-4"/>
          <w:sz w:val="32"/>
          <w:szCs w:val="32"/>
        </w:rPr>
        <w:t>情况</w:t>
      </w:r>
    </w:p>
    <w:p>
      <w:pPr>
        <w:spacing w:line="540" w:lineRule="exact"/>
        <w:rPr>
          <w:rStyle w:val="17"/>
          <w:rFonts w:hint="eastAsia" w:ascii="仿宋_GB2312" w:hAnsi="仿宋_GB2312" w:eastAsia="仿宋_GB2312" w:cs="仿宋_GB2312"/>
          <w:b w:val="0"/>
          <w:bCs w:val="0"/>
          <w:spacing w:val="-4"/>
          <w:sz w:val="32"/>
          <w:szCs w:val="32"/>
          <w:lang w:val="en-US" w:eastAsia="zh-CN"/>
        </w:rPr>
      </w:pPr>
      <w:r>
        <w:rPr>
          <w:rStyle w:val="17"/>
          <w:rFonts w:hint="eastAsia" w:ascii="仿宋_GB2312" w:hAnsi="仿宋_GB2312" w:eastAsia="仿宋_GB2312" w:cs="仿宋_GB2312"/>
          <w:b w:val="0"/>
          <w:bCs w:val="0"/>
          <w:spacing w:val="-4"/>
          <w:sz w:val="32"/>
          <w:szCs w:val="32"/>
        </w:rPr>
        <w:t>1.社会效益</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保障债权人的权益，满分30分，得分26分，得分率86.67%</w:t>
      </w:r>
      <w:r>
        <w:rPr>
          <w:rStyle w:val="17"/>
          <w:rFonts w:hint="eastAsia" w:ascii="仿宋_GB2312" w:hAnsi="仿宋_GB2312" w:eastAsia="仿宋_GB2312" w:cs="仿宋_GB2312"/>
          <w:b w:val="0"/>
          <w:bCs w:val="0"/>
          <w:spacing w:val="-4"/>
          <w:sz w:val="32"/>
          <w:szCs w:val="32"/>
          <w:lang w:eastAsia="zh-CN"/>
        </w:rPr>
        <w:t>。</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①单位围墙改造，为单位职工提供良好的工作环境，美化围墙也为职工提供了更加温馨、舒适、安全的工作环境，及时支付工程费用也保障了债权人的权益</w:t>
      </w:r>
      <w:r>
        <w:rPr>
          <w:rStyle w:val="17"/>
          <w:rFonts w:hint="eastAsia" w:ascii="仿宋_GB2312" w:hAnsi="仿宋_GB2312" w:eastAsia="仿宋_GB2312" w:cs="仿宋_GB2312"/>
          <w:b w:val="0"/>
          <w:bCs w:val="0"/>
          <w:spacing w:val="-4"/>
          <w:sz w:val="32"/>
          <w:szCs w:val="32"/>
          <w:lang w:eastAsia="zh-CN"/>
        </w:rPr>
        <w:t>。</w:t>
      </w:r>
    </w:p>
    <w:p>
      <w:pPr>
        <w:spacing w:line="540" w:lineRule="exact"/>
        <w:rPr>
          <w:rStyle w:val="17"/>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五</w:t>
      </w: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eastAsia="zh-CN"/>
        </w:rPr>
        <w:t>满意度</w:t>
      </w:r>
      <w:r>
        <w:rPr>
          <w:rStyle w:val="17"/>
          <w:rFonts w:hint="eastAsia" w:ascii="仿宋_GB2312" w:hAnsi="仿宋_GB2312" w:eastAsia="仿宋_GB2312" w:cs="仿宋_GB2312"/>
          <w:spacing w:val="-4"/>
          <w:sz w:val="32"/>
          <w:szCs w:val="32"/>
        </w:rPr>
        <w:t>情况</w:t>
      </w:r>
    </w:p>
    <w:p>
      <w:pPr>
        <w:spacing w:line="540" w:lineRule="exact"/>
        <w:ind w:firstLine="624" w:firstLineChars="200"/>
        <w:rPr>
          <w:rStyle w:val="17"/>
          <w:rFonts w:hint="eastAsia" w:ascii="仿宋_GB2312" w:hAnsi="仿宋_GB2312" w:eastAsia="仿宋_GB2312" w:cs="仿宋_GB2312"/>
          <w:spacing w:val="-4"/>
          <w:sz w:val="32"/>
          <w:szCs w:val="32"/>
        </w:rPr>
      </w:pPr>
      <w:r>
        <w:rPr>
          <w:rStyle w:val="17"/>
          <w:rFonts w:hint="eastAsia" w:ascii="仿宋_GB2312" w:hAnsi="仿宋_GB2312" w:eastAsia="仿宋_GB2312" w:cs="仿宋_GB2312"/>
          <w:b w:val="0"/>
          <w:bCs w:val="0"/>
          <w:spacing w:val="-4"/>
          <w:sz w:val="32"/>
          <w:szCs w:val="32"/>
        </w:rPr>
        <w:t>债权人满意度满意度，满分8分，得分8分，得分率100%。</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①为了解债权人对本单位的满意度，单位特制定满意度问卷调查，问卷内容涵盖了债权人对就医环境的满意度及对就诊满意度进行调查，共发放1份问卷调查表，债权人满意度能够达到96%以上。</w:t>
      </w:r>
    </w:p>
    <w:p>
      <w:pPr>
        <w:spacing w:line="540" w:lineRule="exact"/>
        <w:rPr>
          <w:rStyle w:val="17"/>
          <w:rFonts w:hint="eastAsia" w:ascii="仿宋_GB2312" w:hAnsi="仿宋_GB2312" w:eastAsia="仿宋_GB2312" w:cs="仿宋_GB2312"/>
          <w:b w:val="0"/>
          <w:spacing w:val="-4"/>
          <w:sz w:val="32"/>
          <w:szCs w:val="32"/>
        </w:rPr>
      </w:pPr>
      <w:r>
        <w:rPr>
          <w:rStyle w:val="17"/>
          <w:rFonts w:hint="eastAsia" w:ascii="仿宋_GB2312" w:hAnsi="仿宋_GB2312" w:eastAsia="仿宋_GB2312" w:cs="仿宋_GB2312"/>
          <w:b w:val="0"/>
          <w:spacing w:val="-4"/>
          <w:sz w:val="32"/>
          <w:szCs w:val="32"/>
          <w:lang w:val="en-US" w:eastAsia="zh-CN"/>
        </w:rPr>
        <w:t>五</w:t>
      </w:r>
      <w:r>
        <w:rPr>
          <w:rStyle w:val="17"/>
          <w:rFonts w:hint="eastAsia" w:ascii="仿宋_GB2312" w:hAnsi="仿宋_GB2312" w:eastAsia="仿宋_GB2312" w:cs="仿宋_GB2312"/>
          <w:b w:val="0"/>
          <w:spacing w:val="-4"/>
          <w:sz w:val="32"/>
          <w:szCs w:val="32"/>
        </w:rPr>
        <w:t>、主要经验及做法、存在的问题及原因分析</w:t>
      </w:r>
    </w:p>
    <w:p>
      <w:pPr>
        <w:spacing w:line="540" w:lineRule="exact"/>
        <w:ind w:left="624" w:hanging="624" w:hangingChars="200"/>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（一）主要经验及做法</w:t>
      </w:r>
    </w:p>
    <w:p>
      <w:pPr>
        <w:spacing w:line="540" w:lineRule="exact"/>
        <w:ind w:left="628" w:leftChars="299" w:firstLine="0" w:firstLineChars="0"/>
        <w:rPr>
          <w:rFonts w:hint="eastAsia" w:ascii="仿宋_GB2312" w:hAnsi="仿宋_GB2312" w:eastAsia="仿宋_GB2312" w:cs="仿宋_GB2312"/>
          <w:spacing w:val="-4"/>
          <w:sz w:val="32"/>
          <w:szCs w:val="32"/>
        </w:rPr>
      </w:pPr>
      <w:r>
        <w:rPr>
          <w:rStyle w:val="17"/>
          <w:rFonts w:hint="eastAsia" w:ascii="仿宋_GB2312" w:hAnsi="仿宋_GB2312" w:eastAsia="仿宋_GB2312" w:cs="仿宋_GB2312"/>
          <w:b w:val="0"/>
          <w:bCs w:val="0"/>
          <w:spacing w:val="-4"/>
          <w:sz w:val="32"/>
          <w:szCs w:val="32"/>
        </w:rPr>
        <w:t>1、严格遵守还款政策和规定，确保还款的合法性和合规性。</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2、在偿还过程中，建立专门的财务管理团队，制定详细的还款计划，监控还款进度。这些措施确保了还款过程的顺利进行，成功实现了债务按时偿还，为单位的稳健运行提供了有力保障。</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3、加强风险管理和应对策略的制定和执行，降低潜在的风险发生的概率，单位各部门紧密配合，共同制定了还款计划并监控实施进度。</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（二）存在问题及原因分析</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债务偿还能力有限，受限于资金来源渠道单一，收入水平较低等因素，社区卫生服务中心的债务偿还能力有限，难以在短期内完成大量的债务的偿还；财务管理不规范，由于单位财务人员更换频繁导致在财务管理方面存在不规范的现象，如预算未按照项目内容，包括人力、商品和服务、资本性等各类支出，分别测算成本；项目合同书、验收报告、技术鉴定等资料齐全未及时归档；对全面实施预算绩效管理的要求认识还不到位，项目申报、实施等环节与预算绩效管理的各个环节联系不够紧密。针对以上问题我们也认真剖析了原因：在政策制定方面，目前针对社区卫生服务中心的债务偿还政策尚不完善，缺乏明确的指导意见和具体的支持措施；管理体制不够健全，缺乏有效的内部控制和监督机制，使债务在偿还过程中的风险难以被发现和控制。</w:t>
      </w:r>
    </w:p>
    <w:p>
      <w:pPr>
        <w:spacing w:line="540" w:lineRule="exact"/>
        <w:rPr>
          <w:rStyle w:val="17"/>
          <w:rFonts w:hint="eastAsia" w:ascii="仿宋_GB2312" w:hAnsi="仿宋_GB2312" w:eastAsia="仿宋_GB2312" w:cs="仿宋_GB2312"/>
          <w:b w:val="0"/>
          <w:spacing w:val="-4"/>
          <w:sz w:val="32"/>
          <w:szCs w:val="32"/>
        </w:rPr>
      </w:pPr>
      <w:r>
        <w:rPr>
          <w:rStyle w:val="17"/>
          <w:rFonts w:hint="eastAsia" w:ascii="仿宋_GB2312" w:hAnsi="仿宋_GB2312" w:eastAsia="仿宋_GB2312" w:cs="仿宋_GB2312"/>
          <w:b w:val="0"/>
          <w:spacing w:val="-4"/>
          <w:sz w:val="32"/>
          <w:szCs w:val="32"/>
          <w:u w:val="dotted"/>
          <w:lang w:val="en-US" w:eastAsia="zh-CN"/>
        </w:rPr>
        <w:t>六</w:t>
      </w:r>
      <w:r>
        <w:rPr>
          <w:rStyle w:val="17"/>
          <w:rFonts w:hint="eastAsia" w:ascii="仿宋_GB2312" w:hAnsi="仿宋_GB2312" w:eastAsia="仿宋_GB2312" w:cs="仿宋_GB2312"/>
          <w:b w:val="0"/>
          <w:spacing w:val="-4"/>
          <w:sz w:val="32"/>
          <w:szCs w:val="32"/>
        </w:rPr>
        <w:t>、有关建议</w:t>
      </w:r>
    </w:p>
    <w:p>
      <w:pPr>
        <w:spacing w:line="540" w:lineRule="exact"/>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（一）对项目决策的建议：</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1.在决策前，明确目标和目的，尽可能收集相关的项目信息、市场数据、技术资料等，确保测算依据的准确性和完整性。</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2.对决策可能带来的各种影响进行深入分析，包括正面影响和负面影响，长期影响和短期影响等。</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4.明确责任人和执行人，以及他们的权力和职责范围。</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5.建立反馈机制，对决策的执行情况进行跟踪和评估，并根据反馈结果进行调整和优化。</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6、按照项目内容，包括人力、商品和服务、资本性等各类支出，分别测算成本。</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7、根据事权划分准确核定本级财政支出。</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（二）对预算安排与执行的建议:</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lang w:val="en-US" w:eastAsia="zh-CN"/>
        </w:rPr>
        <w:t xml:space="preserve">  </w:t>
      </w:r>
      <w:r>
        <w:rPr>
          <w:rStyle w:val="17"/>
          <w:rFonts w:hint="eastAsia" w:ascii="仿宋_GB2312" w:hAnsi="仿宋_GB2312" w:eastAsia="仿宋_GB2312" w:cs="仿宋_GB2312"/>
          <w:b w:val="0"/>
          <w:bCs w:val="0"/>
          <w:spacing w:val="-4"/>
          <w:sz w:val="32"/>
          <w:szCs w:val="32"/>
        </w:rPr>
        <w:t>完善预算安排与支出进度挂钩机制，提高预算执行效率。加大预算执行与下年度预算安排挂钩力度，强化激励引导，促进各部门加快预算执行进度。关注本部门项目当年预算执行情况，对排名靠前且绩效目标完成好的项目优先保障下一年度支出需求，对预算执行进度慢且绩效目标完成不好的项目相应压减下一年度预算安排。完善预算控制机制，进一步强化预算约束。财务部门要健全完善“先有预算、再有指标、后有支出”的预算控制机制，增强预算的刚性约束，严格做到“无预算不支出”，强化预算对执行的控制，牢固树立过紧日子的思想。优化支出结构，合理压减一般性支出，充分保障重点支出需求，有效用好增量，盘活存量。</w:t>
      </w:r>
    </w:p>
    <w:p>
      <w:pPr>
        <w:spacing w:line="540" w:lineRule="exact"/>
        <w:ind w:left="624" w:hanging="624" w:hangingChars="200"/>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（三）对管理制度健全性的建议:</w:t>
      </w:r>
    </w:p>
    <w:p>
      <w:pPr>
        <w:spacing w:line="540" w:lineRule="exact"/>
        <w:ind w:left="628" w:leftChars="299" w:firstLine="0" w:firstLineChars="0"/>
        <w:rPr>
          <w:rStyle w:val="17"/>
          <w:rFonts w:hint="eastAsia" w:ascii="仿宋_GB2312" w:hAnsi="仿宋_GB2312" w:eastAsia="仿宋_GB2312" w:cs="仿宋_GB2312"/>
          <w:spacing w:val="-4"/>
          <w:sz w:val="32"/>
          <w:szCs w:val="32"/>
        </w:rPr>
      </w:pPr>
      <w:r>
        <w:rPr>
          <w:rStyle w:val="17"/>
          <w:rFonts w:hint="eastAsia" w:ascii="仿宋_GB2312" w:hAnsi="仿宋_GB2312" w:eastAsia="仿宋_GB2312" w:cs="仿宋_GB2312"/>
          <w:b w:val="0"/>
          <w:bCs w:val="0"/>
          <w:spacing w:val="-4"/>
          <w:sz w:val="32"/>
          <w:szCs w:val="32"/>
        </w:rPr>
        <w:t>开展资金效益分析：对项目的资金效益进行深入分析，评估资金使用的效果和效率。通过对比预算与实际支出，找出资金使用的差异和原因，为优化资金管理提供依据。优化资金配置：根据项目的实际进展和效益评估结果，优化资金配置。对于效益显著、进展顺利的项目，可以适当增加资金投入；对于效益不佳、进展缓慢的项目，应减少或调整资金投入。</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（四）对管理制度健全性的建议:</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1、制定或具有相应的财务和业务管理制度，与上位法要求是否相符，明确侧重点；</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2、财务和业务管理制度合法、合规、完整。</w:t>
      </w:r>
      <w:r>
        <w:rPr>
          <w:rStyle w:val="17"/>
          <w:rFonts w:hint="eastAsia" w:ascii="仿宋_GB2312" w:hAnsi="仿宋_GB2312" w:eastAsia="仿宋_GB2312" w:cs="仿宋_GB2312"/>
          <w:b w:val="0"/>
          <w:bCs w:val="0"/>
          <w:spacing w:val="-4"/>
          <w:sz w:val="32"/>
          <w:szCs w:val="32"/>
        </w:rPr>
        <w:br/>
      </w:r>
      <w:r>
        <w:rPr>
          <w:rStyle w:val="17"/>
          <w:rFonts w:hint="eastAsia" w:ascii="仿宋_GB2312" w:hAnsi="仿宋_GB2312" w:eastAsia="仿宋_GB2312" w:cs="仿宋_GB2312"/>
          <w:b w:val="0"/>
          <w:bCs w:val="0"/>
          <w:spacing w:val="-4"/>
          <w:sz w:val="32"/>
          <w:szCs w:val="32"/>
        </w:rPr>
        <w:t>3、加强财务管理规范化建设，建立完善的账目管理制度和内部监督机制，确保债务在偿还过程中的信息透明度和风险控制。</w:t>
      </w:r>
    </w:p>
    <w:p>
      <w:pPr>
        <w:spacing w:line="540" w:lineRule="exact"/>
        <w:ind w:firstLine="640"/>
        <w:rPr>
          <w:rStyle w:val="17"/>
          <w:rFonts w:hint="eastAsia" w:ascii="仿宋_GB2312" w:hAnsi="仿宋_GB2312" w:eastAsia="仿宋_GB2312" w:cs="仿宋_GB2312"/>
          <w:b w:val="0"/>
          <w:spacing w:val="-4"/>
          <w:sz w:val="32"/>
          <w:szCs w:val="32"/>
        </w:rPr>
      </w:pPr>
      <w:r>
        <w:rPr>
          <w:rStyle w:val="17"/>
          <w:rFonts w:hint="eastAsia" w:ascii="仿宋_GB2312" w:hAnsi="仿宋_GB2312" w:eastAsia="仿宋_GB2312" w:cs="仿宋_GB2312"/>
          <w:b w:val="0"/>
          <w:spacing w:val="-4"/>
          <w:sz w:val="32"/>
          <w:szCs w:val="32"/>
          <w:lang w:val="en-US" w:eastAsia="zh-CN"/>
        </w:rPr>
        <w:t>七</w:t>
      </w:r>
      <w:r>
        <w:rPr>
          <w:rStyle w:val="17"/>
          <w:rFonts w:hint="eastAsia" w:ascii="仿宋_GB2312" w:hAnsi="仿宋_GB2312" w:eastAsia="仿宋_GB2312" w:cs="仿宋_GB2312"/>
          <w:b w:val="0"/>
          <w:spacing w:val="-4"/>
          <w:sz w:val="32"/>
          <w:szCs w:val="32"/>
        </w:rPr>
        <w:t>、其他需要说明的问题</w:t>
      </w:r>
    </w:p>
    <w:p>
      <w:pPr>
        <w:spacing w:line="540" w:lineRule="exact"/>
        <w:ind w:firstLine="567"/>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无</w:t>
      </w: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sectPr>
      <w:headerReference r:id="rId4" w:type="default"/>
      <w:footerReference r:id="rId5" w:type="default"/>
      <w:pgSz w:w="11906" w:h="16838"/>
      <w:pgMar w:top="1440" w:right="1558" w:bottom="1440" w:left="175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Cambria">
    <w:panose1 w:val="02040503050406030204"/>
    <w:charset w:val="00"/>
    <w:family w:val="auto"/>
    <w:pitch w:val="default"/>
    <w:sig w:usb0="E00006FF" w:usb1="420024FF" w:usb2="02000000" w:usb3="00000000" w:csb0="2000019F" w:csb1="00000000"/>
  </w:font>
  <w:font w:name="Calibri">
    <w:panose1 w:val="020F0502020204030204"/>
    <w:charset w:val="00"/>
    <w:family w:val="auto"/>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2"/>
      <w:jc w:val="center"/>
    </w:pPr>
    <w:r>
      <w:fldChar w:fldCharType="begin"/>
    </w:r>
    <w:r>
      <w:instrText xml:space="preserve">PAGE   \* MERGEFORMAT</w:instrText>
    </w:r>
    <w:r>
      <w:fldChar w:fldCharType="separate"/>
    </w:r>
    <w:r>
      <w:rPr>
        <w:lang w:val="zh-CN"/>
      </w:rPr>
      <w:t>1</w:t>
    </w:r>
    <w:r>
      <w:fldChar w:fldCharType="end"/>
    </w:r>
  </w:p>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annotation subject"/>
    <w:lsdException w:qFormat="1" w:uiPriority="99" w:name="Balloon Text"/>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4"/>
    <w:qFormat/>
    <w:uiPriority w:val="9"/>
    <w:pPr>
      <w:keepNext/>
      <w:widowControl/>
      <w:spacing w:before="240" w:after="60"/>
      <w:jc w:val="left"/>
      <w:outlineLvl w:val="0"/>
    </w:pPr>
    <w:rPr>
      <w:rFonts w:ascii="Cambria" w:hAnsi="Cambria" w:eastAsia="宋体"/>
      <w:b/>
      <w:bCs/>
      <w:kern w:val="32"/>
      <w:sz w:val="32"/>
      <w:szCs w:val="32"/>
    </w:rPr>
  </w:style>
  <w:style w:type="paragraph" w:styleId="3">
    <w:name w:val="heading 2"/>
    <w:basedOn w:val="1"/>
    <w:next w:val="1"/>
    <w:link w:val="25"/>
    <w:semiHidden/>
    <w:unhideWhenUsed/>
    <w:qFormat/>
    <w:uiPriority w:val="9"/>
    <w:pPr>
      <w:keepNext/>
      <w:widowControl/>
      <w:spacing w:before="240" w:after="60"/>
      <w:jc w:val="left"/>
      <w:outlineLvl w:val="1"/>
    </w:pPr>
    <w:rPr>
      <w:rFonts w:ascii="Cambria" w:hAnsi="Cambria" w:eastAsia="宋体"/>
      <w:b/>
      <w:bCs/>
      <w:i/>
      <w:iCs/>
      <w:kern w:val="0"/>
      <w:sz w:val="28"/>
      <w:szCs w:val="28"/>
    </w:rPr>
  </w:style>
  <w:style w:type="paragraph" w:styleId="4">
    <w:name w:val="heading 3"/>
    <w:basedOn w:val="1"/>
    <w:next w:val="1"/>
    <w:link w:val="26"/>
    <w:semiHidden/>
    <w:unhideWhenUsed/>
    <w:qFormat/>
    <w:uiPriority w:val="9"/>
    <w:pPr>
      <w:keepNext/>
      <w:widowControl/>
      <w:spacing w:before="240" w:after="60"/>
      <w:jc w:val="left"/>
      <w:outlineLvl w:val="2"/>
    </w:pPr>
    <w:rPr>
      <w:rFonts w:ascii="Cambria" w:hAnsi="Cambria" w:eastAsia="宋体"/>
      <w:b/>
      <w:bCs/>
      <w:kern w:val="0"/>
      <w:sz w:val="26"/>
      <w:szCs w:val="26"/>
    </w:rPr>
  </w:style>
  <w:style w:type="paragraph" w:styleId="5">
    <w:name w:val="heading 4"/>
    <w:basedOn w:val="1"/>
    <w:next w:val="1"/>
    <w:link w:val="27"/>
    <w:semiHidden/>
    <w:unhideWhenUsed/>
    <w:qFormat/>
    <w:uiPriority w:val="9"/>
    <w:pPr>
      <w:keepNext/>
      <w:widowControl/>
      <w:spacing w:before="240" w:after="60"/>
      <w:jc w:val="left"/>
      <w:outlineLvl w:val="3"/>
    </w:pPr>
    <w:rPr>
      <w:rFonts w:ascii="Calibri" w:hAnsi="Calibri" w:eastAsia="宋体"/>
      <w:b/>
      <w:bCs/>
      <w:kern w:val="0"/>
      <w:sz w:val="28"/>
      <w:szCs w:val="28"/>
    </w:rPr>
  </w:style>
  <w:style w:type="paragraph" w:styleId="6">
    <w:name w:val="heading 5"/>
    <w:basedOn w:val="1"/>
    <w:next w:val="1"/>
    <w:link w:val="28"/>
    <w:semiHidden/>
    <w:unhideWhenUsed/>
    <w:qFormat/>
    <w:uiPriority w:val="9"/>
    <w:pPr>
      <w:widowControl/>
      <w:spacing w:before="240" w:after="60"/>
      <w:jc w:val="left"/>
      <w:outlineLvl w:val="4"/>
    </w:pPr>
    <w:rPr>
      <w:rFonts w:ascii="Calibri" w:hAnsi="Calibri" w:eastAsia="宋体"/>
      <w:b/>
      <w:bCs/>
      <w:i/>
      <w:iCs/>
      <w:kern w:val="0"/>
      <w:sz w:val="26"/>
      <w:szCs w:val="26"/>
    </w:rPr>
  </w:style>
  <w:style w:type="paragraph" w:styleId="7">
    <w:name w:val="heading 6"/>
    <w:basedOn w:val="1"/>
    <w:next w:val="1"/>
    <w:link w:val="29"/>
    <w:semiHidden/>
    <w:unhideWhenUsed/>
    <w:qFormat/>
    <w:uiPriority w:val="9"/>
    <w:pPr>
      <w:widowControl/>
      <w:spacing w:before="240" w:after="60"/>
      <w:jc w:val="left"/>
      <w:outlineLvl w:val="5"/>
    </w:pPr>
    <w:rPr>
      <w:rFonts w:ascii="Calibri" w:hAnsi="Calibri" w:eastAsia="宋体"/>
      <w:b/>
      <w:bCs/>
      <w:kern w:val="0"/>
      <w:sz w:val="22"/>
      <w:szCs w:val="22"/>
    </w:rPr>
  </w:style>
  <w:style w:type="paragraph" w:styleId="8">
    <w:name w:val="heading 7"/>
    <w:basedOn w:val="1"/>
    <w:next w:val="1"/>
    <w:link w:val="30"/>
    <w:semiHidden/>
    <w:unhideWhenUsed/>
    <w:qFormat/>
    <w:uiPriority w:val="9"/>
    <w:pPr>
      <w:widowControl/>
      <w:spacing w:before="240" w:after="60"/>
      <w:jc w:val="left"/>
      <w:outlineLvl w:val="6"/>
    </w:pPr>
    <w:rPr>
      <w:rFonts w:ascii="Calibri" w:hAnsi="Calibri" w:eastAsia="宋体"/>
      <w:kern w:val="0"/>
      <w:sz w:val="24"/>
    </w:rPr>
  </w:style>
  <w:style w:type="paragraph" w:styleId="9">
    <w:name w:val="heading 8"/>
    <w:basedOn w:val="1"/>
    <w:next w:val="1"/>
    <w:link w:val="31"/>
    <w:semiHidden/>
    <w:unhideWhenUsed/>
    <w:qFormat/>
    <w:uiPriority w:val="9"/>
    <w:pPr>
      <w:widowControl/>
      <w:spacing w:before="240" w:after="60"/>
      <w:jc w:val="left"/>
      <w:outlineLvl w:val="7"/>
    </w:pPr>
    <w:rPr>
      <w:rFonts w:ascii="Calibri" w:hAnsi="Calibri" w:eastAsia="宋体"/>
      <w:i/>
      <w:iCs/>
      <w:kern w:val="0"/>
      <w:sz w:val="24"/>
    </w:rPr>
  </w:style>
  <w:style w:type="paragraph" w:styleId="10">
    <w:name w:val="heading 9"/>
    <w:basedOn w:val="1"/>
    <w:next w:val="1"/>
    <w:link w:val="32"/>
    <w:semiHidden/>
    <w:unhideWhenUsed/>
    <w:qFormat/>
    <w:uiPriority w:val="9"/>
    <w:pPr>
      <w:widowControl/>
      <w:spacing w:before="240" w:after="60"/>
      <w:jc w:val="left"/>
      <w:outlineLvl w:val="8"/>
    </w:pPr>
    <w:rPr>
      <w:rFonts w:ascii="Cambria" w:hAnsi="Cambria" w:eastAsia="宋体"/>
      <w:kern w:val="0"/>
      <w:sz w:val="22"/>
      <w:szCs w:val="22"/>
    </w:rPr>
  </w:style>
  <w:style w:type="character" w:default="1" w:styleId="16">
    <w:name w:val="Default Paragraph Font"/>
    <w:semiHidden/>
    <w:unhideWhenUsed/>
    <w:qFormat/>
    <w:uiPriority w:val="1"/>
  </w:style>
  <w:style w:type="paragraph" w:styleId="11">
    <w:name w:val="Balloon Text"/>
    <w:basedOn w:val="1"/>
    <w:link w:val="44"/>
    <w:semiHidden/>
    <w:unhideWhenUsed/>
    <w:qFormat/>
    <w:uiPriority w:val="99"/>
    <w:rPr>
      <w:sz w:val="18"/>
      <w:szCs w:val="18"/>
    </w:rPr>
  </w:style>
  <w:style w:type="paragraph" w:styleId="12">
    <w:name w:val="footer"/>
    <w:basedOn w:val="1"/>
    <w:link w:val="43"/>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2"/>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4"/>
    <w:qFormat/>
    <w:uiPriority w:val="11"/>
    <w:pPr>
      <w:widowControl/>
      <w:spacing w:after="60"/>
      <w:jc w:val="center"/>
      <w:outlineLvl w:val="1"/>
    </w:pPr>
    <w:rPr>
      <w:rFonts w:ascii="Cambria" w:hAnsi="Cambria" w:eastAsia="宋体"/>
      <w:kern w:val="0"/>
      <w:sz w:val="24"/>
    </w:rPr>
  </w:style>
  <w:style w:type="paragraph" w:styleId="15">
    <w:name w:val="Title"/>
    <w:basedOn w:val="1"/>
    <w:next w:val="1"/>
    <w:link w:val="33"/>
    <w:qFormat/>
    <w:uiPriority w:val="10"/>
    <w:pPr>
      <w:widowControl/>
      <w:spacing w:before="240" w:after="60"/>
      <w:jc w:val="center"/>
      <w:outlineLvl w:val="0"/>
    </w:pPr>
    <w:rPr>
      <w:rFonts w:ascii="Cambria" w:hAnsi="Cambria" w:eastAsia="宋体"/>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Calibri" w:hAnsi="Calibri"/>
      <w:b/>
      <w:i/>
      <w:iCs/>
    </w:rPr>
  </w:style>
  <w:style w:type="paragraph" w:customStyle="1" w:styleId="19">
    <w:name w:val="No Spacing"/>
    <w:basedOn w:val="1"/>
    <w:qFormat/>
    <w:uiPriority w:val="1"/>
    <w:pPr>
      <w:widowControl/>
      <w:jc w:val="left"/>
    </w:pPr>
    <w:rPr>
      <w:rFonts w:ascii="Calibri" w:hAnsi="Calibri" w:eastAsia="宋体" w:cs="Times New Roman"/>
      <w:kern w:val="0"/>
      <w:sz w:val="24"/>
      <w:szCs w:val="32"/>
      <w:lang w:eastAsia="en-US" w:bidi="en-US"/>
    </w:rPr>
  </w:style>
  <w:style w:type="paragraph" w:customStyle="1" w:styleId="20">
    <w:name w:val="List Paragraph"/>
    <w:basedOn w:val="1"/>
    <w:qFormat/>
    <w:uiPriority w:val="34"/>
    <w:pPr>
      <w:widowControl/>
      <w:ind w:left="720"/>
      <w:contextualSpacing/>
      <w:jc w:val="left"/>
    </w:pPr>
    <w:rPr>
      <w:rFonts w:ascii="Calibri" w:hAnsi="Calibri" w:eastAsia="宋体"/>
      <w:kern w:val="0"/>
      <w:sz w:val="24"/>
      <w:lang w:eastAsia="en-US" w:bidi="en-US"/>
    </w:rPr>
  </w:style>
  <w:style w:type="paragraph" w:customStyle="1" w:styleId="21">
    <w:name w:val="Quote"/>
    <w:basedOn w:val="1"/>
    <w:next w:val="1"/>
    <w:link w:val="35"/>
    <w:qFormat/>
    <w:uiPriority w:val="29"/>
    <w:pPr>
      <w:widowControl/>
      <w:jc w:val="left"/>
    </w:pPr>
    <w:rPr>
      <w:rFonts w:ascii="Calibri" w:hAnsi="Calibri" w:eastAsia="宋体"/>
      <w:i/>
      <w:kern w:val="0"/>
      <w:sz w:val="24"/>
    </w:rPr>
  </w:style>
  <w:style w:type="paragraph" w:customStyle="1" w:styleId="22">
    <w:name w:val="Intense Quote"/>
    <w:basedOn w:val="1"/>
    <w:next w:val="1"/>
    <w:link w:val="36"/>
    <w:qFormat/>
    <w:uiPriority w:val="30"/>
    <w:pPr>
      <w:widowControl/>
      <w:ind w:left="720" w:right="720"/>
      <w:jc w:val="left"/>
    </w:pPr>
    <w:rPr>
      <w:rFonts w:ascii="Calibri" w:hAnsi="Calibri" w:eastAsia="宋体"/>
      <w:b/>
      <w:i/>
      <w:kern w:val="0"/>
      <w:sz w:val="24"/>
      <w:szCs w:val="22"/>
    </w:rPr>
  </w:style>
  <w:style w:type="paragraph" w:customStyle="1" w:styleId="23">
    <w:name w:val="TOC 标题1"/>
    <w:basedOn w:val="2"/>
    <w:next w:val="1"/>
    <w:semiHidden/>
    <w:unhideWhenUsed/>
    <w:qFormat/>
    <w:uiPriority w:val="39"/>
    <w:pPr>
      <w:outlineLvl w:val="9"/>
    </w:pPr>
    <w:rPr>
      <w:lang w:eastAsia="en-US" w:bidi="en-US"/>
    </w:rPr>
  </w:style>
  <w:style w:type="character" w:customStyle="1" w:styleId="24">
    <w:name w:val="标题 1 字符"/>
    <w:basedOn w:val="16"/>
    <w:link w:val="2"/>
    <w:qFormat/>
    <w:uiPriority w:val="9"/>
    <w:rPr>
      <w:rFonts w:ascii="Cambria" w:hAnsi="Cambria" w:eastAsia="宋体"/>
      <w:b/>
      <w:bCs/>
      <w:kern w:val="32"/>
      <w:sz w:val="32"/>
      <w:szCs w:val="32"/>
    </w:rPr>
  </w:style>
  <w:style w:type="character" w:customStyle="1" w:styleId="25">
    <w:name w:val="标题 2 字符"/>
    <w:basedOn w:val="16"/>
    <w:link w:val="3"/>
    <w:semiHidden/>
    <w:qFormat/>
    <w:uiPriority w:val="9"/>
    <w:rPr>
      <w:rFonts w:ascii="Cambria" w:hAnsi="Cambria" w:eastAsia="宋体"/>
      <w:b/>
      <w:bCs/>
      <w:i/>
      <w:iCs/>
      <w:sz w:val="28"/>
      <w:szCs w:val="28"/>
    </w:rPr>
  </w:style>
  <w:style w:type="character" w:customStyle="1" w:styleId="26">
    <w:name w:val="标题 3 字符"/>
    <w:basedOn w:val="16"/>
    <w:link w:val="4"/>
    <w:semiHidden/>
    <w:qFormat/>
    <w:uiPriority w:val="9"/>
    <w:rPr>
      <w:rFonts w:ascii="Cambria" w:hAnsi="Cambria" w:eastAsia="宋体"/>
      <w:b/>
      <w:bCs/>
      <w:sz w:val="26"/>
      <w:szCs w:val="26"/>
    </w:rPr>
  </w:style>
  <w:style w:type="character" w:customStyle="1" w:styleId="27">
    <w:name w:val="标题 4 字符"/>
    <w:basedOn w:val="16"/>
    <w:link w:val="5"/>
    <w:semiHidden/>
    <w:qFormat/>
    <w:uiPriority w:val="9"/>
    <w:rPr>
      <w:b/>
      <w:bCs/>
      <w:sz w:val="28"/>
      <w:szCs w:val="28"/>
    </w:rPr>
  </w:style>
  <w:style w:type="character" w:customStyle="1" w:styleId="28">
    <w:name w:val="标题 5 字符"/>
    <w:basedOn w:val="16"/>
    <w:link w:val="6"/>
    <w:semiHidden/>
    <w:qFormat/>
    <w:uiPriority w:val="9"/>
    <w:rPr>
      <w:b/>
      <w:bCs/>
      <w:i/>
      <w:iCs/>
      <w:sz w:val="26"/>
      <w:szCs w:val="26"/>
    </w:rPr>
  </w:style>
  <w:style w:type="character" w:customStyle="1" w:styleId="29">
    <w:name w:val="标题 6 字符"/>
    <w:basedOn w:val="16"/>
    <w:link w:val="7"/>
    <w:semiHidden/>
    <w:qFormat/>
    <w:uiPriority w:val="9"/>
    <w:rPr>
      <w:b/>
      <w:bCs/>
    </w:rPr>
  </w:style>
  <w:style w:type="character" w:customStyle="1" w:styleId="30">
    <w:name w:val="标题 7 字符"/>
    <w:basedOn w:val="16"/>
    <w:link w:val="8"/>
    <w:semiHidden/>
    <w:qFormat/>
    <w:uiPriority w:val="9"/>
    <w:rPr>
      <w:sz w:val="24"/>
      <w:szCs w:val="24"/>
    </w:rPr>
  </w:style>
  <w:style w:type="character" w:customStyle="1" w:styleId="31">
    <w:name w:val="标题 8 字符"/>
    <w:basedOn w:val="16"/>
    <w:link w:val="9"/>
    <w:semiHidden/>
    <w:qFormat/>
    <w:uiPriority w:val="9"/>
    <w:rPr>
      <w:i/>
      <w:iCs/>
      <w:sz w:val="24"/>
      <w:szCs w:val="24"/>
    </w:rPr>
  </w:style>
  <w:style w:type="character" w:customStyle="1" w:styleId="32">
    <w:name w:val="标题 9 字符"/>
    <w:basedOn w:val="16"/>
    <w:link w:val="10"/>
    <w:semiHidden/>
    <w:qFormat/>
    <w:uiPriority w:val="9"/>
    <w:rPr>
      <w:rFonts w:ascii="Cambria" w:hAnsi="Cambria" w:eastAsia="宋体"/>
    </w:rPr>
  </w:style>
  <w:style w:type="character" w:customStyle="1" w:styleId="33">
    <w:name w:val="标题 字符"/>
    <w:basedOn w:val="16"/>
    <w:link w:val="15"/>
    <w:qFormat/>
    <w:uiPriority w:val="10"/>
    <w:rPr>
      <w:rFonts w:ascii="Cambria" w:hAnsi="Cambria" w:eastAsia="宋体"/>
      <w:b/>
      <w:bCs/>
      <w:kern w:val="28"/>
      <w:sz w:val="32"/>
      <w:szCs w:val="32"/>
    </w:rPr>
  </w:style>
  <w:style w:type="character" w:customStyle="1" w:styleId="34">
    <w:name w:val="副标题 字符"/>
    <w:basedOn w:val="16"/>
    <w:link w:val="14"/>
    <w:qFormat/>
    <w:uiPriority w:val="11"/>
    <w:rPr>
      <w:rFonts w:ascii="Cambria" w:hAnsi="Cambria" w:eastAsia="宋体"/>
      <w:sz w:val="24"/>
      <w:szCs w:val="24"/>
    </w:rPr>
  </w:style>
  <w:style w:type="character" w:customStyle="1" w:styleId="35">
    <w:name w:val="引用 字符"/>
    <w:basedOn w:val="16"/>
    <w:link w:val="21"/>
    <w:qFormat/>
    <w:uiPriority w:val="29"/>
    <w:rPr>
      <w:i/>
      <w:sz w:val="24"/>
      <w:szCs w:val="24"/>
    </w:rPr>
  </w:style>
  <w:style w:type="character" w:customStyle="1" w:styleId="36">
    <w:name w:val="明显引用 字符"/>
    <w:basedOn w:val="16"/>
    <w:link w:val="22"/>
    <w:qFormat/>
    <w:uiPriority w:val="30"/>
    <w:rPr>
      <w:b/>
      <w:i/>
      <w:sz w:val="24"/>
    </w:rPr>
  </w:style>
  <w:style w:type="character" w:customStyle="1" w:styleId="37">
    <w:name w:val="不明显强调1"/>
    <w:qFormat/>
    <w:uiPriority w:val="19"/>
    <w:rPr>
      <w:i/>
      <w:color w:val="565656"/>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Cambria" w:hAnsi="Cambria" w:eastAsia="宋体"/>
      <w:b/>
      <w:i/>
      <w:sz w:val="24"/>
      <w:szCs w:val="24"/>
    </w:rPr>
  </w:style>
  <w:style w:type="character" w:customStyle="1" w:styleId="42">
    <w:name w:val="页眉 字符"/>
    <w:basedOn w:val="16"/>
    <w:link w:val="13"/>
    <w:qFormat/>
    <w:uiPriority w:val="99"/>
    <w:rPr>
      <w:rFonts w:ascii="Calibri" w:hAnsi="Calibri" w:eastAsia="宋体"/>
      <w:kern w:val="2"/>
      <w:sz w:val="18"/>
      <w:szCs w:val="18"/>
    </w:rPr>
  </w:style>
  <w:style w:type="character" w:customStyle="1" w:styleId="43">
    <w:name w:val="页脚 字符"/>
    <w:basedOn w:val="16"/>
    <w:link w:val="12"/>
    <w:qFormat/>
    <w:uiPriority w:val="99"/>
    <w:rPr>
      <w:rFonts w:ascii="Calibri" w:hAnsi="Calibri" w:eastAsia="宋体"/>
      <w:kern w:val="2"/>
      <w:sz w:val="18"/>
      <w:szCs w:val="18"/>
    </w:rPr>
  </w:style>
  <w:style w:type="character" w:customStyle="1" w:styleId="44">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 Id="rId7"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5848</Words>
  <Characters>6029</Characters>
  <Lines>5</Lines>
  <Paragraphs>1</Paragraphs>
  <TotalTime>0</TotalTime>
  <ScaleCrop>false</ScaleCrop>
  <LinksUpToDate>false</LinksUpToDate>
  <CharactersWithSpaces>0</CharactersWithSpaces>
  <Application>WPS Office 专业版_8.1.0.0_{F1E327BC-269C-435d-A152-05C5408002CA}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Lenovo</cp:lastModifiedBy>
  <cp:lastPrinted>2018-12-31T10:56:00Z</cp:lastPrinted>
  <dcterms:modified xsi:type="dcterms:W3CDTF">2025-11-06T14:47:06Z</dcterms:modified>
  <dc:title>附件2：</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2052-8.1.0.0</vt:lpwstr>
  </property>
  <property fmtid="{D5CDD505-2E9C-101B-9397-08002B2CF9AE}" pid="3" name="ICV">
    <vt:lpwstr>C734C92AAAF24344A0E4232D8EB3359B</vt:lpwstr>
  </property>
  <property fmtid="{D5CDD505-2E9C-101B-9397-08002B2CF9AE}" pid="4" name="KSOTemplateDocerSaveRecord">
    <vt:lpwstr>eyJoZGlkIjoiYjAwZDY0MzljNDE2MjBkZjY5ZjY0ODNhMGVjMWM0N2EiLCJ1c2VySWQiOiIxMDA1MzM3ODU4In0=</vt:lpwstr>
  </property>
</Properties>
</file>