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2024年预算全口径</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伊州区德外里乡卫生院（妇幼保健计划生育服务站）</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哈密市伊州区卫生健康委员会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杜山别克</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2025年05月19日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1.项目背景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根据</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文件要</w:t>
      </w:r>
      <w:r>
        <w:rPr>
          <w:rStyle w:val="17"/>
          <w:rFonts w:hint="eastAsia" w:ascii="仿宋_GB2312" w:hAnsi="仿宋_GB2312" w:eastAsia="仿宋_GB2312" w:cs="仿宋_GB2312"/>
          <w:b w:val="0"/>
          <w:bCs w:val="0"/>
          <w:spacing w:val="-4"/>
          <w:sz w:val="32"/>
          <w:szCs w:val="32"/>
          <w:lang w:val="en-US" w:eastAsia="zh-CN"/>
        </w:rPr>
        <w:t>求</w:t>
      </w:r>
      <w:r>
        <w:rPr>
          <w:rStyle w:val="17"/>
          <w:rFonts w:hint="eastAsia" w:ascii="仿宋_GB2312" w:hAnsi="仿宋_GB2312" w:eastAsia="仿宋_GB2312" w:cs="仿宋_GB2312"/>
          <w:b w:val="0"/>
          <w:bCs w:val="0"/>
          <w:spacing w:val="-4"/>
          <w:sz w:val="32"/>
          <w:szCs w:val="32"/>
        </w:rPr>
        <w:t xml:space="preserve">，对伊州区2024年基层医疗机构运行支出项目绩效评价工作提供专业性指导和服务，完成各阶段评价工作。 </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 2.主要内容及实施情况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项目名称为哈密市卫生局德外里乡卫生院附属工程建设项目,协议签订日期为2016年9月，事项协议号为007,认定为隐性债务的金额为66.80万元。为做好地方政府隐性债务清理化解工作，核实本次还款意向，本着自愿、公平、公开、公正的原则，2024年度予以化解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3.资金投入和使用情况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事项协议号为007,认定为隐性债务的金额为66.80万元，截至2024年12月31日，项目资金支付13.3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万元，资金到位率100%，预算执行率为</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通过根据项目相关合同，按规定偿还以前年度资产收购项目的欠款，减轻单位负担，保障债权人的权益。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本项目总体目标为：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根据《自治区财政支出绩效评价管理暂行办法》（新财预〔2018〕189号）等文件精神，结合项目相关信息，将年度目标细化分解，最终确定该项目阶段性目标如下：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1.产出指标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数量指标：全口径检测平台还款数不低于1个；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质量指标：还款资金发放准确率100%；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时效指标：偿还欠款完成及时率达到100%。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2.成本指标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经济成本指标：偿还欠款费用不高于9万元；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3.效益指标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社会效益指标:保障债权人的权益。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4.满意度指标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满意度指标：债权人满意度不低于96%。</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我单位根据《自治区财政支出绩效评价管理暂行办法》（新财预〔2018〕189号）文件精神，对2024年预算全口径绩效目标实现情况进行自评。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项目立项：立项依据充分性，权重2分；立项程序规范性，权重2分。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预算编制：测算标准科学性，权重3分；资金分配合理性，权重2分。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组织实施：资金使用合规性，权重4分，管理制度健全性，权重3分，制度执行有效性，权重4分。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数量指标：全口径检测平台还款数，权重6分；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质量指标：还款资金发放准确率，权重6分；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时效指标：资金拨付及时率，权重5分。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成本指标：偿还项目欠款费用，权重5分。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社会效益指标：提高医疗服务能力，权重30分；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服务对象满意度指标：单位职工满意度，权重8分。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对基层医疗机构运行项目绩效评价主要通过项目单位自评、主管部门监督、财政部门参评的方式开展绩效评价工作。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1）整理项目全过程资料建档：资金及项目批复文件、绩效目标申报表、可行性研究报告或实施方案、（招标文件）绩效目标过程监控表、验收报告（或决算）、资金支付或会计凭证、满意度调查问卷。作为评价基础资料。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（2）采取“年初绩效目标预定与实施效果比较法”进行评价，评价指标体系以绩效目标申报指标为依据。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2.组织过程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（1）项目全过程资料档案复核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（2）检查内容和过程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发放调查问卷开展职工满意度调查工作。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（3）撰写报告情况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 xml:space="preserve">分，自评结果为“优”，其中其中项目决策17分，项目过程23分，项目产出21分，项目效益30分，项目满意度8分。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符合法律法规、相关政策、发展规划以及部门职责；项目过程方面，资金到位率100%；项目产出方面，完成各项工作，项目效益方面，达到预期目标值；项目满意度方面，债权人满意度达到目标值。</w:t>
      </w:r>
    </w:p>
    <w:p>
      <w:pPr>
        <w:spacing w:line="540" w:lineRule="exact"/>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tabs>
          <w:tab w:val="center" w:pos="4295"/>
        </w:tabs>
        <w:spacing w:line="540" w:lineRule="exact"/>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 xml:space="preserve">1.项目立项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(1)立项依据充分性，满分2分，得分2分，得分率100%。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名称为哈密市卫生局德外里乡卫生院附属工程建设项目,协议签订日期为2016年9月，事项协议号为007,认定为隐性债务的金额为66.80万元。为做好地方政府隐性债务清理化解工作，核实本次还款意向，本着自愿、公平、公开、公正的原则，2024年度予以化解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项目立项是否符合国家法律法规、国民经济和社会发展规划和相关政策，符合行业发展规划和政策要求，符合我单位弘扬科学精神，项目不存在与相关部门同类项目或部门内部相关项目存在政策交叉重复。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2.绩效目标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本单位年初计划，完成地方政府隐性债务清理化解工作，有效提高伊州区国有资产管理水平。通过清晰、可衡量的指标值予以体现；与项目目标任务数或计划数相对应绩效目标包含了预期产出，并通过清晰、可衡量的指标予以体现。</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项目绩效目标细化分解为具体指标，绩效目标内容与项目相关，产出和效益符合正常业绩水平，资金投入与预算资金相匹配。绩效目标设置合理可行。</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3.预算编制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名称为哈密市卫生局德外里乡卫生院附属工程建设项目,协议签订日期为2016年9月，事项协议号为007,认定为隐性债务的金额为66.80万元。为做好地方政府隐性债务清理化解工作，核实本次还款意向，本着自愿、公平、公开、公正的原则，2024年度予以化解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项目资金测算主要依据项目工程概算，概算内容中明确了各分项工程费用，费用明细详细，测算过程细化清晰。</w:t>
      </w:r>
      <w:r>
        <w:rPr>
          <w:rStyle w:val="17"/>
          <w:rFonts w:hint="eastAsia" w:ascii="仿宋_GB2312" w:hAnsi="仿宋_GB2312" w:eastAsia="仿宋_GB2312" w:cs="仿宋_GB2312"/>
          <w:b w:val="0"/>
          <w:bCs w:val="0"/>
          <w:spacing w:val="-4"/>
          <w:sz w:val="32"/>
          <w:szCs w:val="32"/>
          <w:lang w:eastAsia="zh-CN"/>
        </w:rPr>
        <w:tab/>
      </w:r>
    </w:p>
    <w:p>
      <w:pPr>
        <w:spacing w:line="540" w:lineRule="exact"/>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1.资金管理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（1）项目预算9万元，2024年10月21日收到资金8.0</w:t>
      </w:r>
      <w:r>
        <w:rPr>
          <w:rStyle w:val="17"/>
          <w:rFonts w:hint="eastAsia" w:ascii="仿宋_GB2312" w:hAnsi="仿宋_GB2312" w:eastAsia="仿宋_GB2312" w:cs="仿宋_GB2312"/>
          <w:b w:val="0"/>
          <w:bCs w:val="0"/>
          <w:spacing w:val="-4"/>
          <w:sz w:val="32"/>
          <w:szCs w:val="32"/>
          <w:lang w:val="en-US" w:eastAsia="zh-CN"/>
        </w:rPr>
        <w:t>8</w:t>
      </w:r>
      <w:r>
        <w:rPr>
          <w:rStyle w:val="17"/>
          <w:rFonts w:hint="eastAsia" w:ascii="仿宋_GB2312" w:hAnsi="仿宋_GB2312" w:eastAsia="仿宋_GB2312" w:cs="仿宋_GB2312"/>
          <w:b w:val="0"/>
          <w:bCs w:val="0"/>
          <w:spacing w:val="-4"/>
          <w:sz w:val="32"/>
          <w:szCs w:val="32"/>
        </w:rPr>
        <w:t>万元，2024年10月9日收到下达资金0.92万元，2024年10月7号收到下达资金4.3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万元，到位资金共计13.3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万元，资金到位率100%。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（2）项目实际到位资金13.3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万元，截至2024年12月31日，项目共计支出金额13.3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万元，预算执行率为</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 （1）资金使用合规性，满分4分，得分4分，得分率100%。项目资金使用符合政府会计制度的相关规定，各项拨付</w:t>
      </w:r>
      <w:r>
        <w:rPr>
          <w:rStyle w:val="17"/>
          <w:rFonts w:hint="eastAsia" w:ascii="仿宋_GB2312" w:hAnsi="仿宋_GB2312" w:eastAsia="仿宋_GB2312" w:cs="仿宋_GB2312"/>
          <w:b w:val="0"/>
          <w:bCs w:val="0"/>
          <w:spacing w:val="-4"/>
          <w:sz w:val="32"/>
          <w:szCs w:val="32"/>
          <w:lang w:val="en-US" w:eastAsia="zh-CN"/>
        </w:rPr>
        <w:t>经</w:t>
      </w:r>
      <w:r>
        <w:rPr>
          <w:rStyle w:val="17"/>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（2）管理制度健全性，得分率100%。 财务制度方面，我局为保障项目资金合理支出，制定《预算管理内部控制制度》，规定项目支出的合理流程，制度制定合法、合规。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（3）制度执行有效性，得分率100%项目支出遵守财务法律法规和自治区项目管理要求的各项规定，支出凭证、收据等相关资料齐全，项目实施所需的人员齐备，符合制度工作要求。</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1.产出数量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全口径检测平台还款数，满分6分，得分6分，得分率100%；根据项目工作计划要求，根据项目验收报告显示，实际</w:t>
      </w:r>
      <w:bookmarkStart w:id="0" w:name="_GoBack"/>
      <w:bookmarkEnd w:id="0"/>
      <w:r>
        <w:rPr>
          <w:rStyle w:val="17"/>
          <w:rFonts w:hint="eastAsia" w:ascii="仿宋_GB2312" w:hAnsi="仿宋_GB2312" w:eastAsia="仿宋_GB2312" w:cs="仿宋_GB2312"/>
          <w:b w:val="0"/>
          <w:bCs w:val="0"/>
          <w:spacing w:val="-4"/>
          <w:sz w:val="32"/>
          <w:szCs w:val="32"/>
        </w:rPr>
        <w:t>付款金额符合计划要求。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2.产出质量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还款资金发放准确率,满分6分，得分6分，得分率100%；项目按照工作计划，要求项目验收合格率为100%，通过验收报告显示，建设工程验收合格率为100%，符合计划要求。</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3.产出时效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偿还欠款完成及时率，满分5分，得分5分，得分率100%。 年初绩效指标理解存在偏差，该指标无法完成计算工作，但我单位为公益一类医疗机构，日常工作为医疗卫生保障相关工作，属于民生事项，此指标不得分。</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（四）项目成本情况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偿还项目欠款费用，满分5分，得分4分，得分率80%。；根据项目合同规定，项目计划支付9万元，根据项目支出凭证及相关收据，项目实际支付13.3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万元，符合成本控制要求。</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spacing w:line="540" w:lineRule="exact"/>
        <w:rPr>
          <w:rStyle w:val="17"/>
          <w:rFonts w:hint="eastAsia" w:ascii="仿宋_GB2312" w:hAnsi="仿宋_GB2312" w:eastAsia="仿宋_GB2312" w:cs="仿宋_GB2312"/>
          <w:b w:val="0"/>
          <w:bCs w:val="0"/>
          <w:spacing w:val="-4"/>
          <w:sz w:val="32"/>
          <w:szCs w:val="32"/>
          <w:lang w:val="en-US" w:eastAsia="zh-CN"/>
        </w:rPr>
      </w:pPr>
      <w:r>
        <w:rPr>
          <w:rStyle w:val="17"/>
          <w:rFonts w:hint="eastAsia" w:ascii="仿宋_GB2312" w:hAnsi="仿宋_GB2312" w:eastAsia="仿宋_GB2312" w:cs="仿宋_GB2312"/>
          <w:b w:val="0"/>
          <w:bCs w:val="0"/>
          <w:spacing w:val="-4"/>
          <w:sz w:val="32"/>
          <w:szCs w:val="32"/>
        </w:rPr>
        <w:t>保障债权人的权益，满分30分，得分30分，得分率100%；根据项目合同规定，项目计划支付9万元，根据项目支出凭证及相关收据，项目实际支付13.3</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万元，保障了债权人的合法权益。</w:t>
      </w:r>
    </w:p>
    <w:p>
      <w:pPr>
        <w:spacing w:line="540" w:lineRule="exact"/>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spacing w:line="540" w:lineRule="exact"/>
        <w:ind w:firstLine="567"/>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本项目债权人满意度为100%。</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spacing w:line="540" w:lineRule="exact"/>
        <w:ind w:firstLine="567"/>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4363</Words>
  <Characters>4642</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2025-11-06T15:05:18Z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