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2024年预算全口径</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伊州区五堡镇卫生院（妇幼保健计划生育服务站）</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阿不都热依木</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2025年05月21日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 根据</w:t>
      </w:r>
      <w:r>
        <w:rPr>
          <w:rStyle w:val="17"/>
          <w:rFonts w:hint="eastAsia" w:ascii="仿宋_GB2312" w:hAnsi="仿宋_GB2312" w:eastAsia="仿宋_GB2312" w:cs="仿宋_GB2312"/>
          <w:b w:val="0"/>
          <w:bCs w:val="0"/>
          <w:spacing w:val="-4"/>
          <w:sz w:val="32"/>
          <w:szCs w:val="32"/>
          <w:lang w:val="en-US" w:eastAsia="zh-CN"/>
        </w:rPr>
        <w:t>相关</w:t>
      </w:r>
      <w:r>
        <w:rPr>
          <w:rStyle w:val="17"/>
          <w:rFonts w:hint="eastAsia" w:ascii="仿宋_GB2312" w:hAnsi="仿宋_GB2312" w:eastAsia="仿宋_GB2312" w:cs="仿宋_GB2312"/>
          <w:b w:val="0"/>
          <w:bCs w:val="0"/>
          <w:spacing w:val="-4"/>
          <w:sz w:val="32"/>
          <w:szCs w:val="32"/>
        </w:rPr>
        <w:t>文件要</w:t>
      </w:r>
      <w:r>
        <w:rPr>
          <w:rStyle w:val="17"/>
          <w:rFonts w:hint="eastAsia" w:ascii="仿宋_GB2312" w:hAnsi="仿宋_GB2312" w:eastAsia="仿宋_GB2312" w:cs="仿宋_GB2312"/>
          <w:b w:val="0"/>
          <w:bCs w:val="0"/>
          <w:spacing w:val="-4"/>
          <w:sz w:val="32"/>
          <w:szCs w:val="32"/>
          <w:lang w:val="en-US" w:eastAsia="zh-CN"/>
        </w:rPr>
        <w:t>求</w:t>
      </w:r>
      <w:r>
        <w:rPr>
          <w:rStyle w:val="17"/>
          <w:rFonts w:hint="eastAsia" w:ascii="仿宋_GB2312" w:hAnsi="仿宋_GB2312" w:eastAsia="仿宋_GB2312" w:cs="仿宋_GB2312"/>
          <w:b w:val="0"/>
          <w:bCs w:val="0"/>
          <w:spacing w:val="-4"/>
          <w:sz w:val="32"/>
          <w:szCs w:val="32"/>
        </w:rPr>
        <w:t xml:space="preserve">，对伊州区2024年基层医疗机构运行支出项目绩效评价工作提供专业性指导和服务，完成各阶段评价工作。 </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通过根据项目相关合同，按规定偿还以前年度资产收购项目的欠款，减轻单位负担，保障债权人的权益。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本项目总体目标为：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根据《自治区财政支出绩效评价管理暂行办法》（新财预〔2018〕189号）等文件精神，结合项目相关信息，将年度目标细化分解，最终确定该项目阶段性目标如下：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1.产出指标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数量指标：全口径检测平台还款数不低于1个；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质量指标：还款资金发放准确率100%；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时效指标：偿还欠款完成及时率达到100%。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2.成本指标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经济成本指标：偿还欠款费用不高于9万元；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3.效益指标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社会效益指标:保障债权人的权益。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 xml:space="preserve"> 4.满意度指标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满意度指标：债权人满意度不低于96%。</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我单位根据《自治区财政支出绩效评价管理暂行办法》（新财预〔2018〕189号）文件精神，对2024年预算全口径绩效目标实现情况进行自评。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项目立项：立项依据充分性，权重2分；立项程序规范性，权重2分。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预算编制：测算标准科学性，权重3分；资金分配合理性，权重2分。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组织实施：资金使用合规性，权重4分，管理制度健全性，权重3分，制度执行有效性，权重4分。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数量指标：全口径检测平台还款数，权重6分；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质量指标：还款资金发放准确率，权重6分；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时效指标：资金拨付及时率，权重5分。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成本指标：偿还项目欠款费用，权重5分。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社会效益指标：提高医疗服务能力，权重30分；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服务对象满意度指标：单位职工满意度，权重8分。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对基层医疗机构运行项目绩效评价主要通过项目单位自评、主管部门监督、财政部门参评的方式开展绩效评价工作。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整理项目全过程资料建档：资金及项目批复文件、绩效目标申报表、可行性研究报告或实施方案、（招标文件）绩效目标过程监控表、验收报告（或决算）、资金支付或会计凭证、满意度调查问卷。作为评价基础资料。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（2）采取“年初绩效目标预定与实施效果比较法”进行评价，评价指标体系以绩效目标申报指标为依据。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2.组织过程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（1）项目全过程资料档案复核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（2）检查内容和过程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发放调查问卷开展职工满意度调查工作。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（3）撰写报告情况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 xml:space="preserve">分，自评结果为“优”，其中其中项目决策17分，项目过程23分，项目产出21分，项目效益30分，项目满意度8分。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符合法律法规、相关政策、发展规划以及部门职责；项目过程方面，资金到位率100%；项目产出方面，完成各项工作，项目效益方面，达到预期目标值；项目满意度方面，债权人满意度达到目标值。</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tabs>
          <w:tab w:val="center" w:pos="4295"/>
        </w:tabs>
        <w:spacing w:line="540" w:lineRule="exact"/>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 xml:space="preserve">1.项目立项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项目名称为卫生院住院部前后地面硬化工程 建设项目,协议签订日期为2016年4月，事项协议号为004,认定为隐性债务的金额为17.35万元。为做好地方政府隐性债务清理化解工作，核实本次还款意向，本着自愿、公平、公开、公正的原则，2024年度予以化解17.35万元。项目立项是否符合国家法律法规、国民经济和社会发展规划和相关政策，符合行业发展规划和政策要求，符合我单位弘扬科学精神，项目不存在与相关部门同类项目或部门内部相关项目存在政策交叉重复。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2.绩效目标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本单位年初计划，完成地方政府隐性债务清理化解工作，有效提高伊州区国有资产管理水平。通过清晰、可衡量的指标值予以体现；与项目目标任务数或计划数相对应绩效目标包含了预期产出，并通过清晰、可衡量的指标予以体现。</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项目绩效目标细化分解为具体指标，绩效目标内容与项目相关，产出和效益符合正常业绩水平，资金投入与预算资金相匹配。绩效目标设置合理可行。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3.预算编制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项目名称卫生院住院部前后地面硬化工程 建设项目,协议签订日期为2016年4月，事项协议号为004,认定为隐性债务的金额为17.35万元。为做好地方政府隐性债务清理化解工作，核实本次还款意向，本着自愿、公平、公开、公正的原则，2024年度予以化解17.35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项目资金测算主要依据项目工程概算，概算内容中明确了各分项工程费用，费用明细详细，测算过程细化清晰。</w:t>
      </w:r>
      <w:r>
        <w:rPr>
          <w:rStyle w:val="17"/>
          <w:rFonts w:hint="eastAsia" w:ascii="仿宋_GB2312" w:hAnsi="仿宋_GB2312" w:eastAsia="仿宋_GB2312" w:cs="仿宋_GB2312"/>
          <w:b w:val="0"/>
          <w:bCs w:val="0"/>
          <w:spacing w:val="-4"/>
          <w:sz w:val="32"/>
          <w:szCs w:val="32"/>
          <w:lang w:eastAsia="zh-CN"/>
        </w:rPr>
        <w:tab/>
      </w:r>
    </w:p>
    <w:p>
      <w:pPr>
        <w:tabs>
          <w:tab w:val="center" w:pos="4295"/>
        </w:tabs>
        <w:spacing w:line="540" w:lineRule="exact"/>
        <w:ind w:left="627" w:hanging="627" w:hangingChars="200"/>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1.资金管理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（1）项目预算5万元，2024年06月14日已</w:t>
      </w:r>
      <w:r>
        <w:rPr>
          <w:rStyle w:val="17"/>
          <w:rFonts w:hint="eastAsia" w:ascii="仿宋_GB2312" w:hAnsi="仿宋_GB2312" w:eastAsia="仿宋_GB2312" w:cs="仿宋_GB2312"/>
          <w:b w:val="0"/>
          <w:bCs w:val="0"/>
          <w:spacing w:val="-4"/>
          <w:sz w:val="32"/>
          <w:szCs w:val="32"/>
          <w:lang w:val="en-US" w:eastAsia="zh-CN"/>
        </w:rPr>
        <w:t>支</w:t>
      </w:r>
      <w:r>
        <w:rPr>
          <w:rStyle w:val="17"/>
          <w:rFonts w:hint="eastAsia" w:ascii="仿宋_GB2312" w:hAnsi="仿宋_GB2312" w:eastAsia="仿宋_GB2312" w:cs="仿宋_GB2312"/>
          <w:b w:val="0"/>
          <w:bCs w:val="0"/>
          <w:spacing w:val="-4"/>
          <w:sz w:val="32"/>
          <w:szCs w:val="32"/>
        </w:rPr>
        <w:t>付资金4.01万元，2024年8月28日已支付资金0.33万元，2024年10月15已支付资金17.35万元，资金到位率100%。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（2）项目实际到位资金21.69万元，截至2024年12月31日，项目共计支出金额21.69万元，预算执行率为</w:t>
      </w:r>
      <w:r>
        <w:rPr>
          <w:rStyle w:val="17"/>
          <w:rFonts w:hint="eastAsia" w:ascii="仿宋_GB2312" w:hAnsi="仿宋_GB2312" w:eastAsia="仿宋_GB2312" w:cs="仿宋_GB2312"/>
          <w:b w:val="0"/>
          <w:bCs w:val="0"/>
          <w:spacing w:val="-4"/>
          <w:sz w:val="32"/>
          <w:szCs w:val="32"/>
          <w:lang w:val="en-US" w:eastAsia="zh-CN"/>
        </w:rPr>
        <w:t>100</w:t>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 （1）资金使用合规性，满分4分，得分4分，得分率100%。项目资金使用符合政府会计制度的相关规定，各项拨付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（2）管理制度健全性，得分率100%。 财务制度方面，我局为保障项目资金合理支出，制定《预算管理内部控制制度》，规定项目支出的合理流程，制度制定合法、合规。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（3）制度执行有效性，得分率100%项目支出遵守财务法律法规和自治区项目管理要求的各项规定，支出凭证、收据等相关资料齐全，项目实施所需的人员齐备，符合制度工作要求。</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 xml:space="preserve">1.产出数量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全口径检测平台还款数，满分6分，得分6分，得分率100%；根据项目工作计划要求，根据项目验收报告显示，实际</w:t>
      </w:r>
      <w:bookmarkStart w:id="0" w:name="_GoBack"/>
      <w:bookmarkEnd w:id="0"/>
      <w:r>
        <w:rPr>
          <w:rStyle w:val="17"/>
          <w:rFonts w:hint="eastAsia" w:ascii="仿宋_GB2312" w:hAnsi="仿宋_GB2312" w:eastAsia="仿宋_GB2312" w:cs="仿宋_GB2312"/>
          <w:b w:val="0"/>
          <w:bCs w:val="0"/>
          <w:spacing w:val="-4"/>
          <w:sz w:val="32"/>
          <w:szCs w:val="32"/>
        </w:rPr>
        <w:t>付款金额符合计划要求。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2.产出质量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还款资金发放准确率,满分6分，得分6分，得分率100%；项目按照工作计划，要求项目验收合格率为100%，通过验收报告显示，建设工程验收合格率为100%，符合计划要求。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3.产出时效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偿还欠款完成及时率，满分5分，得分5分，得分率100%。 年初绩效指标理解存在偏差，该指标无法完成计算工作，但我单位为公益一类医疗机构，日常工作为医疗卫生保障相关工作，属于民生事项，此指标不得分。</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ind w:firstLine="567"/>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保障债权人的权益，满分30分，得分30分，得分率100%；根据项目合同规定，项目计划支付9万元，根据项目支出凭证及相关收据，项目实际支付13.3万元，保障了债权人的合法权益。</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ind w:firstLine="567"/>
        <w:rPr>
          <w:rStyle w:val="17"/>
          <w:rFonts w:hint="eastAsia" w:ascii="仿宋_GB2312" w:hAnsi="仿宋_GB2312" w:eastAsia="仿宋_GB2312" w:cs="仿宋_GB2312"/>
          <w:b w:val="0"/>
          <w:bCs w:val="0"/>
          <w:spacing w:val="-4"/>
          <w:sz w:val="32"/>
          <w:szCs w:val="32"/>
        </w:rPr>
      </w:pP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本项目债权人满意度为100%。</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ind w:firstLine="567"/>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ind w:firstLine="567"/>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无建议</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4056</Words>
  <Characters>4261</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2025-11-06T14:49:59Z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