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widowControl w:val="0"/>
        <w:wordWrap/>
        <w:adjustRightInd/>
        <w:snapToGrid/>
        <w:spacing w:line="560" w:lineRule="exact"/>
        <w:ind w:firstLine="1044" w:firstLineChars="200"/>
        <w:jc w:val="center"/>
        <w:textAlignment w:val="auto"/>
        <w:rPr>
          <w:rFonts w:ascii="华文中宋" w:hAnsi="华文中宋" w:eastAsia="华文中宋" w:cs="宋体"/>
          <w:b/>
          <w:kern w:val="0"/>
          <w:sz w:val="52"/>
          <w:szCs w:val="52"/>
        </w:rPr>
      </w:pPr>
    </w:p>
    <w:p>
      <w:pPr>
        <w:widowControl w:val="0"/>
        <w:wordWrap/>
        <w:adjustRightInd/>
        <w:snapToGrid/>
        <w:spacing w:line="560" w:lineRule="exact"/>
        <w:ind w:firstLine="964" w:firstLineChars="200"/>
        <w:jc w:val="center"/>
        <w:textAlignment w:val="auto"/>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widowControl w:val="0"/>
        <w:wordWrap/>
        <w:adjustRightInd/>
        <w:snapToGrid/>
        <w:spacing w:line="560" w:lineRule="exact"/>
        <w:ind w:firstLine="1044" w:firstLineChars="200"/>
        <w:jc w:val="center"/>
        <w:textAlignment w:val="auto"/>
        <w:rPr>
          <w:rFonts w:ascii="华文中宋" w:hAnsi="华文中宋" w:eastAsia="华文中宋" w:cs="宋体"/>
          <w:b/>
          <w:kern w:val="0"/>
          <w:sz w:val="52"/>
          <w:szCs w:val="52"/>
        </w:rPr>
      </w:pPr>
    </w:p>
    <w:p>
      <w:pPr>
        <w:widowControl w:val="0"/>
        <w:wordWrap/>
        <w:adjustRightInd/>
        <w:snapToGrid/>
        <w:spacing w:line="560" w:lineRule="exact"/>
        <w:ind w:firstLine="720" w:firstLineChars="200"/>
        <w:jc w:val="center"/>
        <w:textAlignment w:val="auto"/>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widowControl w:val="0"/>
        <w:wordWrap/>
        <w:adjustRightInd/>
        <w:snapToGrid/>
        <w:spacing w:line="560" w:lineRule="exact"/>
        <w:ind w:firstLine="600" w:firstLineChars="200"/>
        <w:jc w:val="center"/>
        <w:textAlignment w:val="auto"/>
        <w:rPr>
          <w:rFonts w:hAnsi="宋体" w:eastAsia="仿宋_GB2312" w:cs="宋体"/>
          <w:kern w:val="0"/>
          <w:sz w:val="30"/>
          <w:szCs w:val="30"/>
        </w:rPr>
      </w:pPr>
    </w:p>
    <w:p>
      <w:pPr>
        <w:widowControl w:val="0"/>
        <w:wordWrap/>
        <w:adjustRightInd/>
        <w:snapToGrid/>
        <w:spacing w:line="560" w:lineRule="exact"/>
        <w:ind w:firstLine="600" w:firstLineChars="200"/>
        <w:jc w:val="center"/>
        <w:textAlignment w:val="auto"/>
        <w:rPr>
          <w:rFonts w:hAnsi="宋体" w:eastAsia="仿宋_GB2312" w:cs="宋体"/>
          <w:kern w:val="0"/>
          <w:sz w:val="30"/>
          <w:szCs w:val="30"/>
        </w:rPr>
      </w:pPr>
    </w:p>
    <w:p>
      <w:pPr>
        <w:widowControl w:val="0"/>
        <w:wordWrap/>
        <w:adjustRightInd/>
        <w:snapToGrid/>
        <w:spacing w:line="560" w:lineRule="exact"/>
        <w:ind w:firstLine="600" w:firstLineChars="200"/>
        <w:jc w:val="center"/>
        <w:textAlignment w:val="auto"/>
        <w:rPr>
          <w:rFonts w:hAnsi="宋体" w:eastAsia="仿宋_GB2312" w:cs="宋体"/>
          <w:kern w:val="0"/>
          <w:sz w:val="30"/>
          <w:szCs w:val="30"/>
        </w:rPr>
      </w:pPr>
    </w:p>
    <w:p>
      <w:pPr>
        <w:widowControl w:val="0"/>
        <w:wordWrap/>
        <w:adjustRightInd/>
        <w:snapToGrid/>
        <w:spacing w:line="560" w:lineRule="exact"/>
        <w:ind w:firstLine="600" w:firstLineChars="200"/>
        <w:jc w:val="center"/>
        <w:textAlignment w:val="auto"/>
        <w:rPr>
          <w:rFonts w:hAnsi="宋体" w:eastAsia="仿宋_GB2312" w:cs="宋体"/>
          <w:kern w:val="0"/>
          <w:sz w:val="30"/>
          <w:szCs w:val="30"/>
        </w:rPr>
      </w:pPr>
    </w:p>
    <w:p>
      <w:pPr>
        <w:widowControl w:val="0"/>
        <w:wordWrap/>
        <w:adjustRightInd/>
        <w:snapToGrid/>
        <w:spacing w:line="560" w:lineRule="exact"/>
        <w:ind w:firstLine="600" w:firstLineChars="200"/>
        <w:jc w:val="center"/>
        <w:textAlignment w:val="auto"/>
        <w:rPr>
          <w:rFonts w:hAnsi="宋体" w:eastAsia="仿宋_GB2312" w:cs="宋体"/>
          <w:kern w:val="0"/>
          <w:sz w:val="30"/>
          <w:szCs w:val="30"/>
        </w:rPr>
      </w:pPr>
    </w:p>
    <w:p>
      <w:pPr>
        <w:widowControl w:val="0"/>
        <w:wordWrap/>
        <w:adjustRightInd/>
        <w:snapToGrid/>
        <w:spacing w:line="560" w:lineRule="exact"/>
        <w:ind w:firstLine="600" w:firstLineChars="200"/>
        <w:jc w:val="center"/>
        <w:textAlignment w:val="auto"/>
        <w:rPr>
          <w:rFonts w:hAnsi="宋体" w:eastAsia="仿宋_GB2312" w:cs="宋体"/>
          <w:kern w:val="0"/>
          <w:sz w:val="30"/>
          <w:szCs w:val="30"/>
        </w:rPr>
      </w:pPr>
    </w:p>
    <w:p>
      <w:pPr>
        <w:widowControl w:val="0"/>
        <w:wordWrap/>
        <w:adjustRightInd/>
        <w:snapToGrid/>
        <w:spacing w:line="560" w:lineRule="exact"/>
        <w:ind w:firstLine="600" w:firstLineChars="200"/>
        <w:textAlignment w:val="auto"/>
        <w:rPr>
          <w:rFonts w:hAnsi="宋体" w:eastAsia="仿宋_GB2312" w:cs="宋体"/>
          <w:kern w:val="0"/>
          <w:sz w:val="30"/>
          <w:szCs w:val="30"/>
        </w:rPr>
      </w:pPr>
    </w:p>
    <w:p>
      <w:pPr>
        <w:widowControl w:val="0"/>
        <w:wordWrap/>
        <w:adjustRightInd/>
        <w:snapToGrid/>
        <w:spacing w:line="560" w:lineRule="exact"/>
        <w:ind w:firstLine="720" w:firstLineChars="200"/>
        <w:jc w:val="left"/>
        <w:textAlignment w:val="auto"/>
        <w:rPr>
          <w:rFonts w:hAnsi="宋体" w:eastAsia="仿宋_GB2312" w:cs="宋体"/>
          <w:kern w:val="0"/>
          <w:sz w:val="36"/>
          <w:szCs w:val="36"/>
        </w:rPr>
      </w:pPr>
      <w:r>
        <w:rPr>
          <w:rFonts w:hint="eastAsia" w:hAnsi="宋体" w:eastAsia="仿宋_GB2312" w:cs="宋体"/>
          <w:kern w:val="0"/>
          <w:sz w:val="36"/>
          <w:szCs w:val="36"/>
        </w:rPr>
        <w:t xml:space="preserve">     </w:t>
      </w:r>
    </w:p>
    <w:p>
      <w:pPr>
        <w:widowControl w:val="0"/>
        <w:wordWrap/>
        <w:adjustRightInd/>
        <w:snapToGrid/>
        <w:spacing w:line="560" w:lineRule="exact"/>
        <w:jc w:val="left"/>
        <w:textAlignment w:val="auto"/>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提前下达2024年大学生志愿者服务西部计划中央补助资金</w:t>
      </w:r>
    </w:p>
    <w:p>
      <w:pPr>
        <w:widowControl w:val="0"/>
        <w:wordWrap/>
        <w:adjustRightInd/>
        <w:snapToGrid/>
        <w:spacing w:line="560" w:lineRule="exact"/>
        <w:textAlignment w:val="auto"/>
        <w:rPr>
          <w:rFonts w:ascii="楷体" w:hAnsi="楷体" w:eastAsia="楷体"/>
          <w:b/>
          <w:bCs/>
          <w:spacing w:val="-4"/>
          <w:sz w:val="32"/>
          <w:szCs w:val="32"/>
        </w:rPr>
      </w:pPr>
      <w:r>
        <w:rPr>
          <w:rFonts w:hint="eastAsia" w:hAnsi="宋体" w:eastAsia="仿宋_GB2312" w:cs="宋体"/>
          <w:kern w:val="0"/>
          <w:sz w:val="36"/>
          <w:szCs w:val="36"/>
        </w:rPr>
        <w:t>实施单位（公章）：</w:t>
      </w:r>
      <w:r>
        <w:rPr>
          <w:rStyle w:val="17"/>
          <w:rFonts w:hint="eastAsia" w:ascii="楷体" w:hAnsi="楷体" w:eastAsia="楷体"/>
          <w:spacing w:val="-4"/>
          <w:sz w:val="28"/>
          <w:szCs w:val="28"/>
        </w:rPr>
        <w:t>中国共产主义青年团哈密市伊州区委员会</w:t>
      </w:r>
    </w:p>
    <w:p>
      <w:pPr>
        <w:widowControl w:val="0"/>
        <w:wordWrap/>
        <w:adjustRightInd/>
        <w:snapToGrid/>
        <w:spacing w:line="560" w:lineRule="exact"/>
        <w:textAlignment w:val="auto"/>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中国共产主义青年团哈密市伊州区委员会</w:t>
      </w:r>
    </w:p>
    <w:p>
      <w:pPr>
        <w:widowControl w:val="0"/>
        <w:wordWrap/>
        <w:adjustRightInd/>
        <w:snapToGrid/>
        <w:spacing w:line="560" w:lineRule="exact"/>
        <w:textAlignment w:val="auto"/>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苏菲努尔·玉素甫</w:t>
      </w:r>
    </w:p>
    <w:p>
      <w:pPr>
        <w:widowControl w:val="0"/>
        <w:wordWrap/>
        <w:adjustRightInd/>
        <w:snapToGrid/>
        <w:spacing w:line="560" w:lineRule="exact"/>
        <w:textAlignment w:val="auto"/>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2025年05月18日</w:t>
      </w:r>
    </w:p>
    <w:p>
      <w:pPr>
        <w:widowControl w:val="0"/>
        <w:wordWrap/>
        <w:adjustRightInd/>
        <w:snapToGrid/>
        <w:spacing w:line="560" w:lineRule="exact"/>
        <w:ind w:firstLine="600" w:firstLineChars="200"/>
        <w:jc w:val="left"/>
        <w:textAlignment w:val="auto"/>
        <w:rPr>
          <w:rFonts w:hAnsi="宋体" w:eastAsia="仿宋_GB2312" w:cs="宋体"/>
          <w:kern w:val="0"/>
          <w:sz w:val="30"/>
          <w:szCs w:val="30"/>
        </w:rPr>
      </w:pPr>
    </w:p>
    <w:p>
      <w:pPr>
        <w:widowControl w:val="0"/>
        <w:wordWrap/>
        <w:adjustRightInd/>
        <w:snapToGrid/>
        <w:spacing w:line="560" w:lineRule="exact"/>
        <w:ind w:firstLine="624" w:firstLineChars="200"/>
        <w:textAlignment w:val="auto"/>
        <w:rPr>
          <w:rStyle w:val="17"/>
          <w:rFonts w:ascii="黑体" w:hAnsi="黑体" w:eastAsia="黑体"/>
          <w:b w:val="0"/>
          <w:spacing w:val="-4"/>
          <w:sz w:val="32"/>
          <w:szCs w:val="32"/>
        </w:rPr>
      </w:pPr>
    </w:p>
    <w:p>
      <w:pPr>
        <w:widowControl w:val="0"/>
        <w:numPr>
          <w:ilvl w:val="0"/>
          <w:numId w:val="1"/>
        </w:numPr>
        <w:wordWrap/>
        <w:adjustRightInd/>
        <w:snapToGrid/>
        <w:spacing w:line="560" w:lineRule="exact"/>
        <w:textAlignment w:val="auto"/>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rPr>
        <w:t>基本情况</w:t>
      </w:r>
    </w:p>
    <w:p>
      <w:pPr>
        <w:widowControl w:val="0"/>
        <w:numPr>
          <w:numId w:val="0"/>
        </w:numPr>
        <w:wordWrap/>
        <w:adjustRightInd/>
        <w:snapToGrid/>
        <w:spacing w:line="560" w:lineRule="exact"/>
        <w:textAlignment w:val="auto"/>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（一）项目概况</w:t>
      </w:r>
    </w:p>
    <w:p>
      <w:pPr>
        <w:widowControl w:val="0"/>
        <w:wordWrap/>
        <w:adjustRightInd/>
        <w:snapToGrid/>
        <w:spacing w:line="560" w:lineRule="exact"/>
        <w:ind w:left="621" w:leftChars="147" w:hanging="312" w:hangingChars="100"/>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1.项目背景</w:t>
      </w:r>
    </w:p>
    <w:p>
      <w:pPr>
        <w:widowControl w:val="0"/>
        <w:wordWrap/>
        <w:adjustRightInd/>
        <w:snapToGrid/>
        <w:spacing w:line="560" w:lineRule="exact"/>
        <w:ind w:firstLine="624" w:firstLineChars="200"/>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2003年，团中央、教育部、财政部、人力资源社会保障部根据国务院常务会议和全国高校毕业生就业工作会议精神，联合实施大学生志愿服务西部计划，招募一定数量的普通高等学校应届毕业生或在读研究生，到西部基层开展为期1-3年的志愿服务工作，鼓励志愿者服务期满后扎根当地就业创业。西部计划按照服务内容分为基础教育、服务三农、医疗卫生、基层青年工作、基层社会管理、服务新疆、服务西藏7个专项。西部计划是国家重大人才工程“高校毕业生基层培养计划”的子项目，是引导和鼓励高校毕业生到基层工作的5个专项之一。党中央、国务院高度关心西部计划志愿者，高度重视西部计划和研究生支教团工作。习近平总书记曾多次作出批示或给志愿者回信，肯定志愿者们在西部地区辛勤耕耘、默默奉献，为当地经济社会发展、民族团结进步作出了贡献，勉励越来越多的青年人以志愿者为榜样，到基层和人民中去建功立业，让青春之花绽放在祖国最需要的地方，在实现中国梦的伟大实践中书写别样精彩的人生。</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2.主要内容及实施情况</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2024年西部计划大学生志愿者经费项目主要涉及在岗西部计划大学生志愿者的补助发放、社保缴纳、交通补助发放、活动费用及福利费用。本项目于2023年1月开始实施，截</w:t>
      </w:r>
      <w:r>
        <w:rPr>
          <w:rStyle w:val="17"/>
          <w:rFonts w:hint="eastAsia" w:ascii="仿宋_GB2312" w:hAnsi="仿宋_GB2312" w:eastAsia="仿宋_GB2312" w:cs="仿宋_GB2312"/>
          <w:b w:val="0"/>
          <w:bCs w:val="0"/>
          <w:spacing w:val="-4"/>
          <w:sz w:val="32"/>
          <w:szCs w:val="32"/>
          <w:lang w:val="en-US" w:eastAsia="zh-CN"/>
        </w:rPr>
        <w:t>至</w:t>
      </w:r>
      <w:r>
        <w:rPr>
          <w:rStyle w:val="17"/>
          <w:rFonts w:hint="eastAsia" w:ascii="仿宋_GB2312" w:hAnsi="仿宋_GB2312" w:eastAsia="仿宋_GB2312" w:cs="仿宋_GB2312"/>
          <w:b w:val="0"/>
          <w:bCs w:val="0"/>
          <w:spacing w:val="-4"/>
          <w:sz w:val="32"/>
          <w:szCs w:val="32"/>
        </w:rPr>
        <w:t>2023年12月已全部完成，通过本项目的实施，有效保障了西部计划志愿者基础保障工作，夯实了青年人才基础。</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3.资金投入和使用情况</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2024年计划拨付132.28万元，项目于2024年1月28日批复预算资金132.28万元，截至2024年12月31日，项目用于发放西部计划志愿者补贴、缴纳社保、开展培训等，项目资金支付132.28万元，资金到位率100%，预算执行率为100%。</w:t>
      </w:r>
    </w:p>
    <w:p>
      <w:pPr>
        <w:widowControl w:val="0"/>
        <w:wordWrap/>
        <w:adjustRightInd/>
        <w:snapToGrid/>
        <w:spacing w:line="560" w:lineRule="exact"/>
        <w:textAlignment w:val="auto"/>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（二）项目绩效目标</w:t>
      </w:r>
    </w:p>
    <w:p>
      <w:pPr>
        <w:widowControl w:val="0"/>
        <w:wordWrap/>
        <w:adjustRightInd/>
        <w:snapToGrid/>
        <w:spacing w:line="560" w:lineRule="exact"/>
        <w:ind w:firstLine="624" w:firstLineChars="200"/>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本项目总体目标为：大学生志愿服务西部计划是共青团服务国家发展特别是西部大开发中形成的品牌工程。对于西部开发战略、大学生的成长都具有非常重要的作用。2024年西部计划大学生志愿者项目的实施在一定程度上缓解了人才紧缺的问题，在民族团结、服务基层、乡村振兴、疫情防控等各方面都取得了较好的成果，进一步促进了人才的流动。</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根据《自治区财政支出绩效评价管理暂行办法》（新财预〔2018〕189号）等文件精神，结合项目相关信息，将年度目标细化分解，最终确定该项目阶段性目标如下：</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1.产出指标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数量指标：保障志愿者人数不低于85人；</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质量指标：补贴志愿者准确率达到100%；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时效指标：保障西部计划大学生志愿者工资发放及时率达到100%。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2.成本指标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经济成本指标：志愿者成本每人每年补助不高于1.57万元/年。</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3.效益指标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社会效益指标：促进人才流动，缓解人才紧张。</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4.满意度指标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满意度指标：西部计划大学生志愿者满意度不低于95%。</w:t>
      </w:r>
    </w:p>
    <w:p>
      <w:pPr>
        <w:widowControl w:val="0"/>
        <w:wordWrap/>
        <w:adjustRightInd/>
        <w:snapToGrid/>
        <w:spacing w:line="560" w:lineRule="exact"/>
        <w:textAlignment w:val="auto"/>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rPr>
        <w:t>二、绩效评价工作开展情况</w:t>
      </w:r>
    </w:p>
    <w:p>
      <w:pPr>
        <w:widowControl w:val="0"/>
        <w:wordWrap/>
        <w:adjustRightInd/>
        <w:snapToGrid/>
        <w:spacing w:line="560" w:lineRule="exact"/>
        <w:ind w:left="627" w:hanging="627" w:hangingChars="200"/>
        <w:textAlignment w:val="auto"/>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（一）绩效评价目的、对象和范围</w:t>
      </w:r>
    </w:p>
    <w:p>
      <w:pPr>
        <w:widowControl w:val="0"/>
        <w:wordWrap/>
        <w:adjustRightInd/>
        <w:snapToGrid/>
        <w:spacing w:line="560" w:lineRule="exact"/>
        <w:ind w:left="628" w:leftChars="299" w:firstLine="312" w:firstLineChars="100"/>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我单位根据《自治区财政支出绩效评价管理暂行办法》（新财预〔2018〕189号）文件精神，对2024年大学生志愿者服务西部计划中央补助资金项目绩效目标实现情况进行自评。</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widowControl w:val="0"/>
        <w:wordWrap/>
        <w:adjustRightInd/>
        <w:snapToGrid/>
        <w:spacing w:line="560" w:lineRule="exact"/>
        <w:textAlignment w:val="auto"/>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（二）绩效评价原则、评价指标体系、评价方法、评价标准</w:t>
      </w:r>
    </w:p>
    <w:p>
      <w:pPr>
        <w:widowControl w:val="0"/>
        <w:wordWrap/>
        <w:adjustRightInd/>
        <w:snapToGrid/>
        <w:spacing w:line="560" w:lineRule="exact"/>
        <w:ind w:left="638" w:leftChars="304" w:firstLine="0" w:firstLineChars="0"/>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1.绩效评价原则</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（1）科学公正。绩效评价应当运用科学合理的方法，按照规范的程序，对项目绩效进行客观、公正的反映。</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（3）激励约束。绩效评价结果应与预算安排、政策调整、改进管理实质性挂钩，体现奖优罚劣和激励导向，有效要安排、低效要压减、无效要问责。</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（4）公开透明。绩效评价结果应依法依规公开，并自觉接受社会监督。</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2.评价指标体系</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（1）项目决策</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项目立项：立项依据充分性，权重2分；立项程序规范性，权重2分。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绩效目标：绩效目标明确性，权重4分；绩效目标合理性，权重4分。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预算编制：测算标准合理性，权重3分；测算过程细化度，权重2分。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（2）项目过程</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资金管理：资金到位率，权重6分；预算执行率，权重6分。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组织实施：资金使用合规性，权重4分；管理制度健全性，权重4分，制度执行有效性，权重3分。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（3）项目产出</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数量指标：保障志愿者人数，权重6分；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质量指标：补贴志愿者准确率，权重5分；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时效指标：保障西部计划大学生志愿者工资发放及时率，权重5分。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成本指标：志愿者成本每人每年补助，权重6分。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（3）效益指标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社会效益指标：促进人才流动，缓解人才紧张，权重30分。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（4）满意度指标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服务对象满意度指标：西部计划大学生志愿者满意度，权重8分。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3.评价方法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2024年大学生志愿者服务西部计划中央补助资金项目绩效评价主要通过项目单位自评、主管部门监督、财政部门参评的方式开展绩效评价工作。</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绩效评价的方法主要包括：成本效益分析法、比较法、因素分析法、最低成本法、公众评判法、核实法等。根据评价指标的具体情况，可采用一种或多种方法。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（1）成本效益分析法。是指将投入与产出、效益进行关联性分析的方法。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（2）比较法。是指将实施情况与绩效目标、历史情况、不同部门和地区同类支出情况进行比较的方法。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（3）因素分析法。是指综合分析影响绩效目标实现、实施效果的内外部因素的方法。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（4）最低成本法。是指在绩效目标确定的前提下，成本最小者为优的方法。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（5）公众评判法。是指通过专家评估、公众问卷及抽样调查等方式进行评判的方法。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（6）核实法。是收集包括书面资料以外的信息以证实书面资料及其所反映经济活动的真实，合法，合理，有效和正确的方法。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4.评价标准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绩效评价标准通常包括计划标准、行业标准、历史标准等，用于对绩效指标完成情况进行比较。</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单位自评采用定量与定性评价相结合的比较法，总分由各项指标得分汇总形成。</w:t>
      </w:r>
    </w:p>
    <w:p>
      <w:pPr>
        <w:widowControl w:val="0"/>
        <w:wordWrap/>
        <w:adjustRightInd/>
        <w:snapToGrid/>
        <w:spacing w:line="560" w:lineRule="exact"/>
        <w:ind w:firstLine="627" w:firstLineChars="200"/>
        <w:textAlignment w:val="auto"/>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（三）绩效评价工作过程</w:t>
      </w:r>
    </w:p>
    <w:p>
      <w:pPr>
        <w:widowControl w:val="0"/>
        <w:wordWrap/>
        <w:adjustRightInd/>
        <w:snapToGrid/>
        <w:spacing w:line="560" w:lineRule="exact"/>
        <w:ind w:left="319" w:leftChars="152" w:firstLine="312" w:firstLineChars="100"/>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1.前期准备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（2）采取“年初绩效目标预定与实施效果比较法”进行评价，评价指标体系以绩效目标申报指标为依据。</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2.组织过程</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（1）项目全过程资料档案复核</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（2）检查内容和过程</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发放调查问卷开展西部计划志愿者满意度调查工作。</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（3）撰写报告情况</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根据所搜集的印证材料，按绩效评价原理和指标体系进行分析、评价和汇总，撰写绩效自评报告，并在规定时间上报。</w:t>
      </w:r>
    </w:p>
    <w:p>
      <w:pPr>
        <w:widowControl w:val="0"/>
        <w:wordWrap/>
        <w:adjustRightInd/>
        <w:snapToGrid/>
        <w:spacing w:line="560" w:lineRule="exact"/>
        <w:ind w:firstLine="624" w:firstLineChars="200"/>
        <w:textAlignment w:val="auto"/>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rPr>
        <w:t>三、综合评价情况及评价结论</w:t>
      </w:r>
    </w:p>
    <w:p>
      <w:pPr>
        <w:widowControl w:val="0"/>
        <w:wordWrap/>
        <w:adjustRightInd/>
        <w:snapToGrid/>
        <w:spacing w:line="560" w:lineRule="exact"/>
        <w:ind w:firstLine="624" w:firstLineChars="200"/>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本次项目自评满分100分，自评得分</w:t>
      </w:r>
      <w:r>
        <w:rPr>
          <w:rStyle w:val="17"/>
          <w:rFonts w:hint="eastAsia" w:ascii="仿宋_GB2312" w:hAnsi="仿宋_GB2312" w:eastAsia="仿宋_GB2312" w:cs="仿宋_GB2312"/>
          <w:b w:val="0"/>
          <w:bCs w:val="0"/>
          <w:spacing w:val="-4"/>
          <w:sz w:val="32"/>
          <w:szCs w:val="32"/>
          <w:lang w:val="en-US" w:eastAsia="zh-CN"/>
        </w:rPr>
        <w:t>100</w:t>
      </w:r>
      <w:r>
        <w:rPr>
          <w:rStyle w:val="17"/>
          <w:rFonts w:hint="eastAsia" w:ascii="仿宋_GB2312" w:hAnsi="仿宋_GB2312" w:eastAsia="仿宋_GB2312" w:cs="仿宋_GB2312"/>
          <w:b w:val="0"/>
          <w:bCs w:val="0"/>
          <w:spacing w:val="-4"/>
          <w:sz w:val="32"/>
          <w:szCs w:val="32"/>
        </w:rPr>
        <w:t>分，自评结果为“优”，其中项目决策得分17分，项目过程得分23分，项目产出得分22分，项目效益得分28分，项目满意度得分8分。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综合评价结论：项目决策方面，立项充分，目标明确，一定程度上缓解基层人才紧缺的问题；项目过程方面，管理制度完善，资金拨付到位率较高，保障了项目顺利实施；项目产出方面，完成预期，资金发放及时，工作效率较高；项目效益方面，实现了青年人才的补充；项目满意度方面，西部计划大学生志愿者满意度较高。</w:t>
      </w:r>
    </w:p>
    <w:p>
      <w:pPr>
        <w:widowControl w:val="0"/>
        <w:wordWrap/>
        <w:adjustRightInd/>
        <w:snapToGrid/>
        <w:spacing w:line="560" w:lineRule="exact"/>
        <w:textAlignment w:val="auto"/>
        <w:rPr>
          <w:rStyle w:val="17"/>
          <w:rFonts w:hint="eastAsia" w:ascii="仿宋_GB2312" w:hAnsi="仿宋_GB2312" w:eastAsia="仿宋_GB2312" w:cs="仿宋_GB2312"/>
          <w:sz w:val="32"/>
          <w:szCs w:val="32"/>
        </w:rPr>
      </w:pPr>
      <w:r>
        <w:rPr>
          <w:rStyle w:val="17"/>
          <w:rFonts w:hint="eastAsia" w:ascii="仿宋_GB2312" w:hAnsi="仿宋_GB2312" w:eastAsia="仿宋_GB2312" w:cs="仿宋_GB2312"/>
          <w:b w:val="0"/>
          <w:spacing w:val="-4"/>
          <w:sz w:val="32"/>
          <w:szCs w:val="32"/>
        </w:rPr>
        <w:t>四、绩效评价指标分析</w:t>
      </w:r>
      <w:r>
        <w:rPr>
          <w:rStyle w:val="17"/>
          <w:rFonts w:hint="eastAsia" w:ascii="仿宋_GB2312" w:hAnsi="仿宋_GB2312" w:eastAsia="仿宋_GB2312" w:cs="仿宋_GB2312"/>
          <w:sz w:val="32"/>
          <w:szCs w:val="32"/>
        </w:rPr>
        <w:t xml:space="preserve"> </w:t>
      </w:r>
    </w:p>
    <w:p>
      <w:pPr>
        <w:widowControl w:val="0"/>
        <w:wordWrap/>
        <w:adjustRightInd/>
        <w:snapToGrid/>
        <w:spacing w:line="560" w:lineRule="exact"/>
        <w:textAlignment w:val="auto"/>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（一）</w:t>
      </w:r>
      <w:r>
        <w:rPr>
          <w:rStyle w:val="17"/>
          <w:rFonts w:hint="eastAsia" w:ascii="仿宋_GB2312" w:hAnsi="仿宋_GB2312" w:eastAsia="仿宋_GB2312" w:cs="仿宋_GB2312"/>
          <w:spacing w:val="-4"/>
          <w:sz w:val="32"/>
          <w:szCs w:val="32"/>
        </w:rPr>
        <w:t>项目决策情况</w:t>
      </w:r>
    </w:p>
    <w:p>
      <w:pPr>
        <w:widowControl w:val="0"/>
        <w:tabs>
          <w:tab w:val="center" w:pos="4295"/>
        </w:tabs>
        <w:wordWrap/>
        <w:adjustRightInd/>
        <w:snapToGrid/>
        <w:spacing w:line="560" w:lineRule="exact"/>
        <w:ind w:firstLine="624" w:firstLineChars="200"/>
        <w:textAlignment w:val="auto"/>
        <w:rPr>
          <w:rStyle w:val="17"/>
          <w:rFonts w:hint="eastAsia" w:ascii="仿宋_GB2312" w:hAnsi="仿宋_GB2312" w:eastAsia="仿宋_GB2312" w:cs="仿宋_GB2312"/>
          <w:b w:val="0"/>
          <w:bCs w:val="0"/>
          <w:spacing w:val="-4"/>
          <w:sz w:val="32"/>
          <w:szCs w:val="32"/>
          <w:lang w:eastAsia="zh-CN"/>
        </w:rPr>
      </w:pPr>
      <w:r>
        <w:rPr>
          <w:rStyle w:val="17"/>
          <w:rFonts w:hint="eastAsia" w:ascii="仿宋_GB2312" w:hAnsi="仿宋_GB2312" w:eastAsia="仿宋_GB2312" w:cs="仿宋_GB2312"/>
          <w:b w:val="0"/>
          <w:bCs w:val="0"/>
          <w:spacing w:val="-4"/>
          <w:sz w:val="32"/>
          <w:szCs w:val="32"/>
        </w:rPr>
        <w:t>1.项目立项</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（1）立项依据充分性，满分2分，得分2分，得分率100%。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本项目是由团中央统一组织实施，于2003年设立，2024年我单位根据《关于做好2023-2024年度大学生西部计划志愿者经费保障工作的通知》（新团办发【2023】9号）文件要求组织实施该项目。项目立项符合国家法律法规、自治区和地区行业发展规划和政策要求，属于本部门履职所需，为每年开展的经常性项目。</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（2）立项程序规范性，满分2分，得分2分，得分率100%。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项目立项符合规定程序，审批文件等材料合规、完整，有完整的评估程序和集体决策</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2.绩效目标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（1）绩效目标明确性，满分4分，得分4分，得分率100%。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根据项目实际情况，设定各类指标，从决策实施到满意度评价，细化一级指标5个，二级指标11个，三级指标15个，本项目已将项目绩效目标细化分解为具体的绩效指标，并通过清晰、可衡量的指标值予以体现，与项目目标任务数或计划数相对应。</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（2）绩效目标合理性，满分4分，得分4分，得分率100%。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根据《关于做好2023-2024年度大学生西部计划志愿者经费保障工作的通知》（新团办发【2023】9号）文件要求组织实施该项目，根据文件规定各项要求，结合项目实施实际情况合理设定目标，本项目制定了项目支出绩效目标，明确了项目总体思路及总目标、并对项目任务进行了详细分解，对目标进行了细化。</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3.预算编制</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（1）测算标准合理性，满分3分，得分3分，得分率100%。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根据《关于做好2023-2024年度大学生西部计划志愿者经费保障工作的通知》文件要求组织实施该项目，结合自治区西部计划项目办、哈密市西部计划项目办相关工作要求，按照西部计划申报人数及标准进行测算，预算编制经过科学论证，内容与项目内容</w:t>
      </w:r>
      <w:r>
        <w:rPr>
          <w:rStyle w:val="17"/>
          <w:rFonts w:hint="eastAsia" w:ascii="仿宋_GB2312" w:hAnsi="仿宋_GB2312" w:eastAsia="仿宋_GB2312" w:cs="仿宋_GB2312"/>
          <w:b w:val="0"/>
          <w:bCs w:val="0"/>
          <w:spacing w:val="-4"/>
          <w:sz w:val="32"/>
          <w:szCs w:val="32"/>
          <w:lang w:val="en-US" w:eastAsia="zh-CN"/>
        </w:rPr>
        <w:t>相</w:t>
      </w:r>
      <w:r>
        <w:rPr>
          <w:rStyle w:val="17"/>
          <w:rFonts w:hint="eastAsia" w:ascii="仿宋_GB2312" w:hAnsi="仿宋_GB2312" w:eastAsia="仿宋_GB2312" w:cs="仿宋_GB2312"/>
          <w:b w:val="0"/>
          <w:bCs w:val="0"/>
          <w:spacing w:val="-4"/>
          <w:sz w:val="32"/>
          <w:szCs w:val="32"/>
        </w:rPr>
        <w:t>匹配，项目投资额与工作任务相匹配。</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（2）测算过程细化度，满分2分，得分2分，得分率100%。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西部计划大学生志愿者经费项目主要用于保障西部计划志愿者的基本生活保障，各类活动的开展等，按照用人成本进行测算，本项目资金分配依据充分，资金分配额度合理详细，与项目地方实际相适应，保障西部计划大学生志愿者的正常运转。</w:t>
      </w:r>
      <w:r>
        <w:rPr>
          <w:rStyle w:val="17"/>
          <w:rFonts w:hint="eastAsia" w:ascii="仿宋_GB2312" w:hAnsi="仿宋_GB2312" w:eastAsia="仿宋_GB2312" w:cs="仿宋_GB2312"/>
          <w:b w:val="0"/>
          <w:bCs w:val="0"/>
          <w:spacing w:val="-4"/>
          <w:sz w:val="32"/>
          <w:szCs w:val="32"/>
          <w:lang w:eastAsia="zh-CN"/>
        </w:rPr>
        <w:tab/>
      </w:r>
    </w:p>
    <w:p>
      <w:pPr>
        <w:widowControl w:val="0"/>
        <w:wordWrap/>
        <w:adjustRightInd/>
        <w:snapToGrid/>
        <w:spacing w:line="560" w:lineRule="exact"/>
        <w:textAlignment w:val="auto"/>
        <w:rPr>
          <w:rStyle w:val="17"/>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二</w:t>
      </w:r>
      <w:r>
        <w:rPr>
          <w:rFonts w:hint="eastAsia" w:ascii="仿宋_GB2312" w:hAnsi="仿宋_GB2312" w:eastAsia="仿宋_GB2312" w:cs="仿宋_GB2312"/>
          <w:b/>
          <w:spacing w:val="-4"/>
          <w:sz w:val="32"/>
          <w:szCs w:val="32"/>
        </w:rPr>
        <w:t>）</w:t>
      </w:r>
      <w:r>
        <w:rPr>
          <w:rStyle w:val="17"/>
          <w:rFonts w:hint="eastAsia" w:ascii="仿宋_GB2312" w:hAnsi="仿宋_GB2312" w:eastAsia="仿宋_GB2312" w:cs="仿宋_GB2312"/>
          <w:spacing w:val="-4"/>
          <w:sz w:val="32"/>
          <w:szCs w:val="32"/>
        </w:rPr>
        <w:t>项目过程情况</w:t>
      </w:r>
    </w:p>
    <w:p>
      <w:pPr>
        <w:widowControl w:val="0"/>
        <w:wordWrap/>
        <w:adjustRightInd/>
        <w:snapToGrid/>
        <w:spacing w:line="560" w:lineRule="exact"/>
        <w:ind w:firstLine="312" w:firstLineChars="100"/>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1.资金管理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（1）资金到位率，满分6分，得分6分，得分率100%。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西部计划志愿者经费项目资金的使用，按照每月工资社保以及活动开展费用进行按需申请，财政局进行审核，该项目所需财政资金能够足额拨付到位，西部计划大学生志愿者各项补助资金均能及时发放到位。</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（2）预算执行率，满分6分，得分6分，得分率100%。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本项目预算编制较为详细，预算资金132.28万元，实际执行132.28万元，预算执行率为100%</w:t>
      </w:r>
      <w:r>
        <w:rPr>
          <w:rStyle w:val="17"/>
          <w:rFonts w:hint="eastAsia" w:ascii="仿宋_GB2312" w:hAnsi="仿宋_GB2312" w:eastAsia="仿宋_GB2312" w:cs="仿宋_GB2312"/>
          <w:b w:val="0"/>
          <w:bCs w:val="0"/>
          <w:spacing w:val="-4"/>
          <w:sz w:val="32"/>
          <w:szCs w:val="32"/>
          <w:lang w:eastAsia="zh-CN"/>
        </w:rPr>
        <w:t>。</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2.组织实施</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（1）资金使用合规性，满分4分，得分4分，得分率100%。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项目资金使用符合政府会计制度的相关规定，各项拨付</w:t>
      </w:r>
      <w:r>
        <w:rPr>
          <w:rStyle w:val="17"/>
          <w:rFonts w:hint="eastAsia" w:ascii="仿宋_GB2312" w:hAnsi="仿宋_GB2312" w:eastAsia="仿宋_GB2312" w:cs="仿宋_GB2312"/>
          <w:b w:val="0"/>
          <w:bCs w:val="0"/>
          <w:spacing w:val="-4"/>
          <w:sz w:val="32"/>
          <w:szCs w:val="32"/>
          <w:lang w:val="en-US" w:eastAsia="zh-CN"/>
        </w:rPr>
        <w:t>经</w:t>
      </w:r>
      <w:r>
        <w:rPr>
          <w:rStyle w:val="17"/>
          <w:rFonts w:hint="eastAsia" w:ascii="仿宋_GB2312" w:hAnsi="仿宋_GB2312" w:eastAsia="仿宋_GB2312" w:cs="仿宋_GB2312"/>
          <w:b w:val="0"/>
          <w:bCs w:val="0"/>
          <w:spacing w:val="-4"/>
          <w:sz w:val="32"/>
          <w:szCs w:val="32"/>
        </w:rPr>
        <w:t>领导审批，有完整的审批手续，项目支出不存在截留、挤占、挪用、虚列支出等情况，本年度审计、巡视、财政巡察未发现违规问题。</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（2）管理制度健全性，满分4分，得分4分，得分率100%。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按照</w:t>
      </w:r>
      <w:r>
        <w:rPr>
          <w:rStyle w:val="17"/>
          <w:rFonts w:hint="eastAsia" w:ascii="仿宋_GB2312" w:hAnsi="仿宋_GB2312" w:eastAsia="仿宋_GB2312" w:cs="仿宋_GB2312"/>
          <w:b w:val="0"/>
          <w:bCs w:val="0"/>
          <w:spacing w:val="-4"/>
          <w:sz w:val="32"/>
          <w:szCs w:val="32"/>
          <w:lang w:val="en-US" w:eastAsia="zh-CN"/>
        </w:rPr>
        <w:t>相关</w:t>
      </w:r>
      <w:r>
        <w:rPr>
          <w:rStyle w:val="17"/>
          <w:rFonts w:hint="eastAsia" w:ascii="仿宋_GB2312" w:hAnsi="仿宋_GB2312" w:eastAsia="仿宋_GB2312" w:cs="仿宋_GB2312"/>
          <w:b w:val="0"/>
          <w:bCs w:val="0"/>
          <w:spacing w:val="-4"/>
          <w:sz w:val="32"/>
          <w:szCs w:val="32"/>
        </w:rPr>
        <w:t>文件标准及志愿者管理办法，同时对财政专项资金进行严格管理，基本做到了专款专用。</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（3）制度执行有效性，满分3分，得分3分，得分率100%。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按照</w:t>
      </w:r>
      <w:r>
        <w:rPr>
          <w:rStyle w:val="17"/>
          <w:rFonts w:hint="eastAsia" w:ascii="仿宋_GB2312" w:hAnsi="仿宋_GB2312" w:eastAsia="仿宋_GB2312" w:cs="仿宋_GB2312"/>
          <w:b w:val="0"/>
          <w:bCs w:val="0"/>
          <w:spacing w:val="-4"/>
          <w:sz w:val="32"/>
          <w:szCs w:val="32"/>
          <w:lang w:val="en-US" w:eastAsia="zh-CN"/>
        </w:rPr>
        <w:t>相关</w:t>
      </w:r>
      <w:r>
        <w:rPr>
          <w:rStyle w:val="17"/>
          <w:rFonts w:hint="eastAsia" w:ascii="仿宋_GB2312" w:hAnsi="仿宋_GB2312" w:eastAsia="仿宋_GB2312" w:cs="仿宋_GB2312"/>
          <w:b w:val="0"/>
          <w:bCs w:val="0"/>
          <w:spacing w:val="-4"/>
          <w:sz w:val="32"/>
          <w:szCs w:val="32"/>
        </w:rPr>
        <w:t>文件标准及志愿者管理办法，财务对资金的使用合法合规性进行监督，年底对资金使用效果进行自评。</w:t>
      </w:r>
    </w:p>
    <w:p>
      <w:pPr>
        <w:widowControl w:val="0"/>
        <w:wordWrap/>
        <w:adjustRightInd/>
        <w:snapToGrid/>
        <w:spacing w:line="560" w:lineRule="exact"/>
        <w:ind w:firstLine="627" w:firstLineChars="200"/>
        <w:textAlignment w:val="auto"/>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三</w:t>
      </w:r>
      <w:r>
        <w:rPr>
          <w:rFonts w:hint="eastAsia" w:ascii="仿宋_GB2312" w:hAnsi="仿宋_GB2312" w:eastAsia="仿宋_GB2312" w:cs="仿宋_GB2312"/>
          <w:b/>
          <w:spacing w:val="-4"/>
          <w:sz w:val="32"/>
          <w:szCs w:val="32"/>
        </w:rPr>
        <w:t>）</w:t>
      </w:r>
      <w:r>
        <w:rPr>
          <w:rStyle w:val="17"/>
          <w:rFonts w:hint="eastAsia" w:ascii="仿宋_GB2312" w:hAnsi="仿宋_GB2312" w:eastAsia="仿宋_GB2312" w:cs="仿宋_GB2312"/>
          <w:spacing w:val="-4"/>
          <w:sz w:val="32"/>
          <w:szCs w:val="32"/>
        </w:rPr>
        <w:t>项目产出情况</w:t>
      </w:r>
    </w:p>
    <w:p>
      <w:pPr>
        <w:widowControl w:val="0"/>
        <w:wordWrap/>
        <w:adjustRightInd/>
        <w:snapToGrid/>
        <w:spacing w:line="560" w:lineRule="exact"/>
        <w:ind w:left="638" w:leftChars="304" w:firstLine="0" w:firstLineChars="0"/>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1.产出数量</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保障志愿者人数，满分5分，得分5分，得分率100%。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根据年度志愿者分配人数，2024年1月西部计划大学志愿者在岗85人，8月开始由于新增规模缘故，志愿者人数达到139人，全年平均高于预期目标。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2.产出质量</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补贴志愿者准确率，满分5分，得分5分，得分率100%。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按照《关于做好2024-2025年度大学生西部计划志愿者经费保障工作的通知》文件标准及志愿者管理办法，按月准确发放志愿者补贴，缴纳社保。</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3.产出时效</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保障西部计划大学生志愿者工资发放及时率，满分5分，得分5分，得分率100%。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按照</w:t>
      </w:r>
      <w:r>
        <w:rPr>
          <w:rStyle w:val="17"/>
          <w:rFonts w:hint="eastAsia" w:ascii="仿宋_GB2312" w:hAnsi="仿宋_GB2312" w:eastAsia="仿宋_GB2312" w:cs="仿宋_GB2312"/>
          <w:b w:val="0"/>
          <w:bCs w:val="0"/>
          <w:spacing w:val="-4"/>
          <w:sz w:val="32"/>
          <w:szCs w:val="32"/>
          <w:lang w:val="en-US" w:eastAsia="zh-CN"/>
        </w:rPr>
        <w:t>相关</w:t>
      </w:r>
      <w:r>
        <w:rPr>
          <w:rStyle w:val="17"/>
          <w:rFonts w:hint="eastAsia" w:ascii="仿宋_GB2312" w:hAnsi="仿宋_GB2312" w:eastAsia="仿宋_GB2312" w:cs="仿宋_GB2312"/>
          <w:b w:val="0"/>
          <w:bCs w:val="0"/>
          <w:spacing w:val="-4"/>
          <w:sz w:val="32"/>
          <w:szCs w:val="32"/>
        </w:rPr>
        <w:t>文件标准及志愿者管理办法，按月准确发放志愿者补贴，缴纳社保，每月15日前完成工资发放。</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4.产出成本</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志愿者成本每人每年补助，满分6分，得分6分，得分率100%。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西部计划志愿者每人每年补助1.57万元，按时发放。</w:t>
      </w:r>
    </w:p>
    <w:p>
      <w:pPr>
        <w:widowControl w:val="0"/>
        <w:wordWrap/>
        <w:adjustRightInd/>
        <w:snapToGrid/>
        <w:spacing w:line="560" w:lineRule="exact"/>
        <w:ind w:firstLine="627" w:firstLineChars="200"/>
        <w:textAlignment w:val="auto"/>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四</w:t>
      </w:r>
      <w:r>
        <w:rPr>
          <w:rFonts w:hint="eastAsia" w:ascii="仿宋_GB2312" w:hAnsi="仿宋_GB2312" w:eastAsia="仿宋_GB2312" w:cs="仿宋_GB2312"/>
          <w:b/>
          <w:spacing w:val="-4"/>
          <w:sz w:val="32"/>
          <w:szCs w:val="32"/>
        </w:rPr>
        <w:t>）</w:t>
      </w:r>
      <w:r>
        <w:rPr>
          <w:rStyle w:val="17"/>
          <w:rFonts w:hint="eastAsia" w:ascii="仿宋_GB2312" w:hAnsi="仿宋_GB2312" w:eastAsia="仿宋_GB2312" w:cs="仿宋_GB2312"/>
          <w:spacing w:val="-4"/>
          <w:sz w:val="32"/>
          <w:szCs w:val="32"/>
        </w:rPr>
        <w:t>项目</w:t>
      </w:r>
      <w:r>
        <w:rPr>
          <w:rStyle w:val="17"/>
          <w:rFonts w:hint="eastAsia" w:ascii="仿宋_GB2312" w:hAnsi="仿宋_GB2312" w:eastAsia="仿宋_GB2312" w:cs="仿宋_GB2312"/>
          <w:spacing w:val="-4"/>
          <w:sz w:val="32"/>
          <w:szCs w:val="32"/>
          <w:lang w:val="en-US" w:eastAsia="zh-CN"/>
        </w:rPr>
        <w:t>成本</w:t>
      </w:r>
      <w:r>
        <w:rPr>
          <w:rStyle w:val="17"/>
          <w:rFonts w:hint="eastAsia" w:ascii="仿宋_GB2312" w:hAnsi="仿宋_GB2312" w:eastAsia="仿宋_GB2312" w:cs="仿宋_GB2312"/>
          <w:spacing w:val="-4"/>
          <w:sz w:val="32"/>
          <w:szCs w:val="32"/>
        </w:rPr>
        <w:t>情况</w:t>
      </w:r>
    </w:p>
    <w:p>
      <w:pPr>
        <w:widowControl w:val="0"/>
        <w:wordWrap/>
        <w:adjustRightInd/>
        <w:snapToGrid/>
        <w:spacing w:line="560" w:lineRule="exact"/>
        <w:ind w:firstLine="624" w:firstLineChars="200"/>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1.社会效益</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 </w:t>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促进人才流动，缓解人才紧张，满分30分，得分28分，得分率93%。</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西部计划志愿者作用得到发挥，分布各乡镇（街道），在各领域贡献青春力量。服务质量有待进一步提升。</w:t>
      </w:r>
    </w:p>
    <w:p>
      <w:pPr>
        <w:widowControl w:val="0"/>
        <w:wordWrap/>
        <w:adjustRightInd/>
        <w:snapToGrid/>
        <w:spacing w:line="560" w:lineRule="exact"/>
        <w:ind w:firstLine="627" w:firstLineChars="200"/>
        <w:textAlignment w:val="auto"/>
        <w:rPr>
          <w:rStyle w:val="17"/>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五</w:t>
      </w: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eastAsia="zh-CN"/>
        </w:rPr>
        <w:t>满意度</w:t>
      </w:r>
      <w:r>
        <w:rPr>
          <w:rStyle w:val="17"/>
          <w:rFonts w:hint="eastAsia" w:ascii="仿宋_GB2312" w:hAnsi="仿宋_GB2312" w:eastAsia="仿宋_GB2312" w:cs="仿宋_GB2312"/>
          <w:spacing w:val="-4"/>
          <w:sz w:val="32"/>
          <w:szCs w:val="32"/>
        </w:rPr>
        <w:t>情况</w:t>
      </w:r>
    </w:p>
    <w:p>
      <w:pPr>
        <w:widowControl w:val="0"/>
        <w:wordWrap/>
        <w:adjustRightInd/>
        <w:snapToGrid/>
        <w:spacing w:line="560" w:lineRule="exact"/>
        <w:ind w:firstLine="624" w:firstLineChars="200"/>
        <w:textAlignment w:val="auto"/>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b w:val="0"/>
          <w:bCs w:val="0"/>
          <w:spacing w:val="-4"/>
          <w:sz w:val="32"/>
          <w:szCs w:val="32"/>
        </w:rPr>
        <w:t>西部计划志愿者满意度，满分8分，得分8分，得分率100%。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年终发放西部计划问卷85份，由西部计划大学生志愿者进行综合评价，根据西部计划志愿者反馈，满意度为100%，志愿者满意度高于95%，高于预期目标。</w:t>
      </w:r>
    </w:p>
    <w:p>
      <w:pPr>
        <w:widowControl w:val="0"/>
        <w:wordWrap/>
        <w:adjustRightInd/>
        <w:snapToGrid/>
        <w:spacing w:line="560" w:lineRule="exact"/>
        <w:textAlignment w:val="auto"/>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lang w:val="en-US" w:eastAsia="zh-CN"/>
        </w:rPr>
        <w:t>五</w:t>
      </w:r>
      <w:r>
        <w:rPr>
          <w:rStyle w:val="17"/>
          <w:rFonts w:hint="eastAsia" w:ascii="仿宋_GB2312" w:hAnsi="仿宋_GB2312" w:eastAsia="仿宋_GB2312" w:cs="仿宋_GB2312"/>
          <w:b w:val="0"/>
          <w:spacing w:val="-4"/>
          <w:sz w:val="32"/>
          <w:szCs w:val="32"/>
        </w:rPr>
        <w:t>、主要经验及做法、存在的问题及原因分析</w:t>
      </w:r>
    </w:p>
    <w:p>
      <w:pPr>
        <w:widowControl w:val="0"/>
        <w:wordWrap/>
        <w:adjustRightInd/>
        <w:snapToGrid/>
        <w:spacing w:line="560" w:lineRule="exact"/>
        <w:textAlignment w:val="auto"/>
        <w:rPr>
          <w:rFonts w:hint="eastAsia" w:ascii="仿宋_GB2312" w:hAnsi="仿宋_GB2312" w:eastAsia="仿宋_GB2312" w:cs="仿宋_GB2312"/>
          <w:spacing w:val="-4"/>
          <w:sz w:val="32"/>
          <w:szCs w:val="32"/>
        </w:rPr>
      </w:pPr>
      <w:r>
        <w:rPr>
          <w:rStyle w:val="17"/>
          <w:rFonts w:hint="eastAsia" w:ascii="仿宋_GB2312" w:hAnsi="仿宋_GB2312" w:eastAsia="仿宋_GB2312" w:cs="仿宋_GB2312"/>
          <w:b w:val="0"/>
          <w:bCs w:val="0"/>
          <w:spacing w:val="-4"/>
          <w:sz w:val="32"/>
          <w:szCs w:val="32"/>
        </w:rPr>
        <w:t>（一）主要经验及做法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1.提高站位抓成效。高度重视，主要领导亲自抓，分管领导亲自抓，并予以充分的人力、财力保障。责任落实到位：将各项目工作落实到具体科室、具体岗位、具体个人。项目领导小组进一步强化项目意识，对照计划全面梳理重点任务，仔细谋划、紧抓落实，理顺内部分工和工作流程，明确责任和时间节点，一项一项抓好具体落实，确保项目按时保质完成。</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2.加强监控抓效益。紧抓预算执行动态监控，提高资金使用效益。坚持以问题为导向，以财政部门的绩效监控为契机，通过资料审核对资金执行进度及绩效目标实现程度开展审核，对绩效监控中发现的问题及时整改，强化资金使用过程管理，有效降低</w:t>
      </w:r>
      <w:r>
        <w:rPr>
          <w:rStyle w:val="17"/>
          <w:rFonts w:hint="eastAsia" w:ascii="仿宋_GB2312" w:hAnsi="仿宋_GB2312" w:eastAsia="仿宋_GB2312" w:cs="仿宋_GB2312"/>
          <w:b w:val="0"/>
          <w:bCs w:val="0"/>
          <w:spacing w:val="-4"/>
          <w:sz w:val="32"/>
          <w:szCs w:val="32"/>
          <w:lang w:val="en-US" w:eastAsia="zh-CN"/>
        </w:rPr>
        <w:t>了</w:t>
      </w:r>
      <w:r>
        <w:rPr>
          <w:rStyle w:val="17"/>
          <w:rFonts w:hint="eastAsia" w:ascii="仿宋_GB2312" w:hAnsi="仿宋_GB2312" w:eastAsia="仿宋_GB2312" w:cs="仿宋_GB2312"/>
          <w:b w:val="0"/>
          <w:bCs w:val="0"/>
          <w:spacing w:val="-4"/>
          <w:sz w:val="32"/>
          <w:szCs w:val="32"/>
        </w:rPr>
        <w:t>资金偏离政策目标的风险，提高了资金使用效益。</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3.强化约束抓推进。定期召开会议研究志愿者经费使用情况，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（二）存在问题及原因分析</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1.绩效预算目标设定不够准确。部门绩效管理理念尚未牢固树立，绩效管理专业人员匮乏。单位对全面实施绩效管理认识不够，绩效水平不高，业务人员业务能力和素质还有待进一步提升。西部计划大学生志愿者项目为跨年度项目，前半年与后半年人数存在差异，年度人员总数不确定</w:t>
      </w:r>
      <w:r>
        <w:rPr>
          <w:rStyle w:val="17"/>
          <w:rFonts w:hint="eastAsia" w:ascii="仿宋_GB2312" w:hAnsi="仿宋_GB2312" w:eastAsia="仿宋_GB2312" w:cs="仿宋_GB2312"/>
          <w:b w:val="0"/>
          <w:bCs w:val="0"/>
          <w:spacing w:val="-4"/>
          <w:sz w:val="32"/>
          <w:szCs w:val="32"/>
          <w:lang w:val="en-US" w:eastAsia="zh-CN"/>
        </w:rPr>
        <w:t>性</w:t>
      </w:r>
      <w:r>
        <w:rPr>
          <w:rStyle w:val="17"/>
          <w:rFonts w:hint="eastAsia" w:ascii="仿宋_GB2312" w:hAnsi="仿宋_GB2312" w:eastAsia="仿宋_GB2312" w:cs="仿宋_GB2312"/>
          <w:b w:val="0"/>
          <w:bCs w:val="0"/>
          <w:spacing w:val="-4"/>
          <w:sz w:val="32"/>
          <w:szCs w:val="32"/>
        </w:rPr>
        <w:t>较大，导致项目在预算执行方面出现偏差。</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2.西部计划志愿者人数变动较大。按照《关于做好2023-2024年度大学生西部计划志愿者经费保障工作的通知》（新团办发〔2023〕9号）文件，西部计划大学生志愿者管理办法等文件，志愿者流动性较大，影响绩效目标的设定以及实施。</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3.项目支出绩效评价存在局限，项目支出绩效评价工作还存在自我审定的</w:t>
      </w:r>
      <w:r>
        <w:rPr>
          <w:rStyle w:val="17"/>
          <w:rFonts w:hint="eastAsia" w:ascii="仿宋_GB2312" w:hAnsi="仿宋_GB2312" w:eastAsia="仿宋_GB2312" w:cs="仿宋_GB2312"/>
          <w:b w:val="0"/>
          <w:bCs w:val="0"/>
          <w:spacing w:val="-4"/>
          <w:sz w:val="32"/>
          <w:szCs w:val="32"/>
          <w:lang w:val="en-US" w:eastAsia="zh-CN"/>
        </w:rPr>
        <w:t>局</w:t>
      </w:r>
      <w:bookmarkStart w:id="0" w:name="_GoBack"/>
      <w:bookmarkEnd w:id="0"/>
      <w:r>
        <w:rPr>
          <w:rStyle w:val="17"/>
          <w:rFonts w:hint="eastAsia" w:ascii="仿宋_GB2312" w:hAnsi="仿宋_GB2312" w:eastAsia="仿宋_GB2312" w:cs="仿宋_GB2312"/>
          <w:b w:val="0"/>
          <w:bCs w:val="0"/>
          <w:spacing w:val="-4"/>
          <w:sz w:val="32"/>
          <w:szCs w:val="32"/>
        </w:rPr>
        <w:t>限性，项目支出绩效工作有较大弹性，评价报告多单位限于描述项目实施情况，对问题避重就轻，对项目的打分松紧不一，会影响评价质量，在客观性和公正性上说服力不强。</w:t>
      </w:r>
    </w:p>
    <w:p>
      <w:pPr>
        <w:widowControl w:val="0"/>
        <w:wordWrap/>
        <w:adjustRightInd/>
        <w:snapToGrid/>
        <w:spacing w:line="560" w:lineRule="exact"/>
        <w:textAlignment w:val="auto"/>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u w:val="dotted"/>
          <w:lang w:val="en-US" w:eastAsia="zh-CN"/>
        </w:rPr>
        <w:t>六</w:t>
      </w:r>
      <w:r>
        <w:rPr>
          <w:rStyle w:val="17"/>
          <w:rFonts w:hint="eastAsia" w:ascii="仿宋_GB2312" w:hAnsi="仿宋_GB2312" w:eastAsia="仿宋_GB2312" w:cs="仿宋_GB2312"/>
          <w:b w:val="0"/>
          <w:spacing w:val="-4"/>
          <w:sz w:val="32"/>
          <w:szCs w:val="32"/>
        </w:rPr>
        <w:t>、有关建议</w:t>
      </w:r>
    </w:p>
    <w:p>
      <w:pPr>
        <w:widowControl w:val="0"/>
        <w:wordWrap/>
        <w:adjustRightInd/>
        <w:snapToGrid/>
        <w:spacing w:line="560" w:lineRule="exact"/>
        <w:textAlignment w:val="auto"/>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b w:val="0"/>
          <w:bCs w:val="0"/>
          <w:spacing w:val="-4"/>
          <w:sz w:val="32"/>
          <w:szCs w:val="32"/>
        </w:rPr>
        <w:t>（一）提高对专项资金管理重要性的认识，加强业务人员培训，建立健全内部控制制度，主动跟踪项目资金指标下达情况，按照规定标准、范围列支费用，加快资金支出进度，正确核算专项资金，提高会计信息质量，充分发挥资金的使用效益。</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二）加强预算支出管理，要严格预算刚性约束，及时拨付资金，杜绝大量专项资金闲置、拨付不及时等现象，提高预算执行率；同时严格国库集中支付，实现专项资金直达用款单位，减少中间环节滞留、挤占、挪用等问题的发生。</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三）加强资金监督检查力度，相关部门要加大对专项资金的监督检查力度，结合专项资金绩效评价，实行事前、事中、事后监督，坚持对专项资金的监督贯穿于财政活动的全领域、全过程，严格监管、强化问责。</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四）提高专项资金执行效率，保持项目所需资金和财政下拨的专项资金保持统一，避免两者的错位，提高专项资金的使用效益。其次通过培训提高预算编制人员的专业水平，细化预算编制，可以按照计划的项目进度分阶段细化预算，避免项目建设初期支出少，后期突击支出的风险。最后提高政府采购的进度，缩短时间跨度，减少不必要的审批流程，一些步骤可以由现场操作改为线上审批，提高资金支出的效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对项目管理的建议</w:t>
      </w:r>
      <w:r>
        <w:rPr>
          <w:rStyle w:val="17"/>
          <w:rFonts w:hint="eastAsia" w:ascii="仿宋_GB2312" w:hAnsi="仿宋_GB2312" w:eastAsia="仿宋_GB2312" w:cs="仿宋_GB2312"/>
          <w:b w:val="0"/>
          <w:bCs w:val="0"/>
          <w:spacing w:val="-4"/>
          <w:sz w:val="32"/>
          <w:szCs w:val="32"/>
          <w:lang w:eastAsia="zh-CN"/>
        </w:rPr>
        <w:t>：</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建立健全项目管理制度：制定一套全面、规范的项目管理制度，明确项目的立项、审批、执行、监督和验收等各个环节的流程和标准。确保项目管理工作有章可循，提高项目管理的规范化和标准化水平。</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加强项目前期论证和规划：在项目立项前，要进行充分的市场调研和需求分析，确保项目的必要性和可行性。同时，制定详细的项目计划和预算，明确项目的目标、任务、时间节点和预算分配，为后续的项目执行提供有力的指导。</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强化项目执行和监管：建立健全项目执行和监管机制，确保项目按照计划有序推进。定期对项目进展进行检查和评估，及时发现问题并采取有效措施进行解决。同时，加强对项目资金的监管，防止资金挪用和浪费。</w:t>
      </w:r>
    </w:p>
    <w:p>
      <w:pPr>
        <w:widowControl w:val="0"/>
        <w:wordWrap/>
        <w:adjustRightInd/>
        <w:snapToGrid/>
        <w:spacing w:line="560" w:lineRule="exact"/>
        <w:textAlignment w:val="auto"/>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lang w:val="en-US" w:eastAsia="zh-CN"/>
        </w:rPr>
        <w:t>七</w:t>
      </w:r>
      <w:r>
        <w:rPr>
          <w:rStyle w:val="17"/>
          <w:rFonts w:hint="eastAsia" w:ascii="仿宋_GB2312" w:hAnsi="仿宋_GB2312" w:eastAsia="仿宋_GB2312" w:cs="仿宋_GB2312"/>
          <w:b w:val="0"/>
          <w:spacing w:val="-4"/>
          <w:sz w:val="32"/>
          <w:szCs w:val="32"/>
        </w:rPr>
        <w:t>、其他需要说明的问题</w:t>
      </w:r>
    </w:p>
    <w:p>
      <w:pPr>
        <w:widowControl w:val="0"/>
        <w:wordWrap/>
        <w:adjustRightInd/>
        <w:snapToGrid/>
        <w:spacing w:line="560" w:lineRule="exact"/>
        <w:ind w:firstLine="624" w:firstLineChars="200"/>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本次预算绩效评价所采集的数据因为采集时间、数据来源等诸多因素的影响，可能会出现一定的偏差，进而对评价结果存在影响。后期我单位将对项目进行总结，在评价工作过程中遇到的问题及政策与制度完善以书面材料等形式进行备案并妥善保管，今后工作中我单位将继续加强财务管理，严格财务审核，提高财务的精细化管理，并按照政府信息公开有关规定，积极推进评价结果和评价报告等绩效信息的公开，加强社会和舆论监督，提高财政资金使用透明度，不断提高为民服务效率，切实提升群众满意度。</w:t>
      </w:r>
    </w:p>
    <w:p>
      <w:pPr>
        <w:widowControl w:val="0"/>
        <w:wordWrap/>
        <w:adjustRightInd/>
        <w:snapToGrid/>
        <w:spacing w:line="560" w:lineRule="exact"/>
        <w:ind w:firstLine="624" w:firstLineChars="200"/>
        <w:textAlignment w:val="auto"/>
        <w:rPr>
          <w:rStyle w:val="17"/>
          <w:rFonts w:ascii="仿宋" w:hAnsi="仿宋" w:eastAsia="仿宋"/>
          <w:b w:val="0"/>
          <w:spacing w:val="-4"/>
          <w:sz w:val="32"/>
          <w:szCs w:val="32"/>
        </w:rPr>
      </w:pPr>
    </w:p>
    <w:p>
      <w:pPr>
        <w:widowControl w:val="0"/>
        <w:wordWrap/>
        <w:adjustRightInd/>
        <w:snapToGrid/>
        <w:spacing w:line="560" w:lineRule="exact"/>
        <w:ind w:firstLine="624" w:firstLineChars="200"/>
        <w:textAlignment w:val="auto"/>
        <w:rPr>
          <w:rStyle w:val="17"/>
          <w:rFonts w:ascii="仿宋" w:hAnsi="仿宋" w:eastAsia="仿宋"/>
          <w:b w:val="0"/>
          <w:spacing w:val="-4"/>
          <w:sz w:val="32"/>
          <w:szCs w:val="32"/>
        </w:rPr>
      </w:pPr>
    </w:p>
    <w:p>
      <w:pPr>
        <w:spacing w:line="540" w:lineRule="exact"/>
        <w:rPr>
          <w:rStyle w:val="17"/>
          <w:rFonts w:ascii="仿宋" w:hAnsi="仿宋" w:eastAsia="仿宋"/>
          <w:b w:val="0"/>
          <w:spacing w:val="-4"/>
          <w:sz w:val="32"/>
          <w:szCs w:val="32"/>
        </w:rPr>
      </w:pPr>
    </w:p>
    <w:sectPr>
      <w:headerReference r:id="rId4" w:type="default"/>
      <w:footerReference r:id="rId5" w:type="default"/>
      <w:pgSz w:w="11906" w:h="16838"/>
      <w:pgMar w:top="1440" w:right="1558" w:bottom="1440" w:left="175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Cambria">
    <w:panose1 w:val="02040503050406030204"/>
    <w:charset w:val="00"/>
    <w:family w:val="auto"/>
    <w:pitch w:val="default"/>
    <w:sig w:usb0="E00006FF" w:usb1="420024FF" w:usb2="02000000" w:usb3="00000000" w:csb0="2000019F" w:csb1="00000000"/>
  </w:font>
  <w:font w:name="Calibri">
    <w:panose1 w:val="020F0502020204030204"/>
    <w:charset w:val="00"/>
    <w:family w:val="auto"/>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2"/>
      <w:jc w:val="center"/>
    </w:pPr>
    <w:r>
      <w:fldChar w:fldCharType="begin"/>
    </w:r>
    <w:r>
      <w:instrText xml:space="preserve">PAGE   \* MERGEFORMAT</w:instrText>
    </w:r>
    <w:r>
      <w:fldChar w:fldCharType="separate"/>
    </w:r>
    <w:r>
      <w:rPr>
        <w:lang w:val="zh-CN"/>
      </w:rPr>
      <w:t>1</w:t>
    </w:r>
    <w:r>
      <w:fldChar w:fldCharType="end"/>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768045332">
    <w:nsid w:val="69623B14"/>
    <w:multiLevelType w:val="singleLevel"/>
    <w:tmpl w:val="69623B14"/>
    <w:lvl w:ilvl="0" w:tentative="1">
      <w:start w:val="1"/>
      <w:numFmt w:val="chineseCounting"/>
      <w:suff w:val="nothing"/>
      <w:lvlText w:val="%1、"/>
      <w:lvlJc w:val="left"/>
      <w:rPr>
        <w:rFonts w:hint="eastAsia"/>
      </w:rPr>
    </w:lvl>
  </w:abstractNum>
  <w:num w:numId="1">
    <w:abstractNumId w:val="17680453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annotation subject"/>
    <w:lsdException w:qFormat="1" w:uiPriority="99"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4"/>
    <w:qFormat/>
    <w:uiPriority w:val="9"/>
    <w:pPr>
      <w:keepNext/>
      <w:widowControl/>
      <w:spacing w:before="240" w:after="60"/>
      <w:jc w:val="left"/>
      <w:outlineLvl w:val="0"/>
    </w:pPr>
    <w:rPr>
      <w:rFonts w:ascii="Cambria" w:hAnsi="Cambria" w:eastAsia="宋体"/>
      <w:b/>
      <w:bCs/>
      <w:kern w:val="32"/>
      <w:sz w:val="32"/>
      <w:szCs w:val="32"/>
    </w:rPr>
  </w:style>
  <w:style w:type="paragraph" w:styleId="3">
    <w:name w:val="heading 2"/>
    <w:basedOn w:val="1"/>
    <w:next w:val="1"/>
    <w:link w:val="25"/>
    <w:semiHidden/>
    <w:unhideWhenUsed/>
    <w:qFormat/>
    <w:uiPriority w:val="9"/>
    <w:pPr>
      <w:keepNext/>
      <w:widowControl/>
      <w:spacing w:before="240" w:after="60"/>
      <w:jc w:val="left"/>
      <w:outlineLvl w:val="1"/>
    </w:pPr>
    <w:rPr>
      <w:rFonts w:ascii="Cambria" w:hAnsi="Cambria" w:eastAsia="宋体"/>
      <w:b/>
      <w:bCs/>
      <w:i/>
      <w:iCs/>
      <w:kern w:val="0"/>
      <w:sz w:val="28"/>
      <w:szCs w:val="28"/>
    </w:rPr>
  </w:style>
  <w:style w:type="paragraph" w:styleId="4">
    <w:name w:val="heading 3"/>
    <w:basedOn w:val="1"/>
    <w:next w:val="1"/>
    <w:link w:val="26"/>
    <w:semiHidden/>
    <w:unhideWhenUsed/>
    <w:qFormat/>
    <w:uiPriority w:val="9"/>
    <w:pPr>
      <w:keepNext/>
      <w:widowControl/>
      <w:spacing w:before="240" w:after="60"/>
      <w:jc w:val="left"/>
      <w:outlineLvl w:val="2"/>
    </w:pPr>
    <w:rPr>
      <w:rFonts w:ascii="Cambria" w:hAnsi="Cambria" w:eastAsia="宋体"/>
      <w:b/>
      <w:bCs/>
      <w:kern w:val="0"/>
      <w:sz w:val="26"/>
      <w:szCs w:val="26"/>
    </w:rPr>
  </w:style>
  <w:style w:type="paragraph" w:styleId="5">
    <w:name w:val="heading 4"/>
    <w:basedOn w:val="1"/>
    <w:next w:val="1"/>
    <w:link w:val="27"/>
    <w:semiHidden/>
    <w:unhideWhenUsed/>
    <w:qFormat/>
    <w:uiPriority w:val="9"/>
    <w:pPr>
      <w:keepNext/>
      <w:widowControl/>
      <w:spacing w:before="240" w:after="60"/>
      <w:jc w:val="left"/>
      <w:outlineLvl w:val="3"/>
    </w:pPr>
    <w:rPr>
      <w:rFonts w:ascii="Calibri" w:hAnsi="Calibri" w:eastAsia="宋体"/>
      <w:b/>
      <w:bCs/>
      <w:kern w:val="0"/>
      <w:sz w:val="28"/>
      <w:szCs w:val="28"/>
    </w:rPr>
  </w:style>
  <w:style w:type="paragraph" w:styleId="6">
    <w:name w:val="heading 5"/>
    <w:basedOn w:val="1"/>
    <w:next w:val="1"/>
    <w:link w:val="28"/>
    <w:semiHidden/>
    <w:unhideWhenUsed/>
    <w:qFormat/>
    <w:uiPriority w:val="9"/>
    <w:pPr>
      <w:widowControl/>
      <w:spacing w:before="240" w:after="60"/>
      <w:jc w:val="left"/>
      <w:outlineLvl w:val="4"/>
    </w:pPr>
    <w:rPr>
      <w:rFonts w:ascii="Calibri" w:hAnsi="Calibri" w:eastAsia="宋体"/>
      <w:b/>
      <w:bCs/>
      <w:i/>
      <w:iCs/>
      <w:kern w:val="0"/>
      <w:sz w:val="26"/>
      <w:szCs w:val="26"/>
    </w:rPr>
  </w:style>
  <w:style w:type="paragraph" w:styleId="7">
    <w:name w:val="heading 6"/>
    <w:basedOn w:val="1"/>
    <w:next w:val="1"/>
    <w:link w:val="29"/>
    <w:semiHidden/>
    <w:unhideWhenUsed/>
    <w:qFormat/>
    <w:uiPriority w:val="9"/>
    <w:pPr>
      <w:widowControl/>
      <w:spacing w:before="240" w:after="60"/>
      <w:jc w:val="left"/>
      <w:outlineLvl w:val="5"/>
    </w:pPr>
    <w:rPr>
      <w:rFonts w:ascii="Calibri" w:hAnsi="Calibri" w:eastAsia="宋体"/>
      <w:b/>
      <w:bCs/>
      <w:kern w:val="0"/>
      <w:sz w:val="22"/>
      <w:szCs w:val="22"/>
    </w:rPr>
  </w:style>
  <w:style w:type="paragraph" w:styleId="8">
    <w:name w:val="heading 7"/>
    <w:basedOn w:val="1"/>
    <w:next w:val="1"/>
    <w:link w:val="30"/>
    <w:semiHidden/>
    <w:unhideWhenUsed/>
    <w:qFormat/>
    <w:uiPriority w:val="9"/>
    <w:pPr>
      <w:widowControl/>
      <w:spacing w:before="240" w:after="60"/>
      <w:jc w:val="left"/>
      <w:outlineLvl w:val="6"/>
    </w:pPr>
    <w:rPr>
      <w:rFonts w:ascii="Calibri" w:hAnsi="Calibri" w:eastAsia="宋体"/>
      <w:kern w:val="0"/>
      <w:sz w:val="24"/>
    </w:rPr>
  </w:style>
  <w:style w:type="paragraph" w:styleId="9">
    <w:name w:val="heading 8"/>
    <w:basedOn w:val="1"/>
    <w:next w:val="1"/>
    <w:link w:val="31"/>
    <w:semiHidden/>
    <w:unhideWhenUsed/>
    <w:qFormat/>
    <w:uiPriority w:val="9"/>
    <w:pPr>
      <w:widowControl/>
      <w:spacing w:before="240" w:after="60"/>
      <w:jc w:val="left"/>
      <w:outlineLvl w:val="7"/>
    </w:pPr>
    <w:rPr>
      <w:rFonts w:ascii="Calibri" w:hAnsi="Calibri" w:eastAsia="宋体"/>
      <w:i/>
      <w:iCs/>
      <w:kern w:val="0"/>
      <w:sz w:val="24"/>
    </w:rPr>
  </w:style>
  <w:style w:type="paragraph" w:styleId="10">
    <w:name w:val="heading 9"/>
    <w:basedOn w:val="1"/>
    <w:next w:val="1"/>
    <w:link w:val="32"/>
    <w:semiHidden/>
    <w:unhideWhenUsed/>
    <w:qFormat/>
    <w:uiPriority w:val="9"/>
    <w:pPr>
      <w:widowControl/>
      <w:spacing w:before="240" w:after="60"/>
      <w:jc w:val="left"/>
      <w:outlineLvl w:val="8"/>
    </w:pPr>
    <w:rPr>
      <w:rFonts w:ascii="Cambria" w:hAnsi="Cambria" w:eastAsia="宋体"/>
      <w:kern w:val="0"/>
      <w:sz w:val="22"/>
      <w:szCs w:val="22"/>
    </w:rPr>
  </w:style>
  <w:style w:type="character" w:default="1" w:styleId="16">
    <w:name w:val="Default Paragraph Font"/>
    <w:semiHidden/>
    <w:unhideWhenUsed/>
    <w:qFormat/>
    <w:uiPriority w:val="1"/>
  </w:style>
  <w:style w:type="paragraph" w:styleId="11">
    <w:name w:val="Balloon Text"/>
    <w:basedOn w:val="1"/>
    <w:link w:val="44"/>
    <w:semiHidden/>
    <w:unhideWhenUsed/>
    <w:qFormat/>
    <w:uiPriority w:val="99"/>
    <w:rPr>
      <w:sz w:val="18"/>
      <w:szCs w:val="18"/>
    </w:rPr>
  </w:style>
  <w:style w:type="paragraph" w:styleId="12">
    <w:name w:val="footer"/>
    <w:basedOn w:val="1"/>
    <w:link w:val="43"/>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2"/>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4"/>
    <w:qFormat/>
    <w:uiPriority w:val="11"/>
    <w:pPr>
      <w:widowControl/>
      <w:spacing w:after="60"/>
      <w:jc w:val="center"/>
      <w:outlineLvl w:val="1"/>
    </w:pPr>
    <w:rPr>
      <w:rFonts w:ascii="Cambria" w:hAnsi="Cambria" w:eastAsia="宋体"/>
      <w:kern w:val="0"/>
      <w:sz w:val="24"/>
    </w:rPr>
  </w:style>
  <w:style w:type="paragraph" w:styleId="15">
    <w:name w:val="Title"/>
    <w:basedOn w:val="1"/>
    <w:next w:val="1"/>
    <w:link w:val="33"/>
    <w:qFormat/>
    <w:uiPriority w:val="10"/>
    <w:pPr>
      <w:widowControl/>
      <w:spacing w:before="240" w:after="60"/>
      <w:jc w:val="center"/>
      <w:outlineLvl w:val="0"/>
    </w:pPr>
    <w:rPr>
      <w:rFonts w:ascii="Cambria" w:hAnsi="Cambria" w:eastAsia="宋体"/>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Calibri" w:hAnsi="Calibri"/>
      <w:b/>
      <w:i/>
      <w:iCs/>
    </w:rPr>
  </w:style>
  <w:style w:type="paragraph" w:customStyle="1" w:styleId="19">
    <w:name w:val="No Spacing"/>
    <w:basedOn w:val="1"/>
    <w:qFormat/>
    <w:uiPriority w:val="1"/>
    <w:pPr>
      <w:widowControl/>
      <w:jc w:val="left"/>
    </w:pPr>
    <w:rPr>
      <w:rFonts w:ascii="Calibri" w:hAnsi="Calibri" w:eastAsia="宋体" w:cs="Times New Roman"/>
      <w:kern w:val="0"/>
      <w:sz w:val="24"/>
      <w:szCs w:val="32"/>
      <w:lang w:val="en-US" w:eastAsia="en-US" w:bidi="en-US"/>
    </w:rPr>
  </w:style>
  <w:style w:type="paragraph" w:customStyle="1" w:styleId="20">
    <w:name w:val="List Paragraph"/>
    <w:basedOn w:val="1"/>
    <w:qFormat/>
    <w:uiPriority w:val="34"/>
    <w:pPr>
      <w:widowControl/>
      <w:ind w:left="720"/>
      <w:contextualSpacing/>
      <w:jc w:val="left"/>
    </w:pPr>
    <w:rPr>
      <w:rFonts w:ascii="Calibri" w:hAnsi="Calibri" w:eastAsia="宋体"/>
      <w:kern w:val="0"/>
      <w:sz w:val="24"/>
      <w:lang w:eastAsia="en-US" w:bidi="en-US"/>
    </w:rPr>
  </w:style>
  <w:style w:type="paragraph" w:customStyle="1" w:styleId="21">
    <w:name w:val="Quote"/>
    <w:basedOn w:val="1"/>
    <w:next w:val="1"/>
    <w:link w:val="35"/>
    <w:qFormat/>
    <w:uiPriority w:val="29"/>
    <w:pPr>
      <w:widowControl/>
      <w:jc w:val="left"/>
    </w:pPr>
    <w:rPr>
      <w:rFonts w:ascii="Calibri" w:hAnsi="Calibri" w:eastAsia="宋体"/>
      <w:i/>
      <w:kern w:val="0"/>
      <w:sz w:val="24"/>
    </w:rPr>
  </w:style>
  <w:style w:type="paragraph" w:customStyle="1" w:styleId="22">
    <w:name w:val="Intense Quote"/>
    <w:basedOn w:val="1"/>
    <w:next w:val="1"/>
    <w:link w:val="36"/>
    <w:qFormat/>
    <w:uiPriority w:val="30"/>
    <w:pPr>
      <w:widowControl/>
      <w:ind w:left="720" w:right="720"/>
      <w:jc w:val="left"/>
    </w:pPr>
    <w:rPr>
      <w:rFonts w:ascii="Calibri" w:hAnsi="Calibri" w:eastAsia="宋体"/>
      <w:b/>
      <w:i/>
      <w:kern w:val="0"/>
      <w:sz w:val="24"/>
      <w:szCs w:val="22"/>
    </w:rPr>
  </w:style>
  <w:style w:type="paragraph" w:customStyle="1" w:styleId="23">
    <w:name w:val="TOC 标题1"/>
    <w:basedOn w:val="2"/>
    <w:next w:val="1"/>
    <w:semiHidden/>
    <w:unhideWhenUsed/>
    <w:qFormat/>
    <w:uiPriority w:val="39"/>
    <w:pPr>
      <w:outlineLvl w:val="9"/>
    </w:pPr>
    <w:rPr>
      <w:lang w:eastAsia="en-US" w:bidi="en-US"/>
    </w:rPr>
  </w:style>
  <w:style w:type="character" w:customStyle="1" w:styleId="24">
    <w:name w:val="标题 1 字符"/>
    <w:basedOn w:val="16"/>
    <w:link w:val="2"/>
    <w:qFormat/>
    <w:uiPriority w:val="9"/>
    <w:rPr>
      <w:rFonts w:ascii="Cambria" w:hAnsi="Cambria" w:eastAsia="宋体"/>
      <w:b/>
      <w:bCs/>
      <w:kern w:val="32"/>
      <w:sz w:val="32"/>
      <w:szCs w:val="32"/>
    </w:rPr>
  </w:style>
  <w:style w:type="character" w:customStyle="1" w:styleId="25">
    <w:name w:val="标题 2 字符"/>
    <w:basedOn w:val="16"/>
    <w:link w:val="3"/>
    <w:semiHidden/>
    <w:qFormat/>
    <w:uiPriority w:val="9"/>
    <w:rPr>
      <w:rFonts w:ascii="Cambria" w:hAnsi="Cambria" w:eastAsia="宋体"/>
      <w:b/>
      <w:bCs/>
      <w:i/>
      <w:iCs/>
      <w:sz w:val="28"/>
      <w:szCs w:val="28"/>
    </w:rPr>
  </w:style>
  <w:style w:type="character" w:customStyle="1" w:styleId="26">
    <w:name w:val="标题 3 字符"/>
    <w:basedOn w:val="16"/>
    <w:link w:val="4"/>
    <w:semiHidden/>
    <w:qFormat/>
    <w:uiPriority w:val="9"/>
    <w:rPr>
      <w:rFonts w:ascii="Cambria" w:hAnsi="Cambria" w:eastAsia="宋体"/>
      <w:b/>
      <w:bCs/>
      <w:sz w:val="26"/>
      <w:szCs w:val="26"/>
    </w:rPr>
  </w:style>
  <w:style w:type="character" w:customStyle="1" w:styleId="27">
    <w:name w:val="标题 4 字符"/>
    <w:basedOn w:val="16"/>
    <w:link w:val="5"/>
    <w:semiHidden/>
    <w:qFormat/>
    <w:uiPriority w:val="9"/>
    <w:rPr>
      <w:b/>
      <w:bCs/>
      <w:sz w:val="28"/>
      <w:szCs w:val="28"/>
    </w:rPr>
  </w:style>
  <w:style w:type="character" w:customStyle="1" w:styleId="28">
    <w:name w:val="标题 5 字符"/>
    <w:basedOn w:val="16"/>
    <w:link w:val="6"/>
    <w:semiHidden/>
    <w:qFormat/>
    <w:uiPriority w:val="9"/>
    <w:rPr>
      <w:b/>
      <w:bCs/>
      <w:i/>
      <w:iCs/>
      <w:sz w:val="26"/>
      <w:szCs w:val="26"/>
    </w:rPr>
  </w:style>
  <w:style w:type="character" w:customStyle="1" w:styleId="29">
    <w:name w:val="标题 6 字符"/>
    <w:basedOn w:val="16"/>
    <w:link w:val="7"/>
    <w:semiHidden/>
    <w:qFormat/>
    <w:uiPriority w:val="9"/>
    <w:rPr>
      <w:b/>
      <w:bCs/>
    </w:rPr>
  </w:style>
  <w:style w:type="character" w:customStyle="1" w:styleId="30">
    <w:name w:val="标题 7 字符"/>
    <w:basedOn w:val="16"/>
    <w:link w:val="8"/>
    <w:semiHidden/>
    <w:qFormat/>
    <w:uiPriority w:val="9"/>
    <w:rPr>
      <w:sz w:val="24"/>
      <w:szCs w:val="24"/>
    </w:rPr>
  </w:style>
  <w:style w:type="character" w:customStyle="1" w:styleId="31">
    <w:name w:val="标题 8 字符"/>
    <w:basedOn w:val="16"/>
    <w:link w:val="9"/>
    <w:semiHidden/>
    <w:qFormat/>
    <w:uiPriority w:val="9"/>
    <w:rPr>
      <w:i/>
      <w:iCs/>
      <w:sz w:val="24"/>
      <w:szCs w:val="24"/>
    </w:rPr>
  </w:style>
  <w:style w:type="character" w:customStyle="1" w:styleId="32">
    <w:name w:val="标题 9 字符"/>
    <w:basedOn w:val="16"/>
    <w:link w:val="10"/>
    <w:semiHidden/>
    <w:qFormat/>
    <w:uiPriority w:val="9"/>
    <w:rPr>
      <w:rFonts w:ascii="Cambria" w:hAnsi="Cambria" w:eastAsia="宋体"/>
    </w:rPr>
  </w:style>
  <w:style w:type="character" w:customStyle="1" w:styleId="33">
    <w:name w:val="标题 字符"/>
    <w:basedOn w:val="16"/>
    <w:link w:val="15"/>
    <w:qFormat/>
    <w:uiPriority w:val="10"/>
    <w:rPr>
      <w:rFonts w:ascii="Cambria" w:hAnsi="Cambria" w:eastAsia="宋体"/>
      <w:b/>
      <w:bCs/>
      <w:kern w:val="28"/>
      <w:sz w:val="32"/>
      <w:szCs w:val="32"/>
    </w:rPr>
  </w:style>
  <w:style w:type="character" w:customStyle="1" w:styleId="34">
    <w:name w:val="副标题 字符"/>
    <w:basedOn w:val="16"/>
    <w:link w:val="14"/>
    <w:qFormat/>
    <w:uiPriority w:val="11"/>
    <w:rPr>
      <w:rFonts w:ascii="Cambria" w:hAnsi="Cambria" w:eastAsia="宋体"/>
      <w:sz w:val="24"/>
      <w:szCs w:val="24"/>
    </w:rPr>
  </w:style>
  <w:style w:type="character" w:customStyle="1" w:styleId="35">
    <w:name w:val="引用 字符"/>
    <w:basedOn w:val="16"/>
    <w:link w:val="21"/>
    <w:qFormat/>
    <w:uiPriority w:val="29"/>
    <w:rPr>
      <w:i/>
      <w:sz w:val="24"/>
      <w:szCs w:val="24"/>
    </w:rPr>
  </w:style>
  <w:style w:type="character" w:customStyle="1" w:styleId="36">
    <w:name w:val="明显引用 字符"/>
    <w:basedOn w:val="16"/>
    <w:link w:val="22"/>
    <w:qFormat/>
    <w:uiPriority w:val="30"/>
    <w:rPr>
      <w:b/>
      <w:i/>
      <w:sz w:val="24"/>
    </w:rPr>
  </w:style>
  <w:style w:type="character" w:customStyle="1" w:styleId="37">
    <w:name w:val="不明显强调1"/>
    <w:qFormat/>
    <w:uiPriority w:val="19"/>
    <w:rPr>
      <w:i/>
      <w:color w:val="565656"/>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Cambria" w:hAnsi="Cambria" w:eastAsia="宋体"/>
      <w:b/>
      <w:i/>
      <w:sz w:val="24"/>
      <w:szCs w:val="24"/>
    </w:rPr>
  </w:style>
  <w:style w:type="character" w:customStyle="1" w:styleId="42">
    <w:name w:val="页眉 字符"/>
    <w:basedOn w:val="16"/>
    <w:link w:val="13"/>
    <w:qFormat/>
    <w:uiPriority w:val="99"/>
    <w:rPr>
      <w:rFonts w:ascii="Calibri" w:hAnsi="Calibri" w:eastAsia="宋体"/>
      <w:kern w:val="2"/>
      <w:sz w:val="18"/>
      <w:szCs w:val="18"/>
    </w:rPr>
  </w:style>
  <w:style w:type="character" w:customStyle="1" w:styleId="43">
    <w:name w:val="页脚 字符"/>
    <w:basedOn w:val="16"/>
    <w:link w:val="12"/>
    <w:qFormat/>
    <w:uiPriority w:val="99"/>
    <w:rPr>
      <w:rFonts w:ascii="Calibri" w:hAnsi="Calibri" w:eastAsia="宋体"/>
      <w:kern w:val="2"/>
      <w:sz w:val="18"/>
      <w:szCs w:val="18"/>
    </w:rPr>
  </w:style>
  <w:style w:type="character" w:customStyle="1" w:styleId="44">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7073</Words>
  <Characters>7373</Characters>
  <Lines>5</Lines>
  <Paragraphs>1</Paragraphs>
  <ScaleCrop>false</ScaleCrop>
  <LinksUpToDate>false</LinksUpToDate>
  <CharactersWithSpaces>0</CharactersWithSpaces>
  <Application>WPS Office 专业版_8.1.0.0_{F1E327BC-269C-435d-A152-05C5408002CA}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Lenovo</cp:lastModifiedBy>
  <cp:lastPrinted>2018-12-31T10:56:00Z</cp:lastPrinted>
  <dcterms:modified xsi:type="dcterms:W3CDTF">2025-11-06T14:13:14Z</dcterms:modified>
  <dc:title>附件2：</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2052-8.1.0.0</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