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特定类-政协委员活动经费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中国人民政治协商会议新疆维吾尔自治区哈密市伊州区委员会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中国人民政治协商会议新疆维吾尔自治区哈密市伊州区委员会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吐尔逊·赛麦提</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2025年05月16日</w:t>
      </w:r>
    </w:p>
    <w:p>
      <w:pPr>
        <w:spacing w:line="700" w:lineRule="exact"/>
        <w:ind w:firstLine="708" w:firstLineChars="236"/>
        <w:jc w:val="left"/>
        <w:rPr>
          <w:rFonts w:hAnsi="宋体" w:eastAsia="仿宋_GB2312" w:cs="宋体"/>
          <w:kern w:val="0"/>
          <w:sz w:val="30"/>
          <w:szCs w:val="30"/>
        </w:rPr>
      </w:pPr>
    </w:p>
    <w:p>
      <w:pPr>
        <w:widowControl w:val="0"/>
        <w:wordWrap/>
        <w:adjustRightInd/>
        <w:snapToGrid/>
        <w:spacing w:line="560" w:lineRule="exact"/>
        <w:ind w:firstLine="624" w:firstLineChars="200"/>
        <w:textAlignment w:val="auto"/>
        <w:rPr>
          <w:rStyle w:val="17"/>
          <w:rFonts w:ascii="黑体" w:hAnsi="黑体" w:eastAsia="黑体"/>
          <w:b w:val="0"/>
          <w:spacing w:val="-4"/>
          <w:sz w:val="32"/>
          <w:szCs w:val="32"/>
        </w:rPr>
      </w:pPr>
    </w:p>
    <w:p>
      <w:pPr>
        <w:widowControl w:val="0"/>
        <w:wordWrap/>
        <w:adjustRightInd/>
        <w:snapToGrid/>
        <w:spacing w:line="560" w:lineRule="exact"/>
        <w:ind w:firstLine="624" w:firstLineChars="200"/>
        <w:textAlignment w:val="auto"/>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rPr>
        <w:t>一、基本情况</w:t>
      </w:r>
    </w:p>
    <w:p>
      <w:pPr>
        <w:widowControl w:val="0"/>
        <w:wordWrap/>
        <w:adjustRightInd/>
        <w:snapToGrid/>
        <w:spacing w:line="560" w:lineRule="exact"/>
        <w:ind w:firstLine="627" w:firstLineChars="200"/>
        <w:textAlignment w:val="auto"/>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（一）项目概况</w:t>
      </w:r>
    </w:p>
    <w:p>
      <w:pPr>
        <w:widowControl w:val="0"/>
        <w:wordWrap/>
        <w:adjustRightInd/>
        <w:snapToGrid/>
        <w:spacing w:line="560" w:lineRule="exact"/>
        <w:ind w:left="638" w:leftChars="304" w:firstLine="624" w:firstLineChars="200"/>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1.项目背景</w:t>
      </w:r>
    </w:p>
    <w:p>
      <w:pPr>
        <w:widowControl w:val="0"/>
        <w:wordWrap/>
        <w:adjustRightInd/>
        <w:snapToGrid/>
        <w:spacing w:line="560" w:lineRule="exact"/>
        <w:ind w:left="638" w:leftChars="304" w:firstLine="624" w:firstLineChars="200"/>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政协委员活动经费的设立基于人民政协“政治协商、民主监督、参政议政”三大核心职能。调研视察是履行职能的基础性工作，只有通过实地考察、深入调研，才能掌握社情民意，为党和政府决策提供科学依据。经费的保障是落实《中国人民政治协商会议章程》关于“为委员履职创造条件”要求的具体体现。</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2.主要内容及实施情况</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政协委员活动经费项目财政拨款14万元。用于闭会期间组织区政协委员开展活动的经费保障。委员开展视察、调研、民主监督、撰写提案和社情民意信息，大会发言等活动发生的通讯、交通及差旅费、印刷费工作餐费、组织委员培训学习、政协委员活动室建设和开展活动费。全面增强委员履职本领，更好为区委、区政府科学决策、有效实施提供参考。</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3.资金投入和使用情况</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政协委员活动经费计划拨付14万元，项目于2024年1月28日批复预算资金14万元，截至2024年12月31日，项目用于保障委员民主权利，完善了委员联系界别群众机制。组织委员外出考察学习、开展专题讲座、培训，项目资金支付13.49万元，资金到位率100%，预算执行率为96.</w:t>
      </w:r>
      <w:r>
        <w:rPr>
          <w:rStyle w:val="17"/>
          <w:rFonts w:hint="eastAsia" w:ascii="仿宋_GB2312" w:hAnsi="仿宋_GB2312" w:eastAsia="仿宋_GB2312" w:cs="仿宋_GB2312"/>
          <w:b w:val="0"/>
          <w:bCs w:val="0"/>
          <w:spacing w:val="-4"/>
          <w:sz w:val="32"/>
          <w:szCs w:val="32"/>
          <w:lang w:val="en-US" w:eastAsia="zh-CN"/>
        </w:rPr>
        <w:t>4</w:t>
      </w:r>
      <w:r>
        <w:rPr>
          <w:rStyle w:val="17"/>
          <w:rFonts w:hint="eastAsia" w:ascii="仿宋_GB2312" w:hAnsi="仿宋_GB2312" w:eastAsia="仿宋_GB2312" w:cs="仿宋_GB2312"/>
          <w:b w:val="0"/>
          <w:bCs w:val="0"/>
          <w:spacing w:val="-4"/>
          <w:sz w:val="32"/>
          <w:szCs w:val="32"/>
        </w:rPr>
        <w:t>%。</w:t>
      </w:r>
    </w:p>
    <w:p>
      <w:pPr>
        <w:widowControl w:val="0"/>
        <w:wordWrap/>
        <w:adjustRightInd/>
        <w:snapToGrid/>
        <w:spacing w:line="560" w:lineRule="exact"/>
        <w:ind w:firstLine="627" w:firstLineChars="200"/>
        <w:textAlignment w:val="auto"/>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（二）项目绩效目标</w:t>
      </w:r>
    </w:p>
    <w:p>
      <w:pPr>
        <w:widowControl w:val="0"/>
        <w:wordWrap/>
        <w:adjustRightInd/>
        <w:snapToGrid/>
        <w:spacing w:line="560" w:lineRule="exact"/>
        <w:ind w:firstLine="624" w:firstLineChars="200"/>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本项目总体目标为：政协委员活动经费项目财政拨款14万元。用于闭会期间组织区政协委员开展活动的经费保障。委员开展视察、调研、民主监督、撰写提案和社情民意信息，大会发言等活动发生的通讯、交通及差旅费、印刷费工作餐费、组织委员培训学习、政协委员活动室建设和开展活动费。全面增强委员履职本领，更好为区委、区政府科学决策、有效实施提供参考。</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根据《自治区财政支出绩效评价管理暂行办法》（新财预〔2018〕189号）等文件精神，结合项目相关信息，将年度目标细化分解，最终确定该项目阶段性目标如下：</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1.产出指标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数量指标：专题协商会议次数不低于2次；</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数量指标：界别月度协商座谈会次数不低于8次；</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数量指标：提案办理协商座谈会不低于20场；</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质量指标：委员会议出勤率达到90%；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质量指标：调研报告合格率达到95%；</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时效指标：会议召开及时率达到95%；</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时效指标：调研报告完成及时率达到95%。</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2.成本指标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经济成本指标：政协委员活动费不高于14万元。</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生态效益指标：提升政协委员履职水平和解决群众反映问题的能力，有效提升；</w:t>
      </w:r>
      <w:r>
        <w:rPr>
          <w:rStyle w:val="17"/>
          <w:rFonts w:hint="eastAsia" w:ascii="仿宋_GB2312" w:hAnsi="仿宋_GB2312" w:eastAsia="仿宋_GB2312" w:cs="仿宋_GB2312"/>
          <w:b w:val="0"/>
          <w:bCs w:val="0"/>
          <w:spacing w:val="-4"/>
          <w:sz w:val="32"/>
          <w:szCs w:val="32"/>
        </w:rPr>
        <w:cr/>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生态效益指标：协商成果转化率达到95%；</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4.满意度指标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满意度指标：群众满意度不低于95%。</w:t>
      </w:r>
    </w:p>
    <w:p>
      <w:pPr>
        <w:widowControl w:val="0"/>
        <w:wordWrap/>
        <w:adjustRightInd/>
        <w:snapToGrid/>
        <w:spacing w:line="560" w:lineRule="exact"/>
        <w:ind w:firstLine="624" w:firstLineChars="200"/>
        <w:textAlignment w:val="auto"/>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rPr>
        <w:t>二、绩效评价工作开展情况</w:t>
      </w:r>
    </w:p>
    <w:p>
      <w:pPr>
        <w:widowControl w:val="0"/>
        <w:wordWrap/>
        <w:adjustRightInd/>
        <w:snapToGrid/>
        <w:spacing w:line="560" w:lineRule="exact"/>
        <w:ind w:firstLine="627" w:firstLineChars="200"/>
        <w:textAlignment w:val="auto"/>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（一）绩效评价目的、对象和范围</w:t>
      </w:r>
    </w:p>
    <w:p>
      <w:pPr>
        <w:widowControl w:val="0"/>
        <w:wordWrap/>
        <w:adjustRightInd/>
        <w:snapToGrid/>
        <w:spacing w:line="560" w:lineRule="exact"/>
        <w:ind w:firstLine="624" w:firstLineChars="200"/>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我单位根据《自治区财政支出绩效评价管理暂行办法》（新财预〔2018〕189号）文件精神，对政协委员活动经费项目绩效目标实现情况进行自评。</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widowControl w:val="0"/>
        <w:wordWrap/>
        <w:adjustRightInd/>
        <w:snapToGrid/>
        <w:spacing w:line="400" w:lineRule="exact"/>
        <w:ind w:firstLine="313" w:firstLineChars="100"/>
        <w:textAlignment w:val="auto"/>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（二）绩效评价原则、评价指标体系、评价方法、评价标准</w:t>
      </w:r>
    </w:p>
    <w:p>
      <w:pPr>
        <w:widowControl w:val="0"/>
        <w:wordWrap/>
        <w:adjustRightInd/>
        <w:snapToGrid/>
        <w:spacing w:line="560" w:lineRule="exact"/>
        <w:ind w:firstLine="312" w:firstLineChars="100"/>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（1）科学公正。绩效评价应当运用科学合理的方法，按照规范的程序，对项目绩效进行客观、公正的反映。</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（3）激励约束。绩效评价结果应与预算安排、政策调整、改进管理实质性挂钩，体现奖优罚劣和激励导向，有效要安排、低效要压减、无效要问责。</w:t>
      </w:r>
      <w:r>
        <w:rPr>
          <w:rStyle w:val="17"/>
          <w:rFonts w:hint="eastAsia" w:ascii="仿宋_GB2312" w:hAnsi="仿宋_GB2312" w:eastAsia="仿宋_GB2312" w:cs="仿宋_GB2312"/>
          <w:b w:val="0"/>
          <w:bCs w:val="0"/>
          <w:spacing w:val="-4"/>
          <w:sz w:val="32"/>
          <w:szCs w:val="32"/>
        </w:rPr>
        <w:cr/>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（4）公开透明。绩效评价结果应依法依规公开，并自觉接受社会监督。</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2.评价指标体系</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（1）项目决策</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项目立项：立项依据充分性，权重2分；立项程序规范性，权重2分。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绩效目标：绩效目标明确性，权重4分；绩效目标合理性，权重4分。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预算编制：测算标准合理性，权重3分；测算过程细化度，权重2分。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（2）项目过程</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资金管理：资金到位率，权重6分；预算执行率，权重6分。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组织实施：资金使用合规性，权重4分，管理制度健全性，权重4分，制度执行有效性，权重3分。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（3）项目产出</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数量指标：专题协商会议次数，权重2分；界别月度协商座谈会次数，权重2分；提案办理协商座谈会，权重2分。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质量指标：委员会议出勤率，权重2.5分；调研报告合格率，权重2.5分。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时效指标：会议召开及时率，权重2.5分；调研报告完成及时率，权重2.5分。</w:t>
      </w:r>
      <w:r>
        <w:rPr>
          <w:rStyle w:val="17"/>
          <w:rFonts w:hint="eastAsia" w:ascii="仿宋_GB2312" w:hAnsi="仿宋_GB2312" w:eastAsia="仿宋_GB2312" w:cs="仿宋_GB2312"/>
          <w:b w:val="0"/>
          <w:bCs w:val="0"/>
          <w:spacing w:val="-4"/>
          <w:sz w:val="32"/>
          <w:szCs w:val="32"/>
        </w:rPr>
        <w:cr/>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成本指标：政协委员活动费，权重6分。</w:t>
      </w:r>
      <w:r>
        <w:rPr>
          <w:rStyle w:val="17"/>
          <w:rFonts w:hint="eastAsia" w:ascii="仿宋_GB2312" w:hAnsi="仿宋_GB2312" w:eastAsia="仿宋_GB2312" w:cs="仿宋_GB2312"/>
          <w:b w:val="0"/>
          <w:bCs w:val="0"/>
          <w:spacing w:val="-4"/>
          <w:sz w:val="32"/>
          <w:szCs w:val="32"/>
        </w:rPr>
        <w:cr/>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（3）效益指标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生态效益指标：提升政协委员履职水平和解决群众反映问题的能力，权重15分；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生态效益指标：协商成果转化率，权重15分。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（4）满意度指标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服务对象满意度指标：群众满意度，权重8分。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3.评价方法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政协委员活动经费项目绩效评价主要通过项目单位自评、主管部门监督、财政部门参评的方式开展绩效评价工作。</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绩效评价的方法主要包括：成本效益分析法、比较法、因素分析法、最低成本法、公众评判法、核实法等。根据评价指标的具体情况，可采用一种或多种方法。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（1）成本效益分析法。是指将投入与产出、效益进行关联性分析的方法。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（2）比较法。是指将实施情况与绩效目标、历史情况、不同部门和地区同类支出情况进行比较的方法。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（3）因素分析法。是指综合分析影响绩效目标实现、实施效果的内外部因素的方法。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（4）最低成本法。是指在绩效目标确定的前提下，成本最小者为优的方法。</w:t>
      </w:r>
      <w:r>
        <w:rPr>
          <w:rStyle w:val="17"/>
          <w:rFonts w:hint="eastAsia" w:ascii="仿宋_GB2312" w:hAnsi="仿宋_GB2312" w:eastAsia="仿宋_GB2312" w:cs="仿宋_GB2312"/>
          <w:b w:val="0"/>
          <w:bCs w:val="0"/>
          <w:spacing w:val="-4"/>
          <w:sz w:val="32"/>
          <w:szCs w:val="32"/>
        </w:rPr>
        <w:cr/>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（5）公众评判法。是指通过专家评估、公众问卷及抽样调查等方式进行评判的方法。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（6）核实法是收集包括书面资料以外的信息以证实书面资料及其所反映经济活动的真实，合法，合理，有效和正确的方法。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4.评价标准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绩效评价标准通常包括计划标准、行业标准、历史标准等，用于对绩效指标完成情况进行比较。</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单位自评采用定量与定性评价相结合的比较法，总分由各项指标得分汇总形成。</w:t>
      </w:r>
    </w:p>
    <w:p>
      <w:pPr>
        <w:widowControl w:val="0"/>
        <w:wordWrap/>
        <w:adjustRightInd/>
        <w:snapToGrid/>
        <w:spacing w:line="560" w:lineRule="exact"/>
        <w:ind w:firstLine="627" w:firstLineChars="200"/>
        <w:textAlignment w:val="auto"/>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（三）绩效评价工作过程</w:t>
      </w:r>
    </w:p>
    <w:p>
      <w:pPr>
        <w:widowControl w:val="0"/>
        <w:wordWrap/>
        <w:adjustRightInd/>
        <w:snapToGrid/>
        <w:spacing w:line="560" w:lineRule="exact"/>
        <w:ind w:firstLine="624" w:firstLineChars="200"/>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1.前期准备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（2）采取“年初绩效目标预定与实施效果比较法”进行评价，评价指标体系以绩效目标申报指标为依据。</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2.组织过程</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（1）项目全过程资料档案复核</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7"/>
          <w:rFonts w:hint="eastAsia" w:ascii="仿宋_GB2312" w:hAnsi="仿宋_GB2312" w:eastAsia="仿宋_GB2312" w:cs="仿宋_GB2312"/>
          <w:b w:val="0"/>
          <w:bCs w:val="0"/>
          <w:spacing w:val="-4"/>
          <w:sz w:val="32"/>
          <w:szCs w:val="32"/>
        </w:rPr>
        <w:cr/>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（2）检查内容和过程</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发放调查问卷开展群众满意度调查工作。</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（3）撰写报告情况</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根据所搜集的印证材料，按绩效评价原理和指标体系进行分析、评价和汇总，撰写绩效自评报告，并在规定时间上报。</w:t>
      </w:r>
    </w:p>
    <w:p>
      <w:pPr>
        <w:widowControl w:val="0"/>
        <w:wordWrap/>
        <w:adjustRightInd/>
        <w:snapToGrid/>
        <w:spacing w:line="560" w:lineRule="exact"/>
        <w:ind w:firstLine="624" w:firstLineChars="200"/>
        <w:textAlignment w:val="auto"/>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rPr>
        <w:t>三、综合评价情况及评价结论</w:t>
      </w:r>
    </w:p>
    <w:p>
      <w:pPr>
        <w:widowControl w:val="0"/>
        <w:wordWrap/>
        <w:adjustRightInd/>
        <w:snapToGrid/>
        <w:spacing w:line="560" w:lineRule="exact"/>
        <w:ind w:firstLine="624" w:firstLineChars="200"/>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本次项目自评满分100分，自评得分</w:t>
      </w:r>
      <w:r>
        <w:rPr>
          <w:rStyle w:val="17"/>
          <w:rFonts w:hint="eastAsia" w:ascii="仿宋_GB2312" w:hAnsi="仿宋_GB2312" w:eastAsia="仿宋_GB2312" w:cs="仿宋_GB2312"/>
          <w:b w:val="0"/>
          <w:bCs w:val="0"/>
          <w:spacing w:val="-4"/>
          <w:sz w:val="32"/>
          <w:szCs w:val="32"/>
          <w:lang w:val="en-US" w:eastAsia="zh-CN"/>
        </w:rPr>
        <w:t>98.16</w:t>
      </w:r>
      <w:r>
        <w:rPr>
          <w:rStyle w:val="17"/>
          <w:rFonts w:hint="eastAsia" w:ascii="仿宋_GB2312" w:hAnsi="仿宋_GB2312" w:eastAsia="仿宋_GB2312" w:cs="仿宋_GB2312"/>
          <w:b w:val="0"/>
          <w:bCs w:val="0"/>
          <w:spacing w:val="-4"/>
          <w:sz w:val="32"/>
          <w:szCs w:val="32"/>
        </w:rPr>
        <w:t>分，自评结果为“优”，其中项目决策得分17分，项目过程得分22.8分，项目产出得分21.75分，项目效益得分30分，项目满意度得分8分。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综合评价结论：项目决策方面，项目立项依据充分、立项程序规范、绩效目标合理性、绩效指标明确性；项目过程方面，项目资金使用符合相关的财务管理制度规定，能够反映和考核项目资金的规范运行情况；项目实施单位的财务和业务管理制度健全，能够反映和考核财务和业务管理制度对项目顺利实施的保障情况；项目产出质量、产出时效完成情况良好，产出数量界别月度协商座谈会次数完成情况未达预期，项目效益方面，有效提升了政协委员履职水平和解决群众反映问题的能力；项目满意度方面，群众对项目的满意度较好。</w:t>
      </w:r>
    </w:p>
    <w:p>
      <w:pPr>
        <w:widowControl w:val="0"/>
        <w:wordWrap/>
        <w:adjustRightInd/>
        <w:snapToGrid/>
        <w:spacing w:line="560" w:lineRule="exact"/>
        <w:ind w:firstLine="624" w:firstLineChars="200"/>
        <w:textAlignment w:val="auto"/>
        <w:rPr>
          <w:rStyle w:val="17"/>
          <w:rFonts w:hint="eastAsia" w:ascii="仿宋_GB2312" w:hAnsi="仿宋_GB2312" w:eastAsia="仿宋_GB2312" w:cs="仿宋_GB2312"/>
          <w:sz w:val="32"/>
          <w:szCs w:val="32"/>
        </w:rPr>
      </w:pPr>
      <w:r>
        <w:rPr>
          <w:rStyle w:val="17"/>
          <w:rFonts w:hint="eastAsia" w:ascii="仿宋_GB2312" w:hAnsi="仿宋_GB2312" w:eastAsia="仿宋_GB2312" w:cs="仿宋_GB2312"/>
          <w:b w:val="0"/>
          <w:spacing w:val="-4"/>
          <w:sz w:val="32"/>
          <w:szCs w:val="32"/>
        </w:rPr>
        <w:t>四、绩效评价指标分析</w:t>
      </w:r>
      <w:r>
        <w:rPr>
          <w:rStyle w:val="17"/>
          <w:rFonts w:hint="eastAsia" w:ascii="仿宋_GB2312" w:hAnsi="仿宋_GB2312" w:eastAsia="仿宋_GB2312" w:cs="仿宋_GB2312"/>
          <w:sz w:val="32"/>
          <w:szCs w:val="32"/>
        </w:rPr>
        <w:t xml:space="preserve"> </w:t>
      </w:r>
    </w:p>
    <w:p>
      <w:pPr>
        <w:widowControl w:val="0"/>
        <w:wordWrap/>
        <w:adjustRightInd/>
        <w:snapToGrid/>
        <w:spacing w:line="560" w:lineRule="exact"/>
        <w:ind w:firstLine="627" w:firstLineChars="200"/>
        <w:textAlignment w:val="auto"/>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（一）</w:t>
      </w:r>
      <w:r>
        <w:rPr>
          <w:rStyle w:val="17"/>
          <w:rFonts w:hint="eastAsia" w:ascii="仿宋_GB2312" w:hAnsi="仿宋_GB2312" w:eastAsia="仿宋_GB2312" w:cs="仿宋_GB2312"/>
          <w:spacing w:val="-4"/>
          <w:sz w:val="32"/>
          <w:szCs w:val="32"/>
        </w:rPr>
        <w:t>项目决策情况</w:t>
      </w:r>
    </w:p>
    <w:p>
      <w:pPr>
        <w:widowControl w:val="0"/>
        <w:tabs>
          <w:tab w:val="center" w:pos="4295"/>
        </w:tabs>
        <w:wordWrap/>
        <w:adjustRightInd/>
        <w:snapToGrid/>
        <w:spacing w:line="560" w:lineRule="exact"/>
        <w:ind w:firstLine="624" w:firstLineChars="200"/>
        <w:textAlignment w:val="auto"/>
        <w:rPr>
          <w:rStyle w:val="17"/>
          <w:rFonts w:hint="eastAsia" w:ascii="仿宋_GB2312" w:hAnsi="仿宋_GB2312" w:eastAsia="仿宋_GB2312" w:cs="仿宋_GB2312"/>
          <w:b w:val="0"/>
          <w:bCs w:val="0"/>
          <w:spacing w:val="-4"/>
          <w:sz w:val="32"/>
          <w:szCs w:val="32"/>
          <w:lang w:eastAsia="zh-CN"/>
        </w:rPr>
      </w:pP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1.项目立项</w:t>
      </w:r>
      <w:r>
        <w:rPr>
          <w:rStyle w:val="17"/>
          <w:rFonts w:hint="eastAsia" w:ascii="仿宋_GB2312" w:hAnsi="仿宋_GB2312" w:eastAsia="仿宋_GB2312" w:cs="仿宋_GB2312"/>
          <w:b w:val="0"/>
          <w:bCs w:val="0"/>
          <w:spacing w:val="-4"/>
          <w:sz w:val="32"/>
          <w:szCs w:val="32"/>
        </w:rPr>
        <w:cr/>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（1）立项依据充分性，满分2分，得分2分，得分率100%。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本项目是由政协伊州区委员会提出申报，于2024年1月批复设立，2024年我单位根据《中国人民</w:t>
      </w:r>
      <w:r>
        <w:rPr>
          <w:rStyle w:val="17"/>
          <w:rFonts w:hint="eastAsia" w:ascii="仿宋_GB2312" w:hAnsi="仿宋_GB2312" w:eastAsia="仿宋_GB2312" w:cs="仿宋_GB2312"/>
          <w:b w:val="0"/>
          <w:bCs w:val="0"/>
          <w:spacing w:val="-4"/>
          <w:sz w:val="32"/>
          <w:szCs w:val="32"/>
          <w:lang w:val="en-US" w:eastAsia="zh-CN"/>
        </w:rPr>
        <w:t>政治</w:t>
      </w:r>
      <w:r>
        <w:rPr>
          <w:rStyle w:val="17"/>
          <w:rFonts w:hint="eastAsia" w:ascii="仿宋_GB2312" w:hAnsi="仿宋_GB2312" w:eastAsia="仿宋_GB2312" w:cs="仿宋_GB2312"/>
          <w:b w:val="0"/>
          <w:bCs w:val="0"/>
          <w:spacing w:val="-4"/>
          <w:sz w:val="32"/>
          <w:szCs w:val="32"/>
        </w:rPr>
        <w:t>协商会议章程》，保证民主协商机制更好实施年度协商计划。为区委、区政府科学决策有效实施提供参考。项目立项符合政策要求，属于本部门履职所需。</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（2）立项程序规范性，满分2分，得分2分，得分率100%。项目立项符合规定程序，审批文件等材料合规、完整，有完整的评估程序和集体决策。</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2.绩效目标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（1）绩效目标明确性，满分4分，得分4分，得分率100%。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本项目绩效目标为“政协委员活动经费项目财政拨款14万元。用于闭会期间组织区政协委员开展活动的经费保障。委员开展视察、调研、民主监督、撰写提案和社情民意信息，大会发言等活动发生的通讯、交通及差旅费、印刷费工作餐费、组织委员培训学习、政协委员活动室建设和开展活动费。全面增强委员履职本领，更好为区委、区政府科学决策、有效实施提供参考”，明确了项目总体思路及总目标、并对项目任务进行了详细分解，对目标进行了细化，绩效目标包含了预期产出和效益，并通过清晰、可衡量的指标予以体现。</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（2）绩效目标合理性，满分4分，得分4分，得分率100%。</w:t>
      </w:r>
      <w:r>
        <w:rPr>
          <w:rStyle w:val="17"/>
          <w:rFonts w:hint="eastAsia" w:ascii="仿宋_GB2312" w:hAnsi="仿宋_GB2312" w:eastAsia="仿宋_GB2312" w:cs="仿宋_GB2312"/>
          <w:b w:val="0"/>
          <w:bCs w:val="0"/>
          <w:spacing w:val="-4"/>
          <w:sz w:val="32"/>
          <w:szCs w:val="32"/>
        </w:rPr>
        <w:cr/>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本项目已将项目绩效目标细化分解为具体的绩效指标，并通过清晰、可衡量的指标值予以体现，与项目目标任务数或计划数相对应。项目设定一级指标4个，二级指标6个，三级指标11个。项目绩效目标与实际工作内容具有相关性；项目预期产出效益和效果符合正常的业绩水平；与预算确定的资金量相匹配。</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3.预算编制</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（1）测算标准合理性，满分3分，得分3分，得分率100%。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预算编制按照《政协委员活动经费管理办法》，每人每年800元标准为政策依据。预算内容与项目内容相匹配。项目投资额与工作任务相匹配。</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（2）测算过程细化度，满分2分，得分2分，得分率100%。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预算编制较为详细，2024年政协委员活动经费14万元，按照《政协委员活动经费管理办法》，用于委员开展视察、调研撰写提案和社情民意信息。项目资金支出总体能够按照预算执行。</w:t>
      </w:r>
      <w:r>
        <w:rPr>
          <w:rStyle w:val="17"/>
          <w:rFonts w:hint="eastAsia" w:ascii="仿宋_GB2312" w:hAnsi="仿宋_GB2312" w:eastAsia="仿宋_GB2312" w:cs="仿宋_GB2312"/>
          <w:b w:val="0"/>
          <w:bCs w:val="0"/>
          <w:spacing w:val="-4"/>
          <w:sz w:val="32"/>
          <w:szCs w:val="32"/>
          <w:lang w:eastAsia="zh-CN"/>
        </w:rPr>
        <w:tab/>
      </w:r>
    </w:p>
    <w:p>
      <w:pPr>
        <w:widowControl w:val="0"/>
        <w:wordWrap/>
        <w:adjustRightInd/>
        <w:snapToGrid/>
        <w:spacing w:line="560" w:lineRule="exact"/>
        <w:ind w:firstLine="627" w:firstLineChars="200"/>
        <w:textAlignment w:val="auto"/>
        <w:rPr>
          <w:rStyle w:val="17"/>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二</w:t>
      </w:r>
      <w:r>
        <w:rPr>
          <w:rFonts w:hint="eastAsia" w:ascii="仿宋_GB2312" w:hAnsi="仿宋_GB2312" w:eastAsia="仿宋_GB2312" w:cs="仿宋_GB2312"/>
          <w:b/>
          <w:spacing w:val="-4"/>
          <w:sz w:val="32"/>
          <w:szCs w:val="32"/>
        </w:rPr>
        <w:t>）</w:t>
      </w:r>
      <w:r>
        <w:rPr>
          <w:rStyle w:val="17"/>
          <w:rFonts w:hint="eastAsia" w:ascii="仿宋_GB2312" w:hAnsi="仿宋_GB2312" w:eastAsia="仿宋_GB2312" w:cs="仿宋_GB2312"/>
          <w:spacing w:val="-4"/>
          <w:sz w:val="32"/>
          <w:szCs w:val="32"/>
        </w:rPr>
        <w:t>项目过程情况</w:t>
      </w:r>
    </w:p>
    <w:p>
      <w:pPr>
        <w:widowControl w:val="0"/>
        <w:wordWrap/>
        <w:adjustRightInd/>
        <w:snapToGrid/>
        <w:spacing w:line="560" w:lineRule="exact"/>
        <w:ind w:firstLine="624" w:firstLineChars="200"/>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1.资金管理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（1）资金到位率，满分6分，得分6分，得分率100%。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本项目预算资金14万元，实际到位资金14万元，资金到位率100.0%。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（2）预算执行率，满分6分，得分5.78分，得分率96.33%。</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年初预算14万元，实际到位资金14万元，本年执行13.49万元，预算执行率96.</w:t>
      </w:r>
      <w:r>
        <w:rPr>
          <w:rStyle w:val="17"/>
          <w:rFonts w:hint="eastAsia" w:ascii="仿宋_GB2312" w:hAnsi="仿宋_GB2312" w:eastAsia="仿宋_GB2312" w:cs="仿宋_GB2312"/>
          <w:b w:val="0"/>
          <w:bCs w:val="0"/>
          <w:spacing w:val="-4"/>
          <w:sz w:val="32"/>
          <w:szCs w:val="32"/>
          <w:lang w:val="en-US" w:eastAsia="zh-CN"/>
        </w:rPr>
        <w:t>4</w:t>
      </w:r>
      <w:r>
        <w:rPr>
          <w:rStyle w:val="17"/>
          <w:rFonts w:hint="eastAsia" w:ascii="仿宋_GB2312" w:hAnsi="仿宋_GB2312" w:eastAsia="仿宋_GB2312" w:cs="仿宋_GB2312"/>
          <w:b w:val="0"/>
          <w:bCs w:val="0"/>
          <w:spacing w:val="-4"/>
          <w:sz w:val="32"/>
          <w:szCs w:val="32"/>
        </w:rPr>
        <w:t>%。</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2.组织实施</w:t>
      </w:r>
      <w:r>
        <w:rPr>
          <w:rStyle w:val="17"/>
          <w:rFonts w:hint="eastAsia" w:ascii="仿宋_GB2312" w:hAnsi="仿宋_GB2312" w:eastAsia="仿宋_GB2312" w:cs="仿宋_GB2312"/>
          <w:b w:val="0"/>
          <w:bCs w:val="0"/>
          <w:spacing w:val="-4"/>
          <w:sz w:val="32"/>
          <w:szCs w:val="32"/>
        </w:rPr>
        <w:cr/>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（1）资金使用合规性，满分4分，得分4分，得分率100%。项目资金使用符合政府会计制度的相关规定，各项拨付</w:t>
      </w:r>
      <w:r>
        <w:rPr>
          <w:rStyle w:val="17"/>
          <w:rFonts w:hint="eastAsia" w:ascii="仿宋_GB2312" w:hAnsi="仿宋_GB2312" w:eastAsia="仿宋_GB2312" w:cs="仿宋_GB2312"/>
          <w:b w:val="0"/>
          <w:bCs w:val="0"/>
          <w:spacing w:val="-4"/>
          <w:sz w:val="32"/>
          <w:szCs w:val="32"/>
          <w:lang w:val="en-US" w:eastAsia="zh-CN"/>
        </w:rPr>
        <w:t>经</w:t>
      </w:r>
      <w:r>
        <w:rPr>
          <w:rStyle w:val="17"/>
          <w:rFonts w:hint="eastAsia" w:ascii="仿宋_GB2312" w:hAnsi="仿宋_GB2312" w:eastAsia="仿宋_GB2312" w:cs="仿宋_GB2312"/>
          <w:b w:val="0"/>
          <w:bCs w:val="0"/>
          <w:spacing w:val="-4"/>
          <w:sz w:val="32"/>
          <w:szCs w:val="32"/>
        </w:rPr>
        <w:t>领导审批，有完整的审批手续，项目支出不存在截留、挤占、挪用、虚列支出等情况，本年度审计、巡视、财政巡察未发现违规问题。</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（2）管理制度健全性，满分4分，得分4分，得分率100%。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我单位的财务和业务管理制度健全，财务和业务管理制度合法、合规、完整。依据《政协伊州区委员会资金管理办法》文件，建立健全内部财务管理制度，加强会计日常核算和监督，加强资金的预算、控制、分析和检查工作，做好项目财务管理基础工作；项目实行审计制度，由相关部门对项目采取跟踪审计。</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（3）制度执行有效性，满分3分，得分3分，得分率100%。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对项目资金使用的合法合规性进行监督，年末对资金使用效果进行评价。项目管理、实施人员落实到位，有效按照计划执行。项目执行情况等资料齐全，项目相关手续较为完备，档案完整，符合制度工作要求。</w:t>
      </w:r>
    </w:p>
    <w:p>
      <w:pPr>
        <w:widowControl w:val="0"/>
        <w:wordWrap/>
        <w:adjustRightInd/>
        <w:snapToGrid/>
        <w:spacing w:line="560" w:lineRule="exact"/>
        <w:ind w:firstLine="627" w:firstLineChars="200"/>
        <w:textAlignment w:val="auto"/>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三</w:t>
      </w:r>
      <w:r>
        <w:rPr>
          <w:rFonts w:hint="eastAsia" w:ascii="仿宋_GB2312" w:hAnsi="仿宋_GB2312" w:eastAsia="仿宋_GB2312" w:cs="仿宋_GB2312"/>
          <w:b/>
          <w:spacing w:val="-4"/>
          <w:sz w:val="32"/>
          <w:szCs w:val="32"/>
        </w:rPr>
        <w:t>）</w:t>
      </w:r>
      <w:r>
        <w:rPr>
          <w:rStyle w:val="17"/>
          <w:rFonts w:hint="eastAsia" w:ascii="仿宋_GB2312" w:hAnsi="仿宋_GB2312" w:eastAsia="仿宋_GB2312" w:cs="仿宋_GB2312"/>
          <w:spacing w:val="-4"/>
          <w:sz w:val="32"/>
          <w:szCs w:val="32"/>
        </w:rPr>
        <w:t>项目产出情况</w:t>
      </w:r>
    </w:p>
    <w:p>
      <w:pPr>
        <w:widowControl w:val="0"/>
        <w:wordWrap/>
        <w:adjustRightInd/>
        <w:snapToGrid/>
        <w:spacing w:line="560" w:lineRule="exact"/>
        <w:ind w:firstLine="624" w:firstLineChars="200"/>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1.产出数量</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“专题协商会议次数”指标，预期指标值为“≥2次”，根据工作总结、工作实际开展图片显示实际完成值为“2次”，实际完成率为100%；，满分2分，得分2分，得分率100%。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“界别月度协商座谈会次数”指标，预期指标值为“≥8次”，根据工作总结、工作实际开展图片显示实际完成值为“7次”，实际完成率为87.5%，满分2分，得分1.75分，得分率87.5%。</w:t>
      </w:r>
      <w:r>
        <w:rPr>
          <w:rStyle w:val="17"/>
          <w:rFonts w:hint="eastAsia" w:ascii="仿宋_GB2312" w:hAnsi="仿宋_GB2312" w:eastAsia="仿宋_GB2312" w:cs="仿宋_GB2312"/>
          <w:b w:val="0"/>
          <w:bCs w:val="0"/>
          <w:spacing w:val="-4"/>
          <w:sz w:val="32"/>
          <w:szCs w:val="32"/>
        </w:rPr>
        <w:cr/>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“提案办理协商座谈会”指标，预期指标值为“≥20场”，根据工作总结、工作实际开展图片显示实际完成值为“21场”，实际完成率为100%；，满分2分，得分2分，得分率100%。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2.产出质量</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“委员会议出勤率”指标，预期指标值为“≥90%”，根据工作实际开展图片显示实际出勤率为“90%”，该指标实际完成率为100%。满分2分，得分22分，得分率100%。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“调研报告合格率”指标，预期指标值为“≥95%”，根据工作实际开展图片显示实际完成值为“100%”，实际完成率为105%。满分3分，得分3分，得分率100%。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3.产出时效</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 “会议召开及时率”指标，预期指标值为“≥95%”，根据工作实际开展图片显示实际完成值为“95%”，实际完成率为100%。满分2分，得分2分，得分率100%。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“调研报告完成及时率”指标，预期指标值为“≥95%”，根据工作实际开展图片显示实际完成值为“100%”，实际完成率为100%。满分3分，得分3分，得分率100%。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4.产出成本</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 “政协委员活动费”指标，预期指标值为“≤14万元”，根据项目资金支付凭证显示，实际完成值为“13.49万元”，成本节约率为3.64%。满分6分，得分6分，得分率100%。</w:t>
      </w:r>
    </w:p>
    <w:p>
      <w:pPr>
        <w:widowControl w:val="0"/>
        <w:wordWrap/>
        <w:adjustRightInd/>
        <w:snapToGrid/>
        <w:spacing w:line="560" w:lineRule="exact"/>
        <w:ind w:firstLine="627" w:firstLineChars="200"/>
        <w:textAlignment w:val="auto"/>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四</w:t>
      </w:r>
      <w:r>
        <w:rPr>
          <w:rFonts w:hint="eastAsia" w:ascii="仿宋_GB2312" w:hAnsi="仿宋_GB2312" w:eastAsia="仿宋_GB2312" w:cs="仿宋_GB2312"/>
          <w:b/>
          <w:spacing w:val="-4"/>
          <w:sz w:val="32"/>
          <w:szCs w:val="32"/>
        </w:rPr>
        <w:t>）</w:t>
      </w:r>
      <w:r>
        <w:rPr>
          <w:rStyle w:val="17"/>
          <w:rFonts w:hint="eastAsia" w:ascii="仿宋_GB2312" w:hAnsi="仿宋_GB2312" w:eastAsia="仿宋_GB2312" w:cs="仿宋_GB2312"/>
          <w:spacing w:val="-4"/>
          <w:sz w:val="32"/>
          <w:szCs w:val="32"/>
        </w:rPr>
        <w:t>项目</w:t>
      </w:r>
      <w:r>
        <w:rPr>
          <w:rStyle w:val="17"/>
          <w:rFonts w:hint="eastAsia" w:ascii="仿宋_GB2312" w:hAnsi="仿宋_GB2312" w:eastAsia="仿宋_GB2312" w:cs="仿宋_GB2312"/>
          <w:spacing w:val="-4"/>
          <w:sz w:val="32"/>
          <w:szCs w:val="32"/>
          <w:lang w:val="en-US" w:eastAsia="zh-CN"/>
        </w:rPr>
        <w:t>成本</w:t>
      </w:r>
      <w:r>
        <w:rPr>
          <w:rStyle w:val="17"/>
          <w:rFonts w:hint="eastAsia" w:ascii="仿宋_GB2312" w:hAnsi="仿宋_GB2312" w:eastAsia="仿宋_GB2312" w:cs="仿宋_GB2312"/>
          <w:spacing w:val="-4"/>
          <w:sz w:val="32"/>
          <w:szCs w:val="32"/>
        </w:rPr>
        <w:t>情况</w:t>
      </w:r>
    </w:p>
    <w:p>
      <w:pPr>
        <w:widowControl w:val="0"/>
        <w:wordWrap/>
        <w:adjustRightInd/>
        <w:snapToGrid/>
        <w:spacing w:line="560" w:lineRule="exact"/>
        <w:ind w:firstLine="624" w:firstLineChars="200"/>
        <w:textAlignment w:val="auto"/>
        <w:rPr>
          <w:rStyle w:val="17"/>
          <w:rFonts w:hint="eastAsia" w:ascii="仿宋_GB2312" w:hAnsi="仿宋_GB2312" w:eastAsia="仿宋_GB2312" w:cs="仿宋_GB2312"/>
          <w:b w:val="0"/>
          <w:bCs w:val="0"/>
          <w:spacing w:val="-4"/>
          <w:sz w:val="32"/>
          <w:szCs w:val="32"/>
          <w:lang w:val="en-US" w:eastAsia="zh-CN"/>
        </w:rPr>
      </w:pPr>
      <w:r>
        <w:rPr>
          <w:rStyle w:val="17"/>
          <w:rFonts w:hint="eastAsia" w:ascii="仿宋_GB2312" w:hAnsi="仿宋_GB2312" w:eastAsia="仿宋_GB2312" w:cs="仿宋_GB2312"/>
          <w:b w:val="0"/>
          <w:bCs w:val="0"/>
          <w:spacing w:val="-4"/>
          <w:sz w:val="32"/>
          <w:szCs w:val="32"/>
        </w:rPr>
        <w:t>1.生态效益</w:t>
      </w:r>
      <w:r>
        <w:rPr>
          <w:rStyle w:val="17"/>
          <w:rFonts w:hint="eastAsia" w:ascii="仿宋_GB2312" w:hAnsi="仿宋_GB2312" w:eastAsia="仿宋_GB2312" w:cs="仿宋_GB2312"/>
          <w:b w:val="0"/>
          <w:bCs w:val="0"/>
          <w:spacing w:val="-4"/>
          <w:sz w:val="32"/>
          <w:szCs w:val="32"/>
        </w:rPr>
        <w:cr/>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社会效益2个指标，满分30分，得分30分，得分率100%。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“提升政协委员履职水平和解决群众反映问题的能力”指标，预期指标值为“有效提升”，根据2024年度工作总结中指出利用专题讲座、视频培训、视察调研等方式，调动委员积极性等一系列</w:t>
      </w:r>
      <w:r>
        <w:rPr>
          <w:rStyle w:val="17"/>
          <w:rFonts w:hint="eastAsia" w:ascii="仿宋_GB2312" w:hAnsi="仿宋_GB2312" w:eastAsia="仿宋_GB2312" w:cs="仿宋_GB2312"/>
          <w:b w:val="0"/>
          <w:bCs w:val="0"/>
          <w:spacing w:val="-4"/>
          <w:sz w:val="32"/>
          <w:szCs w:val="32"/>
          <w:lang w:val="en-US" w:eastAsia="zh-CN"/>
        </w:rPr>
        <w:t>质</w:t>
      </w:r>
      <w:bookmarkStart w:id="0" w:name="_GoBack"/>
      <w:bookmarkEnd w:id="0"/>
      <w:r>
        <w:rPr>
          <w:rStyle w:val="17"/>
          <w:rFonts w:hint="eastAsia" w:ascii="仿宋_GB2312" w:hAnsi="仿宋_GB2312" w:eastAsia="仿宋_GB2312" w:cs="仿宋_GB2312"/>
          <w:b w:val="0"/>
          <w:bCs w:val="0"/>
          <w:spacing w:val="-4"/>
          <w:sz w:val="32"/>
          <w:szCs w:val="32"/>
        </w:rPr>
        <w:t>量考评，委员提出提案的质量和履行的能力有很大提升。实际完成值为“全部达成预期指标”，实际完成率为100%；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协商成果转化率”指标，预期指标值为“≥95%”，根据2024年度工作总结中指出委员履职为民、协商为民，建言资政，有效发挥政协在凝聚人心、促进优惠政策落地。显示实际完成值为“95%”，实际完成率为100%；</w:t>
      </w:r>
    </w:p>
    <w:p>
      <w:pPr>
        <w:widowControl w:val="0"/>
        <w:wordWrap/>
        <w:adjustRightInd/>
        <w:snapToGrid/>
        <w:spacing w:line="560" w:lineRule="exact"/>
        <w:ind w:firstLine="627" w:firstLineChars="200"/>
        <w:textAlignment w:val="auto"/>
        <w:rPr>
          <w:rStyle w:val="17"/>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五</w:t>
      </w: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eastAsia="zh-CN"/>
        </w:rPr>
        <w:t>满意度</w:t>
      </w:r>
      <w:r>
        <w:rPr>
          <w:rStyle w:val="17"/>
          <w:rFonts w:hint="eastAsia" w:ascii="仿宋_GB2312" w:hAnsi="仿宋_GB2312" w:eastAsia="仿宋_GB2312" w:cs="仿宋_GB2312"/>
          <w:spacing w:val="-4"/>
          <w:sz w:val="32"/>
          <w:szCs w:val="32"/>
        </w:rPr>
        <w:t>情况</w:t>
      </w:r>
    </w:p>
    <w:p>
      <w:pPr>
        <w:widowControl w:val="0"/>
        <w:wordWrap/>
        <w:adjustRightInd/>
        <w:snapToGrid/>
        <w:spacing w:line="560" w:lineRule="exact"/>
        <w:ind w:firstLine="624" w:firstLineChars="200"/>
        <w:textAlignment w:val="auto"/>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b w:val="0"/>
          <w:bCs w:val="0"/>
          <w:spacing w:val="-4"/>
          <w:sz w:val="32"/>
          <w:szCs w:val="32"/>
        </w:rPr>
        <w:t>满意度1个指标，满分8分，得分8分，得分率100%。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“群众满意度”指标，预期指标值为“≥95%”，根据满意度调查问卷显示实际完成值为“100%”，实际完成率为105.26%；</w:t>
      </w:r>
    </w:p>
    <w:p>
      <w:pPr>
        <w:widowControl w:val="0"/>
        <w:wordWrap/>
        <w:adjustRightInd/>
        <w:snapToGrid/>
        <w:spacing w:line="560" w:lineRule="exact"/>
        <w:ind w:firstLine="624" w:firstLineChars="200"/>
        <w:textAlignment w:val="auto"/>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lang w:val="en-US" w:eastAsia="zh-CN"/>
        </w:rPr>
        <w:t>五</w:t>
      </w:r>
      <w:r>
        <w:rPr>
          <w:rStyle w:val="17"/>
          <w:rFonts w:hint="eastAsia" w:ascii="仿宋_GB2312" w:hAnsi="仿宋_GB2312" w:eastAsia="仿宋_GB2312" w:cs="仿宋_GB2312"/>
          <w:b w:val="0"/>
          <w:spacing w:val="-4"/>
          <w:sz w:val="32"/>
          <w:szCs w:val="32"/>
        </w:rPr>
        <w:t>、主要经验及做法、存在的问题及原因分析</w:t>
      </w:r>
    </w:p>
    <w:p>
      <w:pPr>
        <w:widowControl w:val="0"/>
        <w:wordWrap/>
        <w:adjustRightInd/>
        <w:snapToGrid/>
        <w:spacing w:line="560" w:lineRule="exact"/>
        <w:ind w:firstLine="624" w:firstLineChars="200"/>
        <w:textAlignment w:val="auto"/>
        <w:rPr>
          <w:rFonts w:hint="eastAsia" w:ascii="仿宋_GB2312" w:hAnsi="仿宋_GB2312" w:eastAsia="仿宋_GB2312" w:cs="仿宋_GB2312"/>
          <w:spacing w:val="-4"/>
          <w:sz w:val="32"/>
          <w:szCs w:val="32"/>
        </w:rPr>
      </w:pPr>
      <w:r>
        <w:rPr>
          <w:rStyle w:val="17"/>
          <w:rFonts w:hint="eastAsia" w:ascii="仿宋_GB2312" w:hAnsi="仿宋_GB2312" w:eastAsia="仿宋_GB2312" w:cs="仿宋_GB2312"/>
          <w:b w:val="0"/>
          <w:bCs w:val="0"/>
          <w:spacing w:val="-4"/>
          <w:sz w:val="32"/>
          <w:szCs w:val="32"/>
        </w:rPr>
        <w:t xml:space="preserve">1、明确经费使用目的：用于闭会期间组织区政协委员开展活动的经费保障。委员开展视察、调研、民主监督、撰写提案和社情民意信息，大会发言等活动发生的通讯、交通及差旅费、印刷费工作餐费、组织委员培训学习、政协委员活动室建设和开展活动费。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2、制定详细的经费预算：根据政协委员活动工作计划和经费总额，制定详细的经费预算，明确各个阶段的经费支出，确保经费使用透明、合理。</w:t>
      </w:r>
      <w:r>
        <w:rPr>
          <w:rStyle w:val="17"/>
          <w:rFonts w:hint="eastAsia" w:ascii="仿宋_GB2312" w:hAnsi="仿宋_GB2312" w:eastAsia="仿宋_GB2312" w:cs="仿宋_GB2312"/>
          <w:b w:val="0"/>
          <w:bCs w:val="0"/>
          <w:spacing w:val="-4"/>
          <w:sz w:val="32"/>
          <w:szCs w:val="32"/>
        </w:rPr>
        <w:cr/>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3、加强经费管理：加强对经费使用的监督和检查，防止浪费和滥用。</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（二）存在问题及原因分析</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主要问题为界别月度协商座谈会次数完成情况未达到预期，主要原因为12月界别月度协商座谈会其他工作安排未实施，资金未全部执行。</w:t>
      </w:r>
    </w:p>
    <w:p>
      <w:pPr>
        <w:widowControl w:val="0"/>
        <w:wordWrap/>
        <w:adjustRightInd/>
        <w:snapToGrid/>
        <w:spacing w:line="560" w:lineRule="exact"/>
        <w:ind w:firstLine="624" w:firstLineChars="200"/>
        <w:textAlignment w:val="auto"/>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u w:val="dotted"/>
          <w:lang w:val="en-US" w:eastAsia="zh-CN"/>
        </w:rPr>
        <w:t>六</w:t>
      </w:r>
      <w:r>
        <w:rPr>
          <w:rStyle w:val="17"/>
          <w:rFonts w:hint="eastAsia" w:ascii="仿宋_GB2312" w:hAnsi="仿宋_GB2312" w:eastAsia="仿宋_GB2312" w:cs="仿宋_GB2312"/>
          <w:b w:val="0"/>
          <w:spacing w:val="-4"/>
          <w:sz w:val="32"/>
          <w:szCs w:val="32"/>
        </w:rPr>
        <w:t>、有关建议</w:t>
      </w:r>
    </w:p>
    <w:p>
      <w:pPr>
        <w:widowControl w:val="0"/>
        <w:wordWrap/>
        <w:adjustRightInd/>
        <w:snapToGrid/>
        <w:spacing w:line="560" w:lineRule="exact"/>
        <w:ind w:firstLine="624" w:firstLineChars="200"/>
        <w:textAlignment w:val="auto"/>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b w:val="0"/>
          <w:bCs w:val="0"/>
          <w:spacing w:val="-4"/>
          <w:sz w:val="32"/>
          <w:szCs w:val="32"/>
        </w:rPr>
        <w:t>1.加强项目前期规划，实施前成立项目工作小组,由项目负责人负责制定详细工作计划，项目实施严格按照项目实施计划开展，工作分工明确，严格按照绩效管理制度进行项目绩效管理工作，对项目进行监控，确保项目在实施中按照计划执行，避免项目实施出现偏差及时进行调整，确保项目资金专款专用，并按工作计划完成项目工作。</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2.做好资金管理。严格执行相关专项资金管理办法，在资金使用过程中，定期、不定期开展全面检查和专项检查，坚持按项目实施进度及时拨付资金，做到事中监督落实，事后检查验收，确保财政资金安全、规范、高效运作。</w:t>
      </w:r>
    </w:p>
    <w:p>
      <w:pPr>
        <w:widowControl w:val="0"/>
        <w:wordWrap/>
        <w:adjustRightInd/>
        <w:snapToGrid/>
        <w:spacing w:line="560" w:lineRule="exact"/>
        <w:ind w:firstLine="624" w:firstLineChars="200"/>
        <w:textAlignment w:val="auto"/>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lang w:val="en-US" w:eastAsia="zh-CN"/>
        </w:rPr>
        <w:t>七</w:t>
      </w:r>
      <w:r>
        <w:rPr>
          <w:rStyle w:val="17"/>
          <w:rFonts w:hint="eastAsia" w:ascii="仿宋_GB2312" w:hAnsi="仿宋_GB2312" w:eastAsia="仿宋_GB2312" w:cs="仿宋_GB2312"/>
          <w:b w:val="0"/>
          <w:spacing w:val="-4"/>
          <w:sz w:val="32"/>
          <w:szCs w:val="32"/>
        </w:rPr>
        <w:t>、其他需要说明的问题</w:t>
      </w:r>
    </w:p>
    <w:p>
      <w:pPr>
        <w:widowControl w:val="0"/>
        <w:wordWrap/>
        <w:adjustRightInd/>
        <w:snapToGrid/>
        <w:spacing w:line="560" w:lineRule="exact"/>
        <w:ind w:firstLine="624" w:firstLineChars="200"/>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无</w:t>
      </w:r>
    </w:p>
    <w:p>
      <w:pPr>
        <w:spacing w:line="540" w:lineRule="exact"/>
        <w:ind w:firstLine="567"/>
        <w:rPr>
          <w:rStyle w:val="17"/>
          <w:rFonts w:hint="eastAsia" w:ascii="仿宋_GB2312" w:hAnsi="仿宋_GB2312" w:eastAsia="仿宋_GB2312" w:cs="仿宋_GB2312"/>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headerReference r:id="rId4" w:type="default"/>
      <w:footerReference r:id="rId5" w:type="default"/>
      <w:pgSz w:w="11906" w:h="16838"/>
      <w:pgMar w:top="1440" w:right="1558" w:bottom="1440" w:left="175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Cambria">
    <w:panose1 w:val="02040503050406030204"/>
    <w:charset w:val="00"/>
    <w:family w:val="auto"/>
    <w:pitch w:val="default"/>
    <w:sig w:usb0="E00006FF" w:usb1="420024FF" w:usb2="02000000" w:usb3="00000000" w:csb0="2000019F" w:csb1="00000000"/>
  </w:font>
  <w:font w:name="Calibri">
    <w:panose1 w:val="020F0502020204030204"/>
    <w:charset w:val="00"/>
    <w:family w:val="auto"/>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2"/>
      <w:jc w:val="center"/>
    </w:pPr>
    <w:r>
      <w:fldChar w:fldCharType="begin"/>
    </w:r>
    <w:r>
      <w:instrText xml:space="preserve">PAGE   \* MERGEFORMAT</w:instrText>
    </w:r>
    <w:r>
      <w:fldChar w:fldCharType="separate"/>
    </w:r>
    <w:r>
      <w:rPr>
        <w:lang w:val="zh-CN"/>
      </w:rPr>
      <w:t>1</w:t>
    </w:r>
    <w:r>
      <w:fldChar w:fldCharType="end"/>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annotation subject"/>
    <w:lsdException w:qFormat="1" w:uiPriority="99"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4"/>
    <w:qFormat/>
    <w:uiPriority w:val="9"/>
    <w:pPr>
      <w:keepNext/>
      <w:widowControl/>
      <w:spacing w:before="240" w:after="60"/>
      <w:jc w:val="left"/>
      <w:outlineLvl w:val="0"/>
    </w:pPr>
    <w:rPr>
      <w:rFonts w:ascii="Cambria" w:hAnsi="Cambria" w:eastAsia="宋体"/>
      <w:b/>
      <w:bCs/>
      <w:kern w:val="32"/>
      <w:sz w:val="32"/>
      <w:szCs w:val="32"/>
    </w:rPr>
  </w:style>
  <w:style w:type="paragraph" w:styleId="3">
    <w:name w:val="heading 2"/>
    <w:basedOn w:val="1"/>
    <w:next w:val="1"/>
    <w:link w:val="25"/>
    <w:semiHidden/>
    <w:unhideWhenUsed/>
    <w:qFormat/>
    <w:uiPriority w:val="9"/>
    <w:pPr>
      <w:keepNext/>
      <w:widowControl/>
      <w:spacing w:before="240" w:after="60"/>
      <w:jc w:val="left"/>
      <w:outlineLvl w:val="1"/>
    </w:pPr>
    <w:rPr>
      <w:rFonts w:ascii="Cambria" w:hAnsi="Cambria" w:eastAsia="宋体"/>
      <w:b/>
      <w:bCs/>
      <w:i/>
      <w:iCs/>
      <w:kern w:val="0"/>
      <w:sz w:val="28"/>
      <w:szCs w:val="28"/>
    </w:rPr>
  </w:style>
  <w:style w:type="paragraph" w:styleId="4">
    <w:name w:val="heading 3"/>
    <w:basedOn w:val="1"/>
    <w:next w:val="1"/>
    <w:link w:val="26"/>
    <w:semiHidden/>
    <w:unhideWhenUsed/>
    <w:qFormat/>
    <w:uiPriority w:val="9"/>
    <w:pPr>
      <w:keepNext/>
      <w:widowControl/>
      <w:spacing w:before="240" w:after="60"/>
      <w:jc w:val="left"/>
      <w:outlineLvl w:val="2"/>
    </w:pPr>
    <w:rPr>
      <w:rFonts w:ascii="Cambria" w:hAnsi="Cambria" w:eastAsia="宋体"/>
      <w:b/>
      <w:bCs/>
      <w:kern w:val="0"/>
      <w:sz w:val="26"/>
      <w:szCs w:val="26"/>
    </w:rPr>
  </w:style>
  <w:style w:type="paragraph" w:styleId="5">
    <w:name w:val="heading 4"/>
    <w:basedOn w:val="1"/>
    <w:next w:val="1"/>
    <w:link w:val="27"/>
    <w:semiHidden/>
    <w:unhideWhenUsed/>
    <w:qFormat/>
    <w:uiPriority w:val="9"/>
    <w:pPr>
      <w:keepNext/>
      <w:widowControl/>
      <w:spacing w:before="240" w:after="60"/>
      <w:jc w:val="left"/>
      <w:outlineLvl w:val="3"/>
    </w:pPr>
    <w:rPr>
      <w:rFonts w:ascii="Calibri" w:hAnsi="Calibri" w:eastAsia="宋体"/>
      <w:b/>
      <w:bCs/>
      <w:kern w:val="0"/>
      <w:sz w:val="28"/>
      <w:szCs w:val="28"/>
    </w:rPr>
  </w:style>
  <w:style w:type="paragraph" w:styleId="6">
    <w:name w:val="heading 5"/>
    <w:basedOn w:val="1"/>
    <w:next w:val="1"/>
    <w:link w:val="28"/>
    <w:semiHidden/>
    <w:unhideWhenUsed/>
    <w:qFormat/>
    <w:uiPriority w:val="9"/>
    <w:pPr>
      <w:widowControl/>
      <w:spacing w:before="240" w:after="60"/>
      <w:jc w:val="left"/>
      <w:outlineLvl w:val="4"/>
    </w:pPr>
    <w:rPr>
      <w:rFonts w:ascii="Calibri" w:hAnsi="Calibri" w:eastAsia="宋体"/>
      <w:b/>
      <w:bCs/>
      <w:i/>
      <w:iCs/>
      <w:kern w:val="0"/>
      <w:sz w:val="26"/>
      <w:szCs w:val="26"/>
    </w:rPr>
  </w:style>
  <w:style w:type="paragraph" w:styleId="7">
    <w:name w:val="heading 6"/>
    <w:basedOn w:val="1"/>
    <w:next w:val="1"/>
    <w:link w:val="29"/>
    <w:semiHidden/>
    <w:unhideWhenUsed/>
    <w:qFormat/>
    <w:uiPriority w:val="9"/>
    <w:pPr>
      <w:widowControl/>
      <w:spacing w:before="240" w:after="60"/>
      <w:jc w:val="left"/>
      <w:outlineLvl w:val="5"/>
    </w:pPr>
    <w:rPr>
      <w:rFonts w:ascii="Calibri" w:hAnsi="Calibri" w:eastAsia="宋体"/>
      <w:b/>
      <w:bCs/>
      <w:kern w:val="0"/>
      <w:sz w:val="22"/>
      <w:szCs w:val="22"/>
    </w:rPr>
  </w:style>
  <w:style w:type="paragraph" w:styleId="8">
    <w:name w:val="heading 7"/>
    <w:basedOn w:val="1"/>
    <w:next w:val="1"/>
    <w:link w:val="30"/>
    <w:semiHidden/>
    <w:unhideWhenUsed/>
    <w:qFormat/>
    <w:uiPriority w:val="9"/>
    <w:pPr>
      <w:widowControl/>
      <w:spacing w:before="240" w:after="60"/>
      <w:jc w:val="left"/>
      <w:outlineLvl w:val="6"/>
    </w:pPr>
    <w:rPr>
      <w:rFonts w:ascii="Calibri" w:hAnsi="Calibri" w:eastAsia="宋体"/>
      <w:kern w:val="0"/>
      <w:sz w:val="24"/>
    </w:rPr>
  </w:style>
  <w:style w:type="paragraph" w:styleId="9">
    <w:name w:val="heading 8"/>
    <w:basedOn w:val="1"/>
    <w:next w:val="1"/>
    <w:link w:val="31"/>
    <w:semiHidden/>
    <w:unhideWhenUsed/>
    <w:qFormat/>
    <w:uiPriority w:val="9"/>
    <w:pPr>
      <w:widowControl/>
      <w:spacing w:before="240" w:after="60"/>
      <w:jc w:val="left"/>
      <w:outlineLvl w:val="7"/>
    </w:pPr>
    <w:rPr>
      <w:rFonts w:ascii="Calibri" w:hAnsi="Calibri" w:eastAsia="宋体"/>
      <w:i/>
      <w:iCs/>
      <w:kern w:val="0"/>
      <w:sz w:val="24"/>
    </w:rPr>
  </w:style>
  <w:style w:type="paragraph" w:styleId="10">
    <w:name w:val="heading 9"/>
    <w:basedOn w:val="1"/>
    <w:next w:val="1"/>
    <w:link w:val="32"/>
    <w:semiHidden/>
    <w:unhideWhenUsed/>
    <w:qFormat/>
    <w:uiPriority w:val="9"/>
    <w:pPr>
      <w:widowControl/>
      <w:spacing w:before="240" w:after="60"/>
      <w:jc w:val="left"/>
      <w:outlineLvl w:val="8"/>
    </w:pPr>
    <w:rPr>
      <w:rFonts w:ascii="Cambria" w:hAnsi="Cambria" w:eastAsia="宋体"/>
      <w:kern w:val="0"/>
      <w:sz w:val="22"/>
      <w:szCs w:val="22"/>
    </w:rPr>
  </w:style>
  <w:style w:type="character" w:default="1" w:styleId="16">
    <w:name w:val="Default Paragraph Font"/>
    <w:semiHidden/>
    <w:unhideWhenUsed/>
    <w:qFormat/>
    <w:uiPriority w:val="1"/>
  </w:style>
  <w:style w:type="paragraph" w:styleId="11">
    <w:name w:val="Balloon Text"/>
    <w:basedOn w:val="1"/>
    <w:link w:val="44"/>
    <w:semiHidden/>
    <w:unhideWhenUsed/>
    <w:qFormat/>
    <w:uiPriority w:val="99"/>
    <w:rPr>
      <w:sz w:val="18"/>
      <w:szCs w:val="18"/>
    </w:rPr>
  </w:style>
  <w:style w:type="paragraph" w:styleId="12">
    <w:name w:val="footer"/>
    <w:basedOn w:val="1"/>
    <w:link w:val="43"/>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2"/>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4"/>
    <w:qFormat/>
    <w:uiPriority w:val="11"/>
    <w:pPr>
      <w:widowControl/>
      <w:spacing w:after="60"/>
      <w:jc w:val="center"/>
      <w:outlineLvl w:val="1"/>
    </w:pPr>
    <w:rPr>
      <w:rFonts w:ascii="Cambria" w:hAnsi="Cambria" w:eastAsia="宋体"/>
      <w:kern w:val="0"/>
      <w:sz w:val="24"/>
    </w:rPr>
  </w:style>
  <w:style w:type="paragraph" w:styleId="15">
    <w:name w:val="Title"/>
    <w:basedOn w:val="1"/>
    <w:next w:val="1"/>
    <w:link w:val="33"/>
    <w:qFormat/>
    <w:uiPriority w:val="10"/>
    <w:pPr>
      <w:widowControl/>
      <w:spacing w:before="240" w:after="60"/>
      <w:jc w:val="center"/>
      <w:outlineLvl w:val="0"/>
    </w:pPr>
    <w:rPr>
      <w:rFonts w:ascii="Cambria" w:hAnsi="Cambria" w:eastAsia="宋体"/>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Calibri" w:hAnsi="Calibri"/>
      <w:b/>
      <w:i/>
      <w:iCs/>
    </w:rPr>
  </w:style>
  <w:style w:type="paragraph" w:customStyle="1" w:styleId="19">
    <w:name w:val="No Spacing"/>
    <w:basedOn w:val="1"/>
    <w:qFormat/>
    <w:uiPriority w:val="1"/>
    <w:pPr>
      <w:widowControl/>
      <w:jc w:val="left"/>
    </w:pPr>
    <w:rPr>
      <w:rFonts w:ascii="Calibri" w:hAnsi="Calibri" w:eastAsia="宋体" w:cs="Times New Roman"/>
      <w:kern w:val="0"/>
      <w:sz w:val="24"/>
      <w:szCs w:val="32"/>
      <w:lang w:eastAsia="en-US" w:bidi="en-US"/>
    </w:rPr>
  </w:style>
  <w:style w:type="paragraph" w:customStyle="1" w:styleId="20">
    <w:name w:val="List Paragraph"/>
    <w:basedOn w:val="1"/>
    <w:qFormat/>
    <w:uiPriority w:val="34"/>
    <w:pPr>
      <w:widowControl/>
      <w:ind w:left="720"/>
      <w:contextualSpacing/>
      <w:jc w:val="left"/>
    </w:pPr>
    <w:rPr>
      <w:rFonts w:ascii="Calibri" w:hAnsi="Calibri" w:eastAsia="宋体"/>
      <w:kern w:val="0"/>
      <w:sz w:val="24"/>
      <w:lang w:eastAsia="en-US" w:bidi="en-US"/>
    </w:rPr>
  </w:style>
  <w:style w:type="paragraph" w:customStyle="1" w:styleId="21">
    <w:name w:val="Quote"/>
    <w:basedOn w:val="1"/>
    <w:next w:val="1"/>
    <w:link w:val="35"/>
    <w:qFormat/>
    <w:uiPriority w:val="29"/>
    <w:pPr>
      <w:widowControl/>
      <w:jc w:val="left"/>
    </w:pPr>
    <w:rPr>
      <w:rFonts w:ascii="Calibri" w:hAnsi="Calibri" w:eastAsia="宋体"/>
      <w:i/>
      <w:kern w:val="0"/>
      <w:sz w:val="24"/>
    </w:rPr>
  </w:style>
  <w:style w:type="paragraph" w:customStyle="1" w:styleId="22">
    <w:name w:val="Intense Quote"/>
    <w:basedOn w:val="1"/>
    <w:next w:val="1"/>
    <w:link w:val="36"/>
    <w:qFormat/>
    <w:uiPriority w:val="30"/>
    <w:pPr>
      <w:widowControl/>
      <w:ind w:left="720" w:right="720"/>
      <w:jc w:val="left"/>
    </w:pPr>
    <w:rPr>
      <w:rFonts w:ascii="Calibri" w:hAnsi="Calibri" w:eastAsia="宋体"/>
      <w:b/>
      <w:i/>
      <w:kern w:val="0"/>
      <w:sz w:val="24"/>
      <w:szCs w:val="22"/>
    </w:rPr>
  </w:style>
  <w:style w:type="paragraph" w:customStyle="1" w:styleId="23">
    <w:name w:val="TOC 标题1"/>
    <w:basedOn w:val="2"/>
    <w:next w:val="1"/>
    <w:semiHidden/>
    <w:unhideWhenUsed/>
    <w:qFormat/>
    <w:uiPriority w:val="39"/>
    <w:pPr>
      <w:outlineLvl w:val="9"/>
    </w:pPr>
    <w:rPr>
      <w:lang w:eastAsia="en-US" w:bidi="en-US"/>
    </w:rPr>
  </w:style>
  <w:style w:type="character" w:customStyle="1" w:styleId="24">
    <w:name w:val="标题 1 字符"/>
    <w:basedOn w:val="16"/>
    <w:link w:val="2"/>
    <w:qFormat/>
    <w:uiPriority w:val="9"/>
    <w:rPr>
      <w:rFonts w:ascii="Cambria" w:hAnsi="Cambria" w:eastAsia="宋体"/>
      <w:b/>
      <w:bCs/>
      <w:kern w:val="32"/>
      <w:sz w:val="32"/>
      <w:szCs w:val="32"/>
    </w:rPr>
  </w:style>
  <w:style w:type="character" w:customStyle="1" w:styleId="25">
    <w:name w:val="标题 2 字符"/>
    <w:basedOn w:val="16"/>
    <w:link w:val="3"/>
    <w:semiHidden/>
    <w:qFormat/>
    <w:uiPriority w:val="9"/>
    <w:rPr>
      <w:rFonts w:ascii="Cambria" w:hAnsi="Cambria" w:eastAsia="宋体"/>
      <w:b/>
      <w:bCs/>
      <w:i/>
      <w:iCs/>
      <w:sz w:val="28"/>
      <w:szCs w:val="28"/>
    </w:rPr>
  </w:style>
  <w:style w:type="character" w:customStyle="1" w:styleId="26">
    <w:name w:val="标题 3 字符"/>
    <w:basedOn w:val="16"/>
    <w:link w:val="4"/>
    <w:semiHidden/>
    <w:qFormat/>
    <w:uiPriority w:val="9"/>
    <w:rPr>
      <w:rFonts w:ascii="Cambria" w:hAnsi="Cambria" w:eastAsia="宋体"/>
      <w:b/>
      <w:bCs/>
      <w:sz w:val="26"/>
      <w:szCs w:val="26"/>
    </w:rPr>
  </w:style>
  <w:style w:type="character" w:customStyle="1" w:styleId="27">
    <w:name w:val="标题 4 字符"/>
    <w:basedOn w:val="16"/>
    <w:link w:val="5"/>
    <w:semiHidden/>
    <w:qFormat/>
    <w:uiPriority w:val="9"/>
    <w:rPr>
      <w:b/>
      <w:bCs/>
      <w:sz w:val="28"/>
      <w:szCs w:val="28"/>
    </w:rPr>
  </w:style>
  <w:style w:type="character" w:customStyle="1" w:styleId="28">
    <w:name w:val="标题 5 字符"/>
    <w:basedOn w:val="16"/>
    <w:link w:val="6"/>
    <w:semiHidden/>
    <w:qFormat/>
    <w:uiPriority w:val="9"/>
    <w:rPr>
      <w:b/>
      <w:bCs/>
      <w:i/>
      <w:iCs/>
      <w:sz w:val="26"/>
      <w:szCs w:val="26"/>
    </w:rPr>
  </w:style>
  <w:style w:type="character" w:customStyle="1" w:styleId="29">
    <w:name w:val="标题 6 字符"/>
    <w:basedOn w:val="16"/>
    <w:link w:val="7"/>
    <w:semiHidden/>
    <w:qFormat/>
    <w:uiPriority w:val="9"/>
    <w:rPr>
      <w:b/>
      <w:bCs/>
    </w:rPr>
  </w:style>
  <w:style w:type="character" w:customStyle="1" w:styleId="30">
    <w:name w:val="标题 7 字符"/>
    <w:basedOn w:val="16"/>
    <w:link w:val="8"/>
    <w:semiHidden/>
    <w:qFormat/>
    <w:uiPriority w:val="9"/>
    <w:rPr>
      <w:sz w:val="24"/>
      <w:szCs w:val="24"/>
    </w:rPr>
  </w:style>
  <w:style w:type="character" w:customStyle="1" w:styleId="31">
    <w:name w:val="标题 8 字符"/>
    <w:basedOn w:val="16"/>
    <w:link w:val="9"/>
    <w:semiHidden/>
    <w:qFormat/>
    <w:uiPriority w:val="9"/>
    <w:rPr>
      <w:i/>
      <w:iCs/>
      <w:sz w:val="24"/>
      <w:szCs w:val="24"/>
    </w:rPr>
  </w:style>
  <w:style w:type="character" w:customStyle="1" w:styleId="32">
    <w:name w:val="标题 9 字符"/>
    <w:basedOn w:val="16"/>
    <w:link w:val="10"/>
    <w:semiHidden/>
    <w:qFormat/>
    <w:uiPriority w:val="9"/>
    <w:rPr>
      <w:rFonts w:ascii="Cambria" w:hAnsi="Cambria" w:eastAsia="宋体"/>
    </w:rPr>
  </w:style>
  <w:style w:type="character" w:customStyle="1" w:styleId="33">
    <w:name w:val="标题 字符"/>
    <w:basedOn w:val="16"/>
    <w:link w:val="15"/>
    <w:qFormat/>
    <w:uiPriority w:val="10"/>
    <w:rPr>
      <w:rFonts w:ascii="Cambria" w:hAnsi="Cambria" w:eastAsia="宋体"/>
      <w:b/>
      <w:bCs/>
      <w:kern w:val="28"/>
      <w:sz w:val="32"/>
      <w:szCs w:val="32"/>
    </w:rPr>
  </w:style>
  <w:style w:type="character" w:customStyle="1" w:styleId="34">
    <w:name w:val="副标题 字符"/>
    <w:basedOn w:val="16"/>
    <w:link w:val="14"/>
    <w:qFormat/>
    <w:uiPriority w:val="11"/>
    <w:rPr>
      <w:rFonts w:ascii="Cambria" w:hAnsi="Cambria" w:eastAsia="宋体"/>
      <w:sz w:val="24"/>
      <w:szCs w:val="24"/>
    </w:rPr>
  </w:style>
  <w:style w:type="character" w:customStyle="1" w:styleId="35">
    <w:name w:val="引用 字符"/>
    <w:basedOn w:val="16"/>
    <w:link w:val="21"/>
    <w:qFormat/>
    <w:uiPriority w:val="29"/>
    <w:rPr>
      <w:i/>
      <w:sz w:val="24"/>
      <w:szCs w:val="24"/>
    </w:rPr>
  </w:style>
  <w:style w:type="character" w:customStyle="1" w:styleId="36">
    <w:name w:val="明显引用 字符"/>
    <w:basedOn w:val="16"/>
    <w:link w:val="22"/>
    <w:qFormat/>
    <w:uiPriority w:val="30"/>
    <w:rPr>
      <w:b/>
      <w:i/>
      <w:sz w:val="24"/>
    </w:rPr>
  </w:style>
  <w:style w:type="character" w:customStyle="1" w:styleId="37">
    <w:name w:val="不明显强调1"/>
    <w:qFormat/>
    <w:uiPriority w:val="19"/>
    <w:rPr>
      <w:i/>
      <w:color w:val="565656"/>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Cambria" w:hAnsi="Cambria" w:eastAsia="宋体"/>
      <w:b/>
      <w:i/>
      <w:sz w:val="24"/>
      <w:szCs w:val="24"/>
    </w:rPr>
  </w:style>
  <w:style w:type="character" w:customStyle="1" w:styleId="42">
    <w:name w:val="页眉 字符"/>
    <w:basedOn w:val="16"/>
    <w:link w:val="13"/>
    <w:qFormat/>
    <w:uiPriority w:val="99"/>
    <w:rPr>
      <w:rFonts w:ascii="Calibri" w:hAnsi="Calibri" w:eastAsia="宋体"/>
      <w:kern w:val="2"/>
      <w:sz w:val="18"/>
      <w:szCs w:val="18"/>
    </w:rPr>
  </w:style>
  <w:style w:type="character" w:customStyle="1" w:styleId="43">
    <w:name w:val="页脚 字符"/>
    <w:basedOn w:val="16"/>
    <w:link w:val="12"/>
    <w:qFormat/>
    <w:uiPriority w:val="99"/>
    <w:rPr>
      <w:rFonts w:ascii="Calibri" w:hAnsi="Calibri" w:eastAsia="宋体"/>
      <w:kern w:val="2"/>
      <w:sz w:val="18"/>
      <w:szCs w:val="18"/>
    </w:rPr>
  </w:style>
  <w:style w:type="character" w:customStyle="1" w:styleId="44">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6212</Words>
  <Characters>6508</Characters>
  <Lines>5</Lines>
  <Paragraphs>1</Paragraphs>
  <TotalTime>0</TotalTime>
  <ScaleCrop>false</ScaleCrop>
  <LinksUpToDate>false</LinksUpToDate>
  <CharactersWithSpaces>0</CharactersWithSpaces>
  <Application>WPS Office 专业版_8.1.0.0_{F1E327BC-269C-435d-A152-05C5408002CA}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Lenovo</cp:lastModifiedBy>
  <cp:lastPrinted>2018-12-31T10:56:00Z</cp:lastPrinted>
  <dcterms:modified xsi:type="dcterms:W3CDTF">2025-11-06T13:56:36Z</dcterms:modified>
  <dc:title>附件2：</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2052-8.1.0.0</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