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特定类-驻点巡察工作经费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中共哈密市伊州区纪律检查委员会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中共哈密市伊州区纪律检查委员会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徐涛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p>
    <w:p>
      <w:pPr>
        <w:spacing w:line="540" w:lineRule="exact"/>
        <w:ind w:left="313" w:leftChars="149" w:firstLine="312" w:firstLine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为强化党内监督、推进全面从严治党，纪委开展驻点巡察工作，对各单位进行深入监督检查，及时发现问题、形成震慑，此项目经费</w:t>
      </w:r>
      <w:r>
        <w:rPr>
          <w:rStyle w:val="17"/>
          <w:rFonts w:hint="eastAsia" w:ascii="仿宋_GB2312" w:hAnsi="仿宋_GB2312" w:eastAsia="仿宋_GB2312" w:cs="仿宋_GB2312"/>
          <w:b w:val="0"/>
          <w:bCs w:val="0"/>
          <w:spacing w:val="-4"/>
          <w:sz w:val="32"/>
          <w:szCs w:val="32"/>
          <w:lang w:val="en-US" w:eastAsia="zh-CN"/>
        </w:rPr>
        <w:t>为</w:t>
      </w:r>
      <w:r>
        <w:rPr>
          <w:rStyle w:val="17"/>
          <w:rFonts w:hint="eastAsia" w:ascii="仿宋_GB2312" w:hAnsi="仿宋_GB2312" w:eastAsia="仿宋_GB2312" w:cs="仿宋_GB2312"/>
          <w:b w:val="0"/>
          <w:bCs w:val="0"/>
          <w:spacing w:val="-4"/>
          <w:sz w:val="32"/>
          <w:szCs w:val="32"/>
        </w:rPr>
        <w:t>驻点巡察工作的顺利开展提供资金支出。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2.主要内容及实施情况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驻点巡察工作经费涵盖人员的交通、食宿费用，办公用品购置、资料印刷，以及必要的设备租赁等方面支出。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3.资金投入和使用情况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2024年计划拨付100万元。2024年1月28日批复预算资金100万元，截至2024年12月31日，项目用于保障驻点巡察工作，项目资金支付100万元，资金到位率100%，预算执行率为100%。</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本项目总体目标为：通过持续加强单位各项基础设施和纪律建设，确保监督检查、巡察、办案等各项工作正常开展，为顺利有效开展纪检工作提供保障，进而全面提升全区各项文明建设。</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数量指标：建立巡察组个数不低于7个；购买办公耗材、办公用品不低于10批。</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质量指标：工作正常运行率达到100%；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时效指标：任务完成率达到100%。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经济成本指标：驻点巡察工作经费不高于90万元，购买办公耗材、办公用品费用不高于10万元。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社会效益指标：保障党风廉政建设各项工作正常开展。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满意度指标：工作人员满意度不低于95%。</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spacing w:line="540" w:lineRule="exact"/>
        <w:ind w:firstLine="312" w:firstLine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w:t>
      </w:r>
      <w:r>
        <w:rPr>
          <w:rStyle w:val="17"/>
          <w:rFonts w:hint="eastAsia" w:ascii="仿宋_GB2312" w:hAnsi="仿宋_GB2312" w:eastAsia="仿宋_GB2312" w:cs="仿宋_GB2312"/>
          <w:b w:val="0"/>
          <w:bCs w:val="0"/>
          <w:spacing w:val="-4"/>
          <w:sz w:val="32"/>
          <w:szCs w:val="32"/>
          <w:lang w:val="en-US" w:eastAsia="zh-CN"/>
        </w:rPr>
        <w:t>重</w:t>
      </w:r>
      <w:r>
        <w:rPr>
          <w:rStyle w:val="17"/>
          <w:rFonts w:hint="eastAsia" w:ascii="仿宋_GB2312" w:hAnsi="仿宋_GB2312" w:eastAsia="仿宋_GB2312" w:cs="仿宋_GB2312"/>
          <w:b w:val="0"/>
          <w:bCs w:val="0"/>
          <w:spacing w:val="-4"/>
          <w:sz w:val="32"/>
          <w:szCs w:val="32"/>
        </w:rPr>
        <w:t>点巡察工作经费项目绩效目标实现情况进行自评。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widowControl w:val="0"/>
        <w:wordWrap/>
        <w:adjustRightInd/>
        <w:snapToGrid/>
        <w:spacing w:line="540" w:lineRule="exact"/>
        <w:ind w:firstLine="936" w:firstLineChars="3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项目立项：立项依据充分性，权重2分；立项程序规范性，权重2分。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预算编制：测算标准合理性，权重3分；测算过程细化度，权重2分。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资金管理：资金到位率，权重6分；预算执行率，权重6分</w:t>
      </w:r>
    </w:p>
    <w:p>
      <w:pPr>
        <w:widowControl w:val="0"/>
        <w:wordWrap/>
        <w:adjustRightInd/>
        <w:snapToGrid/>
        <w:spacing w:line="540" w:lineRule="exact"/>
        <w:ind w:firstLine="312" w:firstLineChars="1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数量指标：巡察组个数，采购办公用品数量，权重6分；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质量指标：工作正常运行率，权重5分；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时效指标：任务完成及时率，权重5分。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成本指标：驻点巡察工作经费指标，权重6分。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社会效益指标：保障党风廉政建设各项工作正常开展，权重30分。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服务对象满意度指标：工作人员满意度，权重8分。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驻点巡察工作经费项目绩效评价主要通过项目单位自评、主管部门监督、财政部门参评的方式开展绩效评价工作。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w:t>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发放调查问卷开展工作人员满意度调查工作。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spacing w:line="540" w:lineRule="exact"/>
        <w:ind w:firstLine="312" w:firstLine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分，自评结果为“优”，其中项目决策得分17分，项目过程得分21分，项目产出得分22分，项目效益得分30分，项目满意度得分8分。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立项依据充分，契合全面从严治党战略与纪委监督职责，程序规范，绩效目标合理且明确，预算编制科学，资金分配合理且明确，资金管理严格规范，资金及时足额到位；项目过程方面建立了较全的管理制度，多数能有效执行，各项指标完成较好；项目产出方面，实际建立巡查组个数，采购办公用品，完成巡察工作，巡察报告质量较高；项目效益方面，社会效益明显，有效保障党风廉政各项工作开展，被巡查单位作风有所改善；项目满意度方面，工作人员满意度100%。</w:t>
      </w:r>
    </w:p>
    <w:p>
      <w:pPr>
        <w:spacing w:line="540" w:lineRule="exact"/>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spacing w:line="540" w:lineRule="exact"/>
        <w:rPr>
          <w:rStyle w:val="17"/>
          <w:rFonts w:hint="eastAsia" w:ascii="仿宋_GB2312" w:hAnsi="仿宋_GB2312" w:eastAsia="仿宋_GB2312" w:cs="仿宋_GB2312"/>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spacing w:line="540" w:lineRule="exact"/>
        <w:ind w:left="312" w:hanging="312" w:hangingChars="100"/>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1.项目立项</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（1）立项依据充分性，满分2分，得分2分，得分率100%。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纪委驻点巡察工作是党内监督重要举措，契合全面从严治党战略与纪委监督职责，立项依据充分。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目标清晰可衡量。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围绕发现问题、督促整改、促进廉政建设目标，符合巡察工作实际，具备合理性。</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根据巡察任务，进行资金预算，预算合理。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根据巡察单位数量、巡查时间、任务进行细化测算预算资金，细化程度较高。</w:t>
      </w:r>
      <w:r>
        <w:rPr>
          <w:rStyle w:val="17"/>
          <w:rFonts w:hint="eastAsia" w:ascii="仿宋_GB2312" w:hAnsi="仿宋_GB2312" w:eastAsia="仿宋_GB2312" w:cs="仿宋_GB2312"/>
          <w:b w:val="0"/>
          <w:bCs w:val="0"/>
          <w:spacing w:val="-4"/>
          <w:sz w:val="32"/>
          <w:szCs w:val="32"/>
          <w:lang w:eastAsia="zh-CN"/>
        </w:rPr>
        <w:tab/>
      </w:r>
    </w:p>
    <w:p>
      <w:pPr>
        <w:spacing w:line="540" w:lineRule="exact"/>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（1）资金到位率，满分6分，得分6分，得分率100%。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预算资金及时足额到位，保障巡察顺利开展，因此得满分。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经费按预算有序支出，无截留、挪用，执行率100%，因此得满分。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（2）管理制度健全性，满分4分，得分3分，得分率80%。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制定</w:t>
      </w:r>
      <w:r>
        <w:rPr>
          <w:rStyle w:val="17"/>
          <w:rFonts w:hint="eastAsia" w:ascii="仿宋_GB2312" w:hAnsi="仿宋_GB2312" w:eastAsia="仿宋_GB2312" w:cs="仿宋_GB2312"/>
          <w:b w:val="0"/>
          <w:bCs w:val="0"/>
          <w:spacing w:val="-4"/>
          <w:sz w:val="32"/>
          <w:szCs w:val="32"/>
        </w:rPr>
        <w:t>巡察工作制度、人员培训制度等，</w:t>
      </w:r>
      <w:r>
        <w:rPr>
          <w:rStyle w:val="17"/>
          <w:rFonts w:hint="eastAsia" w:ascii="仿宋_GB2312" w:hAnsi="仿宋_GB2312" w:eastAsia="仿宋_GB2312" w:cs="仿宋_GB2312"/>
          <w:b w:val="0"/>
          <w:bCs w:val="0"/>
          <w:spacing w:val="-4"/>
          <w:sz w:val="32"/>
          <w:szCs w:val="32"/>
          <w:lang w:val="en-US" w:eastAsia="zh-CN"/>
        </w:rPr>
        <w:t>但</w:t>
      </w:r>
      <w:r>
        <w:rPr>
          <w:rStyle w:val="17"/>
          <w:rFonts w:hint="eastAsia" w:ascii="仿宋_GB2312" w:hAnsi="仿宋_GB2312" w:eastAsia="仿宋_GB2312" w:cs="仿宋_GB2312"/>
          <w:b w:val="0"/>
          <w:bCs w:val="0"/>
          <w:spacing w:val="-4"/>
          <w:sz w:val="32"/>
          <w:szCs w:val="32"/>
        </w:rPr>
        <w:t>部分制度细节需完善，因此得3分。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（3）制度执行有效性，满分3分，得分2分，得分率83.33%。</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多数按制度执行，个别采购、付款环节略有拖沓问题，因此得5分。</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1.产出数量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工作组数量、采购办公用品数量达到预期值。</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驻点巡察工作正常完成。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按期完成驻点巡察工作。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驻点巡察工作经费执行数与预期值一致，执行率100%。</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spacing w:line="540" w:lineRule="exact"/>
        <w:rPr>
          <w:rStyle w:val="17"/>
          <w:rFonts w:hint="eastAsia" w:ascii="仿宋_GB2312" w:hAnsi="仿宋_GB2312" w:eastAsia="仿宋_GB2312" w:cs="仿宋_GB2312"/>
          <w:b w:val="0"/>
          <w:bCs w:val="0"/>
          <w:spacing w:val="-4"/>
          <w:sz w:val="32"/>
          <w:szCs w:val="32"/>
          <w:lang w:val="en-US" w:eastAsia="zh-CN"/>
        </w:rPr>
      </w:pPr>
      <w:r>
        <w:rPr>
          <w:rStyle w:val="17"/>
          <w:rFonts w:hint="eastAsia" w:ascii="仿宋_GB2312" w:hAnsi="仿宋_GB2312" w:eastAsia="仿宋_GB2312" w:cs="仿宋_GB2312"/>
          <w:b w:val="0"/>
          <w:bCs w:val="0"/>
          <w:spacing w:val="-4"/>
          <w:sz w:val="32"/>
          <w:szCs w:val="32"/>
        </w:rPr>
        <w:t>1.社会效益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社会效益指标，满分30分，得分30分，得分率100%。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党风廉政建设各项工作正常开展得到有效保障。</w:t>
      </w:r>
    </w:p>
    <w:p>
      <w:pPr>
        <w:spacing w:line="540" w:lineRule="exact"/>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工作人员满意度</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工作人员满意度指标，满分8分，得分8分，得分率100%。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本项目向工作人员随机发放满意度问卷10份，实际回收满意度问卷10份，满意度情况大部分为满意，整体居民满意度为100%。</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spacing w:line="540" w:lineRule="exact"/>
        <w:ind w:left="624" w:hanging="624" w:hanging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（一）主要经验及做法</w:t>
      </w:r>
    </w:p>
    <w:p>
      <w:pPr>
        <w:spacing w:line="540" w:lineRule="exact"/>
        <w:ind w:left="628" w:leftChars="299" w:firstLine="0" w:firstLineChars="0"/>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1.科学规划和精准立项。紧密围绕全面从严治党战略布局和纪委监督职责，深入研究各单位廉政风险点和监督需求，结合上级政策导向和实际工作难点，精准确定巡察对象和重点内容。在立项过程中，充分调研论证，广泛征求意见，确保巡察项目目标清晰，任务明确，与当前政治生态建设需求高度契合，为后续工作顺利开展奠定坚实基础。</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严格资金管控。制定完善的资金管理办法，明确经费开支范围、标准和审批流程。对巡察工作经费实行专款专用，建立资金使用台账，定期进行财务审计和自查自纠。在资金分配上，依据巡察任务的复杂程度、地域差异等因素科学测算，确保资金合理分配，提高资金使用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3.规范流程与制度保障。建立健全涵盖巡察准备、实施、报告、整改等各环节的工作制度和操作流程，明确巡察人员的职责</w:t>
      </w:r>
      <w:r>
        <w:rPr>
          <w:rStyle w:val="17"/>
          <w:rFonts w:hint="eastAsia" w:ascii="仿宋_GB2312" w:hAnsi="仿宋_GB2312" w:eastAsia="仿宋_GB2312" w:cs="仿宋_GB2312"/>
          <w:b w:val="0"/>
          <w:bCs w:val="0"/>
          <w:spacing w:val="-4"/>
          <w:sz w:val="32"/>
          <w:szCs w:val="32"/>
          <w:lang w:val="en-US" w:eastAsia="zh-CN"/>
        </w:rPr>
        <w:t>任工</w:t>
      </w:r>
      <w:r>
        <w:rPr>
          <w:rStyle w:val="17"/>
          <w:rFonts w:hint="eastAsia" w:ascii="仿宋_GB2312" w:hAnsi="仿宋_GB2312" w:eastAsia="仿宋_GB2312" w:cs="仿宋_GB2312"/>
          <w:b w:val="0"/>
          <w:bCs w:val="0"/>
          <w:spacing w:val="-4"/>
          <w:sz w:val="32"/>
          <w:szCs w:val="32"/>
        </w:rPr>
        <w:t>、工作纪律和行为规范，通过制度约束确保巡察工作有序推进。（二）存在问题及原因分析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存在问题：对巡察人员培训</w:t>
      </w:r>
      <w:r>
        <w:rPr>
          <w:rStyle w:val="17"/>
          <w:rFonts w:hint="eastAsia" w:ascii="仿宋_GB2312" w:hAnsi="仿宋_GB2312" w:eastAsia="仿宋_GB2312" w:cs="仿宋_GB2312"/>
          <w:b w:val="0"/>
          <w:bCs w:val="0"/>
          <w:spacing w:val="-4"/>
          <w:sz w:val="32"/>
          <w:szCs w:val="32"/>
          <w:lang w:val="en-US" w:eastAsia="zh-CN"/>
        </w:rPr>
        <w:t>针对</w:t>
      </w:r>
      <w:r>
        <w:rPr>
          <w:rStyle w:val="17"/>
          <w:rFonts w:hint="eastAsia" w:ascii="仿宋_GB2312" w:hAnsi="仿宋_GB2312" w:eastAsia="仿宋_GB2312" w:cs="仿宋_GB2312"/>
          <w:b w:val="0"/>
          <w:bCs w:val="0"/>
          <w:spacing w:val="-4"/>
          <w:sz w:val="32"/>
          <w:szCs w:val="32"/>
        </w:rPr>
        <w:t>性不足，培训内容侧重于理论知识和通用巡察方法，对不同行业、领域</w:t>
      </w:r>
      <w:r>
        <w:rPr>
          <w:rStyle w:val="17"/>
          <w:rFonts w:hint="eastAsia" w:ascii="仿宋_GB2312" w:hAnsi="仿宋_GB2312" w:eastAsia="仿宋_GB2312" w:cs="仿宋_GB2312"/>
          <w:b w:val="0"/>
          <w:bCs w:val="0"/>
          <w:spacing w:val="-4"/>
          <w:sz w:val="32"/>
          <w:szCs w:val="32"/>
          <w:lang w:val="en-US" w:eastAsia="zh-CN"/>
        </w:rPr>
        <w:t>被</w:t>
      </w:r>
      <w:r>
        <w:rPr>
          <w:rStyle w:val="17"/>
          <w:rFonts w:hint="eastAsia" w:ascii="仿宋_GB2312" w:hAnsi="仿宋_GB2312" w:eastAsia="仿宋_GB2312" w:cs="仿宋_GB2312"/>
          <w:b w:val="0"/>
          <w:bCs w:val="0"/>
          <w:spacing w:val="-4"/>
          <w:sz w:val="32"/>
          <w:szCs w:val="32"/>
        </w:rPr>
        <w:t>巡察单位的特点和专业知识涉及较少，巡察人员面对复杂业务场景时难以精准发现问题。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原因分析：培训需求分析不到位。培训计划</w:t>
      </w:r>
      <w:r>
        <w:rPr>
          <w:rStyle w:val="17"/>
          <w:rFonts w:hint="eastAsia" w:ascii="仿宋_GB2312" w:hAnsi="仿宋_GB2312" w:eastAsia="仿宋_GB2312" w:cs="仿宋_GB2312"/>
          <w:b w:val="0"/>
          <w:bCs w:val="0"/>
          <w:spacing w:val="-4"/>
          <w:sz w:val="32"/>
          <w:szCs w:val="32"/>
          <w:lang w:val="en-US" w:eastAsia="zh-CN"/>
        </w:rPr>
        <w:t>制定</w:t>
      </w:r>
      <w:bookmarkStart w:id="0" w:name="_GoBack"/>
      <w:bookmarkEnd w:id="0"/>
      <w:r>
        <w:rPr>
          <w:rStyle w:val="17"/>
          <w:rFonts w:hint="eastAsia" w:ascii="仿宋_GB2312" w:hAnsi="仿宋_GB2312" w:eastAsia="仿宋_GB2312" w:cs="仿宋_GB2312"/>
          <w:b w:val="0"/>
          <w:bCs w:val="0"/>
          <w:spacing w:val="-4"/>
          <w:sz w:val="32"/>
          <w:szCs w:val="32"/>
        </w:rPr>
        <w:t>前期，未广泛收集巡查人员的实际需求和工作遇到的问题，未针对不同行业特点和业务难点开展有针对性的课程设计。</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spacing w:line="540" w:lineRule="exact"/>
        <w:ind w:firstLine="624" w:firstLineChars="200"/>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1.建立长期监督计划。在巡察结束后，制定为期1-3年的跟踪监督计划，明确监督频次、方式和重点内容，定期对被巡察单位进行回访检查。</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2.增强巡察人员培训针对性。定期收集巡察人员在工作中遇到的问题和对培训内容的需求，结合不同时期巡察工作重点和被巡察单位行业特点，制定个性化培训方案。</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4599</Words>
  <Characters>4762</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2025-11-06T14:44:21Z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