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网络宣传经费</w:t>
      </w:r>
    </w:p>
    <w:p>
      <w:pPr>
        <w:spacing w:line="540" w:lineRule="exact"/>
        <w:rPr>
          <w:rFonts w:ascii="楷体" w:hAnsi="楷体" w:eastAsia="楷体"/>
          <w:b/>
          <w:bCs/>
          <w:spacing w:val="-4"/>
          <w:sz w:val="32"/>
          <w:szCs w:val="32"/>
        </w:rPr>
      </w:pPr>
      <w:r>
        <w:rPr>
          <w:rFonts w:hint="eastAsia" w:hAnsi="宋体" w:eastAsia="仿宋_GB2312" w:cs="宋体"/>
          <w:kern w:val="0"/>
          <w:sz w:val="36"/>
          <w:szCs w:val="36"/>
        </w:rPr>
        <w:t>实施单位（公章）：</w:t>
      </w:r>
      <w:r>
        <w:rPr>
          <w:rStyle w:val="17"/>
          <w:rFonts w:hint="eastAsia" w:ascii="楷体" w:hAnsi="楷体" w:eastAsia="楷体"/>
          <w:spacing w:val="-4"/>
          <w:sz w:val="28"/>
          <w:szCs w:val="28"/>
        </w:rPr>
        <w:t>中共哈密市伊州区委员会网络安全和信息化委员会办公室</w:t>
      </w:r>
    </w:p>
    <w:p>
      <w:pPr>
        <w:spacing w:line="540" w:lineRule="exact"/>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中共哈密市伊州区委员会网络安全和信息化委员会办公室</w:t>
      </w:r>
    </w:p>
    <w:p>
      <w:pPr>
        <w:spacing w:line="540" w:lineRule="exact"/>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阿依简·叶尔博拉提</w:t>
      </w:r>
    </w:p>
    <w:p>
      <w:pPr>
        <w:spacing w:line="540" w:lineRule="exact"/>
        <w:rPr>
          <w:rStyle w:val="17"/>
          <w:rFonts w:hint="eastAsia"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2025年05月19日</w:t>
      </w:r>
    </w:p>
    <w:p>
      <w:pPr>
        <w:widowControl w:val="0"/>
        <w:wordWrap/>
        <w:adjustRightInd/>
        <w:snapToGrid/>
        <w:spacing w:line="540" w:lineRule="exact"/>
        <w:ind w:firstLine="0" w:firstLineChars="0"/>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一、基本情况</w:t>
      </w:r>
    </w:p>
    <w:p>
      <w:pPr>
        <w:widowControl w:val="0"/>
        <w:wordWrap/>
        <w:adjustRightInd/>
        <w:snapToGrid/>
        <w:spacing w:line="540" w:lineRule="exact"/>
        <w:ind w:firstLine="0" w:firstLineChars="0"/>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（一）项目概况</w:t>
      </w:r>
    </w:p>
    <w:p>
      <w:pPr>
        <w:widowControl w:val="0"/>
        <w:wordWrap/>
        <w:adjustRightInd/>
        <w:snapToGrid/>
        <w:spacing w:line="540" w:lineRule="exact"/>
        <w:ind w:firstLine="624" w:firstLineChars="2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根据</w:t>
      </w:r>
      <w:r>
        <w:rPr>
          <w:rStyle w:val="17"/>
          <w:rFonts w:hint="eastAsia" w:ascii="仿宋_GB2312" w:hAnsi="仿宋_GB2312" w:eastAsia="仿宋_GB2312" w:cs="仿宋_GB2312"/>
          <w:b w:val="0"/>
          <w:bCs w:val="0"/>
          <w:spacing w:val="-4"/>
          <w:sz w:val="32"/>
          <w:szCs w:val="32"/>
          <w:lang w:val="en-US" w:eastAsia="zh-CN"/>
        </w:rPr>
        <w:t>相关</w:t>
      </w:r>
      <w:r>
        <w:rPr>
          <w:rStyle w:val="17"/>
          <w:rFonts w:hint="eastAsia" w:ascii="仿宋_GB2312" w:hAnsi="仿宋_GB2312" w:eastAsia="仿宋_GB2312" w:cs="仿宋_GB2312"/>
          <w:b w:val="0"/>
          <w:bCs w:val="0"/>
          <w:spacing w:val="-4"/>
          <w:sz w:val="32"/>
          <w:szCs w:val="32"/>
        </w:rPr>
        <w:t>文件规定：设立网络文化专项经费，发展积极健康向上的网络文化，每年度由市</w:t>
      </w:r>
      <w:r>
        <w:rPr>
          <w:rStyle w:val="17"/>
          <w:rFonts w:hint="eastAsia" w:ascii="仿宋_GB2312" w:hAnsi="仿宋_GB2312" w:eastAsia="仿宋_GB2312" w:cs="仿宋_GB2312"/>
          <w:b w:val="0"/>
          <w:bCs w:val="0"/>
          <w:spacing w:val="-4"/>
          <w:sz w:val="32"/>
          <w:szCs w:val="32"/>
          <w:lang w:val="en-US" w:eastAsia="zh-CN"/>
        </w:rPr>
        <w:t>委</w:t>
      </w:r>
      <w:r>
        <w:rPr>
          <w:rStyle w:val="17"/>
          <w:rFonts w:hint="eastAsia" w:ascii="仿宋_GB2312" w:hAnsi="仿宋_GB2312" w:eastAsia="仿宋_GB2312" w:cs="仿宋_GB2312"/>
          <w:b w:val="0"/>
          <w:bCs w:val="0"/>
          <w:spacing w:val="-4"/>
          <w:sz w:val="32"/>
          <w:szCs w:val="32"/>
        </w:rPr>
        <w:t>网信办支配的网络文化专项经费不少于20万元，列入哈密市年度财政预算予以保障。网信办2024年预算下达网络宣传经费指标8万元，主要用于网络安全宣传周和开展网络中国节系列活动（以中国传统节日春节、清明节、端午节、中秋节、重阳节为主线），通过网络文化</w:t>
      </w:r>
      <w:r>
        <w:rPr>
          <w:rStyle w:val="17"/>
          <w:rFonts w:hint="eastAsia" w:ascii="仿宋_GB2312" w:hAnsi="仿宋_GB2312" w:eastAsia="仿宋_GB2312" w:cs="仿宋_GB2312"/>
          <w:b w:val="0"/>
          <w:bCs w:val="0"/>
          <w:spacing w:val="-4"/>
          <w:sz w:val="32"/>
          <w:szCs w:val="32"/>
          <w:lang w:val="en-US" w:eastAsia="zh-CN"/>
        </w:rPr>
        <w:t>产业</w:t>
      </w:r>
      <w:r>
        <w:rPr>
          <w:rStyle w:val="17"/>
          <w:rFonts w:hint="eastAsia" w:ascii="仿宋_GB2312" w:hAnsi="仿宋_GB2312" w:eastAsia="仿宋_GB2312" w:cs="仿宋_GB2312"/>
          <w:b w:val="0"/>
          <w:bCs w:val="0"/>
          <w:spacing w:val="-4"/>
          <w:sz w:val="32"/>
          <w:szCs w:val="32"/>
        </w:rPr>
        <w:t>，引导网民文明上网，渲染节日网络氛围等宣传任务。</w:t>
      </w:r>
    </w:p>
    <w:p>
      <w:pPr>
        <w:widowControl w:val="0"/>
        <w:wordWrap/>
        <w:adjustRightInd/>
        <w:snapToGrid/>
        <w:spacing w:line="540" w:lineRule="exact"/>
        <w:ind w:firstLine="0" w:firstLineChars="0"/>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（二）项目绩效目标</w:t>
      </w:r>
    </w:p>
    <w:p>
      <w:pPr>
        <w:widowControl w:val="0"/>
        <w:wordWrap/>
        <w:adjustRightInd/>
        <w:snapToGrid/>
        <w:spacing w:line="540" w:lineRule="exact"/>
        <w:ind w:firstLine="624" w:firstLineChars="2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本项目总体目标为：网络中国节系列主题传播活动，哈密瓜节、桑葚节等属地文旅活动，国家网络安全宣传周活动的开展及网上传播。</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网络中国节系列主题传播活动的开展促进了中华优秀传统文化的网上传播，增强社会凝聚力。通过属地文旅活动的网上传播，向广大网友推介哈密特色旅游文化，吸引更多的人了解哈密，带动哈密旅游业发展。国家网络安全宣传周活动的开展，能够激发群众对网络安全问题的关注与思考，普及网络安全知识，让网络安全意识深入人心。根据</w:t>
      </w:r>
      <w:r>
        <w:rPr>
          <w:rStyle w:val="17"/>
          <w:rFonts w:hint="eastAsia" w:ascii="仿宋_GB2312" w:hAnsi="仿宋_GB2312" w:eastAsia="仿宋_GB2312" w:cs="仿宋_GB2312"/>
          <w:b w:val="0"/>
          <w:bCs w:val="0"/>
          <w:spacing w:val="-4"/>
          <w:sz w:val="32"/>
          <w:szCs w:val="32"/>
          <w:lang w:val="en-US" w:eastAsia="zh-CN"/>
        </w:rPr>
        <w:t>相关</w:t>
      </w:r>
      <w:r>
        <w:rPr>
          <w:rStyle w:val="17"/>
          <w:rFonts w:hint="eastAsia" w:ascii="仿宋_GB2312" w:hAnsi="仿宋_GB2312" w:eastAsia="仿宋_GB2312" w:cs="仿宋_GB2312"/>
          <w:b w:val="0"/>
          <w:bCs w:val="0"/>
          <w:spacing w:val="-4"/>
          <w:sz w:val="32"/>
          <w:szCs w:val="32"/>
        </w:rPr>
        <w:t>文件精神，结合项目相关信息，将年度目标细化分解，最终确定该项目阶段性目标如下：</w:t>
      </w:r>
    </w:p>
    <w:p>
      <w:pPr>
        <w:widowControl w:val="0"/>
        <w:wordWrap/>
        <w:adjustRightInd/>
        <w:snapToGrid/>
        <w:spacing w:line="540" w:lineRule="exact"/>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1.产出指标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数量指标：宣传活动场次不低于4次；</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数量指标：供暖分户改造小区数不低于3个；</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质量指标：工程验收合格率达到100%；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质量指标：资金使用合规率达到100%；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时效指标：项目完工及时率不低于95%。</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2.成本指标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经济成本指标：供暖工程费用不高于2171万元。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经济成本指标：外墙保温工程费用不高于200万元。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3.效益指标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社会效益指标：提升居民生活质量；</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生态效益指标：减少建筑能源消耗。</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4.满意度指标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满意度指标：居民满意度不低于95%。</w:t>
      </w:r>
    </w:p>
    <w:p>
      <w:pPr>
        <w:widowControl w:val="0"/>
        <w:wordWrap/>
        <w:adjustRightInd/>
        <w:snapToGrid/>
        <w:spacing w:line="540" w:lineRule="exact"/>
        <w:ind w:firstLine="0" w:firstLineChars="0"/>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二、绩效评价工作开展情况</w:t>
      </w:r>
    </w:p>
    <w:p>
      <w:pPr>
        <w:widowControl w:val="0"/>
        <w:wordWrap/>
        <w:adjustRightInd/>
        <w:snapToGrid/>
        <w:spacing w:line="540" w:lineRule="exact"/>
        <w:ind w:firstLine="0" w:firstLineChars="0"/>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（一）绩效评价目的、对象和范围</w:t>
      </w:r>
    </w:p>
    <w:p>
      <w:pPr>
        <w:widowControl w:val="0"/>
        <w:wordWrap/>
        <w:adjustRightInd/>
        <w:snapToGrid/>
        <w:spacing w:line="540" w:lineRule="exact"/>
        <w:ind w:firstLine="624" w:firstLineChars="2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本项目总体目标为：网络中国节系列主题传播活动，哈密瓜节、桑葚节等属地文旅活动，国家网络安全宣传周活动的开展及网上传播。</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网络中国节系列主题传播活动的开展促进了中华优秀传统文化的网上传播，增强社会凝聚力。通过属地文旅活动的网上传播，向广大网友推介哈密特色旅游文化，吸引更多的人了解哈密，带动哈密旅游业发展。国家网络安全宣传周活动的开展，能够激发群众对网络安全问题的关注与思考，普及网络安全知识，让网络安全意识深入人心。根据</w:t>
      </w:r>
      <w:r>
        <w:rPr>
          <w:rStyle w:val="17"/>
          <w:rFonts w:hint="eastAsia" w:ascii="仿宋_GB2312" w:hAnsi="仿宋_GB2312" w:eastAsia="仿宋_GB2312" w:cs="仿宋_GB2312"/>
          <w:b w:val="0"/>
          <w:bCs w:val="0"/>
          <w:spacing w:val="-4"/>
          <w:sz w:val="32"/>
          <w:szCs w:val="32"/>
          <w:lang w:val="en-US" w:eastAsia="zh-CN"/>
        </w:rPr>
        <w:t>相关</w:t>
      </w:r>
      <w:r>
        <w:rPr>
          <w:rStyle w:val="17"/>
          <w:rFonts w:hint="eastAsia" w:ascii="仿宋_GB2312" w:hAnsi="仿宋_GB2312" w:eastAsia="仿宋_GB2312" w:cs="仿宋_GB2312"/>
          <w:b w:val="0"/>
          <w:bCs w:val="0"/>
          <w:spacing w:val="-4"/>
          <w:sz w:val="32"/>
          <w:szCs w:val="32"/>
        </w:rPr>
        <w:t>文件精神，结合项目相关信息，将年度目标细化分解，最终确定该项目阶段性目标如下：</w:t>
      </w:r>
    </w:p>
    <w:p>
      <w:pPr>
        <w:widowControl w:val="0"/>
        <w:wordWrap/>
        <w:adjustRightInd/>
        <w:snapToGrid/>
        <w:spacing w:line="540" w:lineRule="exact"/>
        <w:ind w:firstLine="0" w:firstLineChars="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1.产出指标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数量指标：宣传活动场次不低于4次；</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质量指标：网络宣传活动举办成功率达到100%；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时效指标：网络宣传活动及时率不低于95%;</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2.成本指标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经济成本指标：网络宣传活动总费用不高于8万元;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3.效益指标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社会效益指标：传播中国优秀传统文化;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生态效益指标：普及网络安全知识，营造清朗的网络环境;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4.满意度指标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满意度指标：网民满意度不低于90%;</w:t>
      </w:r>
    </w:p>
    <w:p>
      <w:pPr>
        <w:widowControl w:val="0"/>
        <w:wordWrap/>
        <w:adjustRightInd/>
        <w:snapToGrid/>
        <w:spacing w:line="540" w:lineRule="exact"/>
        <w:ind w:firstLine="0" w:firstLineChars="0"/>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（二）绩效评价原则、评价指标体系、评价方法、评价标准</w:t>
      </w:r>
    </w:p>
    <w:p>
      <w:pPr>
        <w:widowControl w:val="0"/>
        <w:wordWrap/>
        <w:adjustRightInd/>
        <w:snapToGrid/>
        <w:spacing w:line="540" w:lineRule="exact"/>
        <w:ind w:firstLine="624" w:firstLineChars="2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我单位根据</w:t>
      </w:r>
      <w:r>
        <w:rPr>
          <w:rStyle w:val="17"/>
          <w:rFonts w:hint="eastAsia" w:ascii="仿宋_GB2312" w:hAnsi="仿宋_GB2312" w:eastAsia="仿宋_GB2312" w:cs="仿宋_GB2312"/>
          <w:b w:val="0"/>
          <w:bCs w:val="0"/>
          <w:spacing w:val="-4"/>
          <w:sz w:val="32"/>
          <w:szCs w:val="32"/>
          <w:lang w:val="en-US" w:eastAsia="zh-CN"/>
        </w:rPr>
        <w:t>相关</w:t>
      </w:r>
      <w:r>
        <w:rPr>
          <w:rStyle w:val="17"/>
          <w:rFonts w:hint="eastAsia" w:ascii="仿宋_GB2312" w:hAnsi="仿宋_GB2312" w:eastAsia="仿宋_GB2312" w:cs="仿宋_GB2312"/>
          <w:b w:val="0"/>
          <w:bCs w:val="0"/>
          <w:spacing w:val="-4"/>
          <w:sz w:val="32"/>
          <w:szCs w:val="32"/>
        </w:rPr>
        <w:t>文件精神，对网络宣传经费项目绩效目标实现情况进行自评。</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widowControl w:val="0"/>
        <w:wordWrap/>
        <w:adjustRightInd/>
        <w:snapToGrid/>
        <w:spacing w:line="540" w:lineRule="exact"/>
        <w:ind w:firstLine="0" w:firstLineChars="0"/>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（三）绩效评价工作过程</w:t>
      </w:r>
    </w:p>
    <w:p>
      <w:pPr>
        <w:widowControl w:val="0"/>
        <w:wordWrap/>
        <w:adjustRightInd/>
        <w:snapToGrid/>
        <w:spacing w:line="540" w:lineRule="exact"/>
        <w:ind w:firstLine="0" w:firstLineChars="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1.前期准备</w:t>
      </w:r>
    </w:p>
    <w:p>
      <w:pPr>
        <w:widowControl w:val="0"/>
        <w:wordWrap/>
        <w:adjustRightInd/>
        <w:snapToGrid/>
        <w:spacing w:line="540" w:lineRule="exact"/>
        <w:ind w:firstLine="0" w:firstLineChars="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（2）采取“年初绩效目标预定与实施效果比较法”进行评价，评价指标体系以绩效目标申报指标为依据。</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2.组织过程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（1）项目全过程资料档案复核</w:t>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（2）检查内容和过程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发放调查问卷开展网民满意度调查工作。</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（3）撰写报告情况</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根据所搜集的印证材料，按绩效评价原理和指标体系进行分析、评价和汇总，撰写绩效自评报告，并在规定时间上报。</w:t>
      </w:r>
    </w:p>
    <w:p>
      <w:pPr>
        <w:widowControl w:val="0"/>
        <w:wordWrap/>
        <w:adjustRightInd/>
        <w:snapToGrid/>
        <w:spacing w:line="540" w:lineRule="exact"/>
        <w:ind w:firstLine="0" w:firstLineChars="0"/>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三、综合评价情况及评价结论</w:t>
      </w:r>
    </w:p>
    <w:p>
      <w:pPr>
        <w:widowControl w:val="0"/>
        <w:wordWrap/>
        <w:adjustRightInd/>
        <w:snapToGrid/>
        <w:spacing w:line="540" w:lineRule="exact"/>
        <w:ind w:firstLine="0" w:firstLineChars="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本次项目自评满分100分，自评得分</w:t>
      </w:r>
      <w:r>
        <w:rPr>
          <w:rStyle w:val="17"/>
          <w:rFonts w:hint="eastAsia" w:ascii="仿宋_GB2312" w:hAnsi="仿宋_GB2312" w:eastAsia="仿宋_GB2312" w:cs="仿宋_GB2312"/>
          <w:b w:val="0"/>
          <w:bCs w:val="0"/>
          <w:spacing w:val="-4"/>
          <w:sz w:val="32"/>
          <w:szCs w:val="32"/>
          <w:lang w:val="en-US" w:eastAsia="zh-CN"/>
        </w:rPr>
        <w:t>100</w:t>
      </w:r>
      <w:r>
        <w:rPr>
          <w:rStyle w:val="17"/>
          <w:rFonts w:hint="eastAsia" w:ascii="仿宋_GB2312" w:hAnsi="仿宋_GB2312" w:eastAsia="仿宋_GB2312" w:cs="仿宋_GB2312"/>
          <w:b w:val="0"/>
          <w:bCs w:val="0"/>
          <w:spacing w:val="-4"/>
          <w:sz w:val="32"/>
          <w:szCs w:val="32"/>
        </w:rPr>
        <w:t>分，自评结果为“优”，其中项目决策得分15分，项目过程得分23分，项目产出得分22分，项目效益得分30分，项目满意度得分8分。</w:t>
      </w:r>
    </w:p>
    <w:p>
      <w:pPr>
        <w:widowControl w:val="0"/>
        <w:wordWrap/>
        <w:adjustRightInd/>
        <w:snapToGrid/>
        <w:spacing w:line="540" w:lineRule="exact"/>
        <w:ind w:firstLine="0" w:firstLineChars="0"/>
        <w:textAlignment w:val="auto"/>
        <w:rPr>
          <w:rStyle w:val="17"/>
          <w:rFonts w:hint="eastAsia" w:ascii="仿宋_GB2312" w:hAnsi="仿宋_GB2312" w:eastAsia="仿宋_GB2312" w:cs="仿宋_GB2312"/>
          <w:sz w:val="32"/>
          <w:szCs w:val="32"/>
        </w:rPr>
      </w:pPr>
      <w:r>
        <w:rPr>
          <w:rStyle w:val="17"/>
          <w:rFonts w:hint="eastAsia" w:ascii="仿宋_GB2312" w:hAnsi="仿宋_GB2312" w:eastAsia="仿宋_GB2312" w:cs="仿宋_GB2312"/>
          <w:b w:val="0"/>
          <w:spacing w:val="-4"/>
          <w:sz w:val="32"/>
          <w:szCs w:val="32"/>
        </w:rPr>
        <w:t>四、绩效评价指标分析</w:t>
      </w:r>
      <w:r>
        <w:rPr>
          <w:rStyle w:val="17"/>
          <w:rFonts w:hint="eastAsia" w:ascii="仿宋_GB2312" w:hAnsi="仿宋_GB2312" w:eastAsia="仿宋_GB2312" w:cs="仿宋_GB2312"/>
          <w:sz w:val="32"/>
          <w:szCs w:val="32"/>
        </w:rPr>
        <w:t xml:space="preserve"> </w:t>
      </w:r>
    </w:p>
    <w:p>
      <w:pPr>
        <w:widowControl w:val="0"/>
        <w:wordWrap/>
        <w:adjustRightInd/>
        <w:snapToGrid/>
        <w:spacing w:line="540" w:lineRule="exact"/>
        <w:ind w:firstLine="0" w:firstLineChars="0"/>
        <w:textAlignment w:val="auto"/>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w:t>
      </w:r>
      <w:r>
        <w:rPr>
          <w:rStyle w:val="17"/>
          <w:rFonts w:hint="eastAsia" w:ascii="仿宋_GB2312" w:hAnsi="仿宋_GB2312" w:eastAsia="仿宋_GB2312" w:cs="仿宋_GB2312"/>
          <w:spacing w:val="-4"/>
          <w:sz w:val="32"/>
          <w:szCs w:val="32"/>
        </w:rPr>
        <w:t>项目决策情况</w:t>
      </w:r>
    </w:p>
    <w:p>
      <w:pPr>
        <w:widowControl w:val="0"/>
        <w:tabs>
          <w:tab w:val="center" w:pos="4295"/>
        </w:tabs>
        <w:wordWrap/>
        <w:adjustRightInd/>
        <w:snapToGrid/>
        <w:spacing w:line="540" w:lineRule="exact"/>
        <w:ind w:firstLine="0" w:firstLineChars="0"/>
        <w:textAlignment w:val="auto"/>
        <w:rPr>
          <w:rStyle w:val="17"/>
          <w:rFonts w:hint="eastAsia" w:ascii="仿宋_GB2312" w:hAnsi="仿宋_GB2312" w:eastAsia="仿宋_GB2312" w:cs="仿宋_GB2312"/>
          <w:b w:val="0"/>
          <w:bCs w:val="0"/>
          <w:spacing w:val="-4"/>
          <w:sz w:val="32"/>
          <w:szCs w:val="32"/>
          <w:lang w:eastAsia="zh-CN"/>
        </w:rPr>
      </w:pPr>
      <w:r>
        <w:rPr>
          <w:rStyle w:val="17"/>
          <w:rFonts w:hint="eastAsia" w:ascii="仿宋_GB2312" w:hAnsi="仿宋_GB2312" w:eastAsia="仿宋_GB2312" w:cs="仿宋_GB2312"/>
          <w:b w:val="0"/>
          <w:bCs w:val="0"/>
          <w:spacing w:val="-4"/>
          <w:sz w:val="32"/>
          <w:szCs w:val="32"/>
        </w:rPr>
        <w:t>网信办2024年预算下达网络宣传经费指标8万元，主要用于网络安全宣传周和开展网络中国节系列活动（以中国传统节日春节、清明节、端午节、中秋节、重阳节为主线），通过网络文化产品，引导网民文明上网，渲染节日网络氛围等宣传任务</w:t>
      </w:r>
      <w:r>
        <w:rPr>
          <w:rStyle w:val="17"/>
          <w:rFonts w:hint="eastAsia" w:ascii="仿宋_GB2312" w:hAnsi="仿宋_GB2312" w:eastAsia="仿宋_GB2312" w:cs="仿宋_GB2312"/>
          <w:b w:val="0"/>
          <w:bCs w:val="0"/>
          <w:spacing w:val="-4"/>
          <w:sz w:val="32"/>
          <w:szCs w:val="32"/>
          <w:lang w:eastAsia="zh-CN"/>
        </w:rPr>
        <w:tab/>
      </w:r>
    </w:p>
    <w:p>
      <w:pPr>
        <w:widowControl w:val="0"/>
        <w:wordWrap/>
        <w:adjustRightInd/>
        <w:snapToGrid/>
        <w:spacing w:line="540" w:lineRule="exact"/>
        <w:ind w:firstLine="0" w:firstLineChars="0"/>
        <w:textAlignment w:val="auto"/>
        <w:rPr>
          <w:rStyle w:val="17"/>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项目过程情况</w:t>
      </w:r>
    </w:p>
    <w:p>
      <w:pPr>
        <w:widowControl w:val="0"/>
        <w:wordWrap/>
        <w:adjustRightInd/>
        <w:snapToGrid/>
        <w:spacing w:line="540" w:lineRule="exact"/>
        <w:ind w:firstLine="0" w:firstLineChars="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网络中国节系列主题传播活动的开展促进了中华优秀传统文化的网上传播，增强社会凝聚力。通过属地文旅活动的网上传播，向广大网友推介哈密特色旅游文化，吸引更多的人了解哈密，带动哈密旅游业发展。国家网络安全宣传周活动的开展，能够激发群众对网络安全问题的关注与思考，普及网络安全知识，让网络安全意识深入人心。</w:t>
      </w:r>
    </w:p>
    <w:p>
      <w:pPr>
        <w:widowControl w:val="0"/>
        <w:wordWrap/>
        <w:adjustRightInd/>
        <w:snapToGrid/>
        <w:spacing w:line="540" w:lineRule="exact"/>
        <w:ind w:firstLine="0" w:firstLineChars="0"/>
        <w:textAlignment w:val="auto"/>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三</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项目产出情况</w:t>
      </w:r>
    </w:p>
    <w:p>
      <w:pPr>
        <w:widowControl w:val="0"/>
        <w:wordWrap/>
        <w:adjustRightInd/>
        <w:snapToGrid/>
        <w:spacing w:line="540" w:lineRule="exact"/>
        <w:ind w:firstLine="624" w:firstLineChars="2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本项目总体目标为：网络中国节系列主题传播活动，哈密瓜节、桑葚节等属地文旅活动，国家网络安全宣传周活动的开展及网上传播。</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网络中国节系列主题传播活动的开展促进了中华优秀传统文化的网上传播，增强社会凝聚力。通过属地文旅活动的网上传播，向广大网友推介哈密特色旅游文化，吸引更多的人了解哈密，带动哈密旅游业发展。国家网络安全宣传周活动的开展，能够激发群众对网络安全问题的关注与思考，普及网络安全知识，让网络安全意识深入人心。根据</w:t>
      </w:r>
      <w:r>
        <w:rPr>
          <w:rStyle w:val="17"/>
          <w:rFonts w:hint="eastAsia" w:ascii="仿宋_GB2312" w:hAnsi="仿宋_GB2312" w:eastAsia="仿宋_GB2312" w:cs="仿宋_GB2312"/>
          <w:b w:val="0"/>
          <w:bCs w:val="0"/>
          <w:spacing w:val="-4"/>
          <w:sz w:val="32"/>
          <w:szCs w:val="32"/>
          <w:lang w:val="en-US" w:eastAsia="zh-CN"/>
        </w:rPr>
        <w:t>相关</w:t>
      </w:r>
      <w:bookmarkStart w:id="0" w:name="_GoBack"/>
      <w:bookmarkEnd w:id="0"/>
      <w:r>
        <w:rPr>
          <w:rStyle w:val="17"/>
          <w:rFonts w:hint="eastAsia" w:ascii="仿宋_GB2312" w:hAnsi="仿宋_GB2312" w:eastAsia="仿宋_GB2312" w:cs="仿宋_GB2312"/>
          <w:b w:val="0"/>
          <w:bCs w:val="0"/>
          <w:spacing w:val="-4"/>
          <w:sz w:val="32"/>
          <w:szCs w:val="32"/>
        </w:rPr>
        <w:t>文件精神，结合项目相关信息，将年度目标细化分解，最终确定该项目阶段性目标如下：</w:t>
      </w:r>
    </w:p>
    <w:p>
      <w:pPr>
        <w:widowControl w:val="0"/>
        <w:wordWrap/>
        <w:adjustRightInd/>
        <w:snapToGrid/>
        <w:spacing w:line="540" w:lineRule="exact"/>
        <w:ind w:firstLine="0" w:firstLineChars="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1.产出指标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数量指标：宣传活动场次不低于4次；</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质量指标：网络宣传活动举办成功率达到100%；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时效指标：网络宣传活动及时率不低于95%;</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2.成本指标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经济成本指标：网络宣传活动总费用不高于8万元;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3.效益指标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社会效益指标：传播中国优秀传统文化;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生态效益指标：普及网络安全知识，营造清朗的网络环境;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4.满意度指标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满意度指标：网民满意度不低于90%;</w:t>
      </w:r>
    </w:p>
    <w:p>
      <w:pPr>
        <w:widowControl w:val="0"/>
        <w:wordWrap/>
        <w:adjustRightInd/>
        <w:snapToGrid/>
        <w:spacing w:line="540" w:lineRule="exact"/>
        <w:ind w:firstLine="0" w:firstLineChars="0"/>
        <w:textAlignment w:val="auto"/>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四</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w:t>
      </w:r>
      <w:r>
        <w:rPr>
          <w:rStyle w:val="17"/>
          <w:rFonts w:hint="eastAsia" w:ascii="仿宋_GB2312" w:hAnsi="仿宋_GB2312" w:eastAsia="仿宋_GB2312" w:cs="仿宋_GB2312"/>
          <w:spacing w:val="-4"/>
          <w:sz w:val="32"/>
          <w:szCs w:val="32"/>
          <w:lang w:val="en-US" w:eastAsia="zh-CN"/>
        </w:rPr>
        <w:t>成本</w:t>
      </w:r>
      <w:r>
        <w:rPr>
          <w:rStyle w:val="17"/>
          <w:rFonts w:hint="eastAsia" w:ascii="仿宋_GB2312" w:hAnsi="仿宋_GB2312" w:eastAsia="仿宋_GB2312" w:cs="仿宋_GB2312"/>
          <w:spacing w:val="-4"/>
          <w:sz w:val="32"/>
          <w:szCs w:val="32"/>
        </w:rPr>
        <w:t>情况</w:t>
      </w:r>
    </w:p>
    <w:p>
      <w:pPr>
        <w:widowControl w:val="0"/>
        <w:wordWrap/>
        <w:adjustRightInd/>
        <w:snapToGrid/>
        <w:spacing w:line="540" w:lineRule="exact"/>
        <w:ind w:firstLine="596" w:firstLineChars="200"/>
        <w:textAlignment w:val="auto"/>
        <w:rPr>
          <w:rStyle w:val="17"/>
          <w:rFonts w:hint="eastAsia" w:ascii="仿宋_GB2312" w:hAnsi="仿宋_GB2312" w:eastAsia="仿宋_GB2312" w:cs="仿宋_GB2312"/>
          <w:b w:val="0"/>
          <w:bCs w:val="0"/>
          <w:spacing w:val="-11"/>
          <w:sz w:val="32"/>
          <w:szCs w:val="32"/>
          <w:lang w:val="en-US" w:eastAsia="zh-CN"/>
        </w:rPr>
      </w:pPr>
      <w:r>
        <w:rPr>
          <w:rStyle w:val="17"/>
          <w:rFonts w:hint="eastAsia" w:ascii="仿宋_GB2312" w:hAnsi="仿宋_GB2312" w:eastAsia="仿宋_GB2312" w:cs="仿宋_GB2312"/>
          <w:b w:val="0"/>
          <w:bCs w:val="0"/>
          <w:spacing w:val="-11"/>
          <w:sz w:val="32"/>
          <w:szCs w:val="32"/>
        </w:rPr>
        <w:t>国家网络安全宣传周活动的开展，能够激发群众对网络安全问题的关注与思考，普及网络安全知识，让网络安全意识深入人心。</w:t>
      </w:r>
    </w:p>
    <w:p>
      <w:pPr>
        <w:widowControl w:val="0"/>
        <w:wordWrap/>
        <w:adjustRightInd/>
        <w:snapToGrid/>
        <w:spacing w:line="540" w:lineRule="exact"/>
        <w:ind w:firstLine="0" w:firstLineChars="0"/>
        <w:textAlignment w:val="auto"/>
        <w:rPr>
          <w:rStyle w:val="17"/>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五</w:t>
      </w: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eastAsia="zh-CN"/>
        </w:rPr>
        <w:t>满意度</w:t>
      </w:r>
      <w:r>
        <w:rPr>
          <w:rStyle w:val="17"/>
          <w:rFonts w:hint="eastAsia" w:ascii="仿宋_GB2312" w:hAnsi="仿宋_GB2312" w:eastAsia="仿宋_GB2312" w:cs="仿宋_GB2312"/>
          <w:spacing w:val="-4"/>
          <w:sz w:val="32"/>
          <w:szCs w:val="32"/>
        </w:rPr>
        <w:t>情况</w:t>
      </w:r>
    </w:p>
    <w:p>
      <w:pPr>
        <w:widowControl w:val="0"/>
        <w:wordWrap/>
        <w:adjustRightInd/>
        <w:snapToGrid/>
        <w:spacing w:line="540" w:lineRule="exact"/>
        <w:ind w:firstLine="624" w:firstLineChars="200"/>
        <w:textAlignment w:val="auto"/>
        <w:rPr>
          <w:rStyle w:val="17"/>
          <w:rFonts w:hint="eastAsia" w:ascii="仿宋_GB2312" w:hAnsi="仿宋_GB2312" w:eastAsia="仿宋_GB2312" w:cs="仿宋_GB2312"/>
          <w:spacing w:val="-4"/>
          <w:sz w:val="32"/>
          <w:szCs w:val="32"/>
          <w:lang w:eastAsia="zh-CN"/>
        </w:rPr>
      </w:pPr>
      <w:r>
        <w:rPr>
          <w:rStyle w:val="17"/>
          <w:rFonts w:hint="eastAsia" w:ascii="仿宋_GB2312" w:hAnsi="仿宋_GB2312" w:eastAsia="仿宋_GB2312" w:cs="仿宋_GB2312"/>
          <w:b w:val="0"/>
          <w:bCs w:val="0"/>
          <w:spacing w:val="-4"/>
          <w:sz w:val="32"/>
          <w:szCs w:val="32"/>
        </w:rPr>
        <w:t>网络安全一系列宣传活动得到了</w:t>
      </w:r>
      <w:r>
        <w:rPr>
          <w:rStyle w:val="17"/>
          <w:rFonts w:hint="eastAsia" w:ascii="仿宋_GB2312" w:hAnsi="仿宋_GB2312" w:eastAsia="仿宋_GB2312" w:cs="仿宋_GB2312"/>
          <w:b w:val="0"/>
          <w:bCs w:val="0"/>
          <w:spacing w:val="-4"/>
          <w:sz w:val="32"/>
          <w:szCs w:val="32"/>
          <w:lang w:val="en-US" w:eastAsia="zh-CN"/>
        </w:rPr>
        <w:t>广</w:t>
      </w:r>
      <w:r>
        <w:rPr>
          <w:rStyle w:val="17"/>
          <w:rFonts w:hint="eastAsia" w:ascii="仿宋_GB2312" w:hAnsi="仿宋_GB2312" w:eastAsia="仿宋_GB2312" w:cs="仿宋_GB2312"/>
          <w:b w:val="0"/>
          <w:bCs w:val="0"/>
          <w:spacing w:val="-4"/>
          <w:sz w:val="32"/>
          <w:szCs w:val="32"/>
        </w:rPr>
        <w:t>大网民的认可，满意度高达90%</w:t>
      </w:r>
      <w:r>
        <w:rPr>
          <w:rStyle w:val="17"/>
          <w:rFonts w:hint="eastAsia" w:ascii="仿宋_GB2312" w:hAnsi="仿宋_GB2312" w:eastAsia="仿宋_GB2312" w:cs="仿宋_GB2312"/>
          <w:b w:val="0"/>
          <w:bCs w:val="0"/>
          <w:spacing w:val="-4"/>
          <w:sz w:val="32"/>
          <w:szCs w:val="32"/>
          <w:lang w:eastAsia="zh-CN"/>
        </w:rPr>
        <w:t>。</w:t>
      </w:r>
    </w:p>
    <w:p>
      <w:pPr>
        <w:widowControl w:val="0"/>
        <w:wordWrap/>
        <w:adjustRightInd/>
        <w:snapToGrid/>
        <w:spacing w:line="540" w:lineRule="exact"/>
        <w:ind w:firstLine="0" w:firstLineChars="0"/>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lang w:val="en-US" w:eastAsia="zh-CN"/>
        </w:rPr>
        <w:t>五</w:t>
      </w:r>
      <w:r>
        <w:rPr>
          <w:rStyle w:val="17"/>
          <w:rFonts w:hint="eastAsia" w:ascii="仿宋_GB2312" w:hAnsi="仿宋_GB2312" w:eastAsia="仿宋_GB2312" w:cs="仿宋_GB2312"/>
          <w:b w:val="0"/>
          <w:spacing w:val="-4"/>
          <w:sz w:val="32"/>
          <w:szCs w:val="32"/>
        </w:rPr>
        <w:t>、主要经验及做法、存在的问题及原因分析</w:t>
      </w:r>
    </w:p>
    <w:p>
      <w:pPr>
        <w:widowControl w:val="0"/>
        <w:wordWrap/>
        <w:adjustRightInd/>
        <w:snapToGrid/>
        <w:spacing w:line="540" w:lineRule="exact"/>
        <w:ind w:firstLine="624" w:firstLineChars="200"/>
        <w:textAlignment w:val="auto"/>
        <w:rPr>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一是建立高效决策机制，明确决策责任与权限，明确相关人员的决策责任与权限，确保决策能够快速、准确地做出，避免决策拖延或责任不清。设立项目管理小组，根据项目规模和复杂性，设立专门的项目管理小组，负责项目的重大决策，确保决策的专业性和高效性。</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二是强化决策分析与评估。开展决策前分析，在做出决策前，对项目现状、风险等进行全面分析，收集相关信息和数据，为决策提供科学依据。建立决策评估体系，制定决策评估标准和流程，对决策方案进行量化评估，确保选择最优方案。</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三是加强决策沟通与协调。促进信息共享，建立有效的信息共享机制，确保决策所需的信息能够及时、准确地传递给相关人员。强化跨部门沟通，加强项目实施部门内部及与其他部门之间的沟通，确保决策过程中各方意见得到充分表达和讨论。</w:t>
      </w:r>
    </w:p>
    <w:p>
      <w:pPr>
        <w:widowControl w:val="0"/>
        <w:wordWrap/>
        <w:adjustRightInd/>
        <w:snapToGrid/>
        <w:spacing w:line="540" w:lineRule="exact"/>
        <w:ind w:firstLine="0" w:firstLineChars="0"/>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u w:val="none"/>
          <w:lang w:val="en-US" w:eastAsia="zh-CN"/>
        </w:rPr>
        <w:t>六</w:t>
      </w:r>
      <w:r>
        <w:rPr>
          <w:rStyle w:val="17"/>
          <w:rFonts w:hint="eastAsia" w:ascii="仿宋_GB2312" w:hAnsi="仿宋_GB2312" w:eastAsia="仿宋_GB2312" w:cs="仿宋_GB2312"/>
          <w:b w:val="0"/>
          <w:spacing w:val="-4"/>
          <w:sz w:val="32"/>
          <w:szCs w:val="32"/>
        </w:rPr>
        <w:t>、有关建议</w:t>
      </w:r>
    </w:p>
    <w:p>
      <w:pPr>
        <w:widowControl w:val="0"/>
        <w:wordWrap/>
        <w:adjustRightInd/>
        <w:snapToGrid/>
        <w:spacing w:line="540" w:lineRule="exact"/>
        <w:ind w:firstLine="624" w:firstLineChars="200"/>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建议提升预算绩效管理水平，首先我局按照全面实施预算绩效管理的要求，及时、准确填报项目支出绩效目标申报表，并确保绩效目标设定具有适当性，绩效指标表述规范、符合项目实际且可衡量。其次我局在后续工作中将加强对部门科室的绩效培训力度，推动科室业务工作开展的同时重视绩效管理，理解绩效基本概念，提高单位绩效工作质量。</w:t>
      </w:r>
    </w:p>
    <w:p>
      <w:pPr>
        <w:widowControl w:val="0"/>
        <w:wordWrap/>
        <w:adjustRightInd/>
        <w:snapToGrid/>
        <w:spacing w:line="540" w:lineRule="exact"/>
        <w:ind w:firstLine="0" w:firstLineChars="0"/>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lang w:val="en-US" w:eastAsia="zh-CN"/>
        </w:rPr>
        <w:t>七</w:t>
      </w:r>
      <w:r>
        <w:rPr>
          <w:rStyle w:val="17"/>
          <w:rFonts w:hint="eastAsia" w:ascii="仿宋_GB2312" w:hAnsi="仿宋_GB2312" w:eastAsia="仿宋_GB2312" w:cs="仿宋_GB2312"/>
          <w:b w:val="0"/>
          <w:spacing w:val="-4"/>
          <w:sz w:val="32"/>
          <w:szCs w:val="32"/>
        </w:rPr>
        <w:t>、其他需要说明的问题</w:t>
      </w:r>
    </w:p>
    <w:p>
      <w:pPr>
        <w:widowControl w:val="0"/>
        <w:wordWrap/>
        <w:adjustRightInd/>
        <w:snapToGrid/>
        <w:spacing w:line="540" w:lineRule="exact"/>
        <w:ind w:firstLine="624" w:firstLineChars="2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无</w:t>
      </w:r>
    </w:p>
    <w:p>
      <w:pPr>
        <w:widowControl w:val="0"/>
        <w:wordWrap/>
        <w:adjustRightInd/>
        <w:snapToGrid/>
        <w:spacing w:line="540" w:lineRule="exact"/>
        <w:ind w:firstLine="0" w:firstLineChars="0"/>
        <w:textAlignment w:val="auto"/>
        <w:rPr>
          <w:rStyle w:val="17"/>
          <w:rFonts w:ascii="仿宋" w:hAnsi="仿宋" w:eastAsia="仿宋"/>
          <w:b w:val="0"/>
          <w:spacing w:val="-4"/>
          <w:sz w:val="32"/>
          <w:szCs w:val="32"/>
        </w:rPr>
      </w:pPr>
    </w:p>
    <w:p>
      <w:pPr>
        <w:widowControl w:val="0"/>
        <w:wordWrap/>
        <w:adjustRightInd/>
        <w:snapToGrid/>
        <w:spacing w:line="540" w:lineRule="exact"/>
        <w:ind w:firstLine="0" w:firstLineChars="0"/>
        <w:textAlignment w:val="auto"/>
        <w:rPr>
          <w:rStyle w:val="17"/>
          <w:rFonts w:ascii="仿宋" w:hAnsi="仿宋" w:eastAsia="仿宋"/>
          <w:b w:val="0"/>
          <w:spacing w:val="-4"/>
          <w:sz w:val="32"/>
          <w:szCs w:val="32"/>
        </w:rPr>
      </w:pPr>
    </w:p>
    <w:p>
      <w:pPr>
        <w:widowControl w:val="0"/>
        <w:wordWrap/>
        <w:adjustRightInd/>
        <w:snapToGrid/>
        <w:spacing w:line="540" w:lineRule="exact"/>
        <w:ind w:firstLine="0" w:firstLineChars="0"/>
        <w:textAlignment w:val="auto"/>
        <w:rPr>
          <w:rStyle w:val="17"/>
          <w:rFonts w:ascii="仿宋" w:hAnsi="仿宋" w:eastAsia="仿宋"/>
          <w:b w:val="0"/>
          <w:spacing w:val="-4"/>
          <w:sz w:val="32"/>
          <w:szCs w:val="32"/>
        </w:rPr>
      </w:pPr>
    </w:p>
    <w:p>
      <w:pPr>
        <w:widowControl w:val="0"/>
        <w:wordWrap/>
        <w:adjustRightInd/>
        <w:snapToGrid/>
        <w:spacing w:line="540" w:lineRule="exact"/>
        <w:ind w:firstLine="0" w:firstLineChars="0"/>
        <w:textAlignment w:val="auto"/>
        <w:rPr>
          <w:rStyle w:val="17"/>
          <w:rFonts w:ascii="仿宋" w:hAnsi="仿宋" w:eastAsia="仿宋"/>
          <w:b w:val="0"/>
          <w:spacing w:val="-4"/>
          <w:sz w:val="32"/>
          <w:szCs w:val="32"/>
        </w:rPr>
      </w:pPr>
    </w:p>
    <w:p>
      <w:pPr>
        <w:widowControl w:val="0"/>
        <w:wordWrap/>
        <w:adjustRightInd/>
        <w:snapToGrid/>
        <w:spacing w:line="540" w:lineRule="exact"/>
        <w:ind w:firstLine="0" w:firstLineChars="0"/>
        <w:textAlignment w:val="auto"/>
        <w:rPr>
          <w:rStyle w:val="17"/>
          <w:rFonts w:ascii="仿宋" w:hAnsi="仿宋" w:eastAsia="仿宋"/>
          <w:b w:val="0"/>
          <w:spacing w:val="-4"/>
          <w:sz w:val="32"/>
          <w:szCs w:val="32"/>
        </w:rPr>
      </w:pPr>
    </w:p>
    <w:sectPr>
      <w:headerReference r:id="rId4" w:type="default"/>
      <w:footerReference r:id="rId5" w:type="default"/>
      <w:pgSz w:w="11906" w:h="16838"/>
      <w:pgMar w:top="1440" w:right="1558" w:bottom="1440" w:left="175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mbria">
    <w:panose1 w:val="02040503050406030204"/>
    <w:charset w:val="00"/>
    <w:family w:val="auto"/>
    <w:pitch w:val="default"/>
    <w:sig w:usb0="E00006FF" w:usb1="420024FF" w:usb2="02000000" w:usb3="00000000" w:csb0="2000019F" w:csb1="00000000"/>
  </w:font>
  <w:font w:name="Calibri">
    <w:panose1 w:val="020F05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jc w:val="center"/>
    </w:pPr>
    <w:r>
      <w:fldChar w:fldCharType="begin"/>
    </w:r>
    <w:r>
      <w:instrText xml:space="preserve">PAGE   \* MERGEFORMAT</w:instrText>
    </w:r>
    <w:r>
      <w:fldChar w:fldCharType="separate"/>
    </w:r>
    <w:r>
      <w:rPr>
        <w:lang w:val="zh-CN"/>
      </w:rPr>
      <w:t>1</w: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qFormat="1"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widowControl/>
      <w:spacing w:before="240" w:after="60"/>
      <w:jc w:val="left"/>
      <w:outlineLvl w:val="0"/>
    </w:pPr>
    <w:rPr>
      <w:rFonts w:ascii="Cambria" w:hAnsi="Cambria" w:eastAsia="宋体"/>
      <w:b/>
      <w:bCs/>
      <w:kern w:val="32"/>
      <w:sz w:val="32"/>
      <w:szCs w:val="32"/>
    </w:rPr>
  </w:style>
  <w:style w:type="paragraph" w:styleId="3">
    <w:name w:val="heading 2"/>
    <w:basedOn w:val="1"/>
    <w:next w:val="1"/>
    <w:link w:val="25"/>
    <w:semiHidden/>
    <w:unhideWhenUsed/>
    <w:qFormat/>
    <w:uiPriority w:val="9"/>
    <w:pPr>
      <w:keepNext/>
      <w:widowControl/>
      <w:spacing w:before="240" w:after="60"/>
      <w:jc w:val="left"/>
      <w:outlineLvl w:val="1"/>
    </w:pPr>
    <w:rPr>
      <w:rFonts w:ascii="Cambria" w:hAnsi="Cambria" w:eastAsia="宋体"/>
      <w:b/>
      <w:bCs/>
      <w:i/>
      <w:iCs/>
      <w:kern w:val="0"/>
      <w:sz w:val="28"/>
      <w:szCs w:val="28"/>
    </w:rPr>
  </w:style>
  <w:style w:type="paragraph" w:styleId="4">
    <w:name w:val="heading 3"/>
    <w:basedOn w:val="1"/>
    <w:next w:val="1"/>
    <w:link w:val="26"/>
    <w:semiHidden/>
    <w:unhideWhenUsed/>
    <w:qFormat/>
    <w:uiPriority w:val="9"/>
    <w:pPr>
      <w:keepNext/>
      <w:widowControl/>
      <w:spacing w:before="240" w:after="60"/>
      <w:jc w:val="left"/>
      <w:outlineLvl w:val="2"/>
    </w:pPr>
    <w:rPr>
      <w:rFonts w:ascii="Cambria" w:hAnsi="Cambria" w:eastAsia="宋体"/>
      <w:b/>
      <w:bCs/>
      <w:kern w:val="0"/>
      <w:sz w:val="26"/>
      <w:szCs w:val="26"/>
    </w:rPr>
  </w:style>
  <w:style w:type="paragraph" w:styleId="5">
    <w:name w:val="heading 4"/>
    <w:basedOn w:val="1"/>
    <w:next w:val="1"/>
    <w:link w:val="27"/>
    <w:semiHidden/>
    <w:unhideWhenUsed/>
    <w:qFormat/>
    <w:uiPriority w:val="9"/>
    <w:pPr>
      <w:keepNext/>
      <w:widowControl/>
      <w:spacing w:before="240" w:after="60"/>
      <w:jc w:val="left"/>
      <w:outlineLvl w:val="3"/>
    </w:pPr>
    <w:rPr>
      <w:rFonts w:ascii="Calibri" w:hAnsi="Calibri" w:eastAsia="宋体"/>
      <w:b/>
      <w:bCs/>
      <w:kern w:val="0"/>
      <w:sz w:val="28"/>
      <w:szCs w:val="28"/>
    </w:rPr>
  </w:style>
  <w:style w:type="paragraph" w:styleId="6">
    <w:name w:val="heading 5"/>
    <w:basedOn w:val="1"/>
    <w:next w:val="1"/>
    <w:link w:val="28"/>
    <w:semiHidden/>
    <w:unhideWhenUsed/>
    <w:qFormat/>
    <w:uiPriority w:val="9"/>
    <w:pPr>
      <w:widowControl/>
      <w:spacing w:before="240" w:after="60"/>
      <w:jc w:val="left"/>
      <w:outlineLvl w:val="4"/>
    </w:pPr>
    <w:rPr>
      <w:rFonts w:ascii="Calibri" w:hAnsi="Calibri" w:eastAsia="宋体"/>
      <w:b/>
      <w:bCs/>
      <w:i/>
      <w:iCs/>
      <w:kern w:val="0"/>
      <w:sz w:val="26"/>
      <w:szCs w:val="26"/>
    </w:rPr>
  </w:style>
  <w:style w:type="paragraph" w:styleId="7">
    <w:name w:val="heading 6"/>
    <w:basedOn w:val="1"/>
    <w:next w:val="1"/>
    <w:link w:val="29"/>
    <w:semiHidden/>
    <w:unhideWhenUsed/>
    <w:qFormat/>
    <w:uiPriority w:val="9"/>
    <w:pPr>
      <w:widowControl/>
      <w:spacing w:before="240" w:after="60"/>
      <w:jc w:val="left"/>
      <w:outlineLvl w:val="5"/>
    </w:pPr>
    <w:rPr>
      <w:rFonts w:ascii="Calibri" w:hAnsi="Calibri" w:eastAsia="宋体"/>
      <w:b/>
      <w:bCs/>
      <w:kern w:val="0"/>
      <w:sz w:val="22"/>
      <w:szCs w:val="22"/>
    </w:rPr>
  </w:style>
  <w:style w:type="paragraph" w:styleId="8">
    <w:name w:val="heading 7"/>
    <w:basedOn w:val="1"/>
    <w:next w:val="1"/>
    <w:link w:val="30"/>
    <w:semiHidden/>
    <w:unhideWhenUsed/>
    <w:qFormat/>
    <w:uiPriority w:val="9"/>
    <w:pPr>
      <w:widowControl/>
      <w:spacing w:before="240" w:after="60"/>
      <w:jc w:val="left"/>
      <w:outlineLvl w:val="6"/>
    </w:pPr>
    <w:rPr>
      <w:rFonts w:ascii="Calibri" w:hAnsi="Calibri" w:eastAsia="宋体"/>
      <w:kern w:val="0"/>
      <w:sz w:val="24"/>
    </w:rPr>
  </w:style>
  <w:style w:type="paragraph" w:styleId="9">
    <w:name w:val="heading 8"/>
    <w:basedOn w:val="1"/>
    <w:next w:val="1"/>
    <w:link w:val="31"/>
    <w:semiHidden/>
    <w:unhideWhenUsed/>
    <w:qFormat/>
    <w:uiPriority w:val="9"/>
    <w:pPr>
      <w:widowControl/>
      <w:spacing w:before="240" w:after="60"/>
      <w:jc w:val="left"/>
      <w:outlineLvl w:val="7"/>
    </w:pPr>
    <w:rPr>
      <w:rFonts w:ascii="Calibri" w:hAnsi="Calibri" w:eastAsia="宋体"/>
      <w:i/>
      <w:iCs/>
      <w:kern w:val="0"/>
      <w:sz w:val="24"/>
    </w:rPr>
  </w:style>
  <w:style w:type="paragraph" w:styleId="10">
    <w:name w:val="heading 9"/>
    <w:basedOn w:val="1"/>
    <w:next w:val="1"/>
    <w:link w:val="32"/>
    <w:semiHidden/>
    <w:unhideWhenUsed/>
    <w:qFormat/>
    <w:uiPriority w:val="9"/>
    <w:pPr>
      <w:widowControl/>
      <w:spacing w:before="240" w:after="60"/>
      <w:jc w:val="left"/>
      <w:outlineLvl w:val="8"/>
    </w:pPr>
    <w:rPr>
      <w:rFonts w:ascii="Cambria" w:hAnsi="Cambria" w:eastAsia="宋体"/>
      <w:kern w:val="0"/>
      <w:sz w:val="22"/>
      <w:szCs w:val="22"/>
    </w:rPr>
  </w:style>
  <w:style w:type="character" w:default="1" w:styleId="16">
    <w:name w:val="Default Paragraph Font"/>
    <w:semiHidden/>
    <w:unhideWhenUsed/>
    <w:qFormat/>
    <w:uiPriority w:val="1"/>
  </w:style>
  <w:style w:type="paragraph" w:styleId="11">
    <w:name w:val="Balloon Text"/>
    <w:basedOn w:val="1"/>
    <w:link w:val="44"/>
    <w:semiHidden/>
    <w:unhideWhenUsed/>
    <w:qFormat/>
    <w:uiPriority w:val="99"/>
    <w:rPr>
      <w:sz w:val="18"/>
      <w:szCs w:val="18"/>
    </w:rPr>
  </w:style>
  <w:style w:type="paragraph" w:styleId="12">
    <w:name w:val="footer"/>
    <w:basedOn w:val="1"/>
    <w:link w:val="43"/>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4"/>
    <w:qFormat/>
    <w:uiPriority w:val="11"/>
    <w:pPr>
      <w:widowControl/>
      <w:spacing w:after="60"/>
      <w:jc w:val="center"/>
      <w:outlineLvl w:val="1"/>
    </w:pPr>
    <w:rPr>
      <w:rFonts w:ascii="Cambria" w:hAnsi="Cambria" w:eastAsia="宋体"/>
      <w:kern w:val="0"/>
      <w:sz w:val="24"/>
    </w:rPr>
  </w:style>
  <w:style w:type="paragraph" w:styleId="15">
    <w:name w:val="Title"/>
    <w:basedOn w:val="1"/>
    <w:next w:val="1"/>
    <w:link w:val="33"/>
    <w:qFormat/>
    <w:uiPriority w:val="10"/>
    <w:pPr>
      <w:widowControl/>
      <w:spacing w:before="240" w:after="60"/>
      <w:jc w:val="center"/>
      <w:outlineLvl w:val="0"/>
    </w:pPr>
    <w:rPr>
      <w:rFonts w:ascii="Cambria" w:hAnsi="Cambria" w:eastAsia="宋体"/>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Calibri" w:hAnsi="Calibri"/>
      <w:b/>
      <w:i/>
      <w:iCs/>
    </w:rPr>
  </w:style>
  <w:style w:type="paragraph" w:customStyle="1" w:styleId="19">
    <w:name w:val="No Spacing"/>
    <w:basedOn w:val="1"/>
    <w:qFormat/>
    <w:uiPriority w:val="1"/>
    <w:pPr>
      <w:widowControl/>
      <w:jc w:val="left"/>
    </w:pPr>
    <w:rPr>
      <w:rFonts w:ascii="Calibri" w:hAnsi="Calibri" w:eastAsia="宋体" w:cs="Times New Roman"/>
      <w:kern w:val="0"/>
      <w:sz w:val="24"/>
      <w:szCs w:val="32"/>
      <w:lang w:eastAsia="en-US" w:bidi="en-US"/>
    </w:rPr>
  </w:style>
  <w:style w:type="paragraph" w:customStyle="1" w:styleId="20">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customStyle="1" w:styleId="21">
    <w:name w:val="Quote"/>
    <w:basedOn w:val="1"/>
    <w:next w:val="1"/>
    <w:link w:val="35"/>
    <w:qFormat/>
    <w:uiPriority w:val="29"/>
    <w:pPr>
      <w:widowControl/>
      <w:jc w:val="left"/>
    </w:pPr>
    <w:rPr>
      <w:rFonts w:ascii="Calibri" w:hAnsi="Calibri" w:eastAsia="宋体"/>
      <w:i/>
      <w:kern w:val="0"/>
      <w:sz w:val="24"/>
    </w:rPr>
  </w:style>
  <w:style w:type="paragraph" w:customStyle="1" w:styleId="22">
    <w:name w:val="Intense Quote"/>
    <w:basedOn w:val="1"/>
    <w:next w:val="1"/>
    <w:link w:val="36"/>
    <w:qFormat/>
    <w:uiPriority w:val="30"/>
    <w:pPr>
      <w:widowControl/>
      <w:ind w:left="720" w:right="720"/>
      <w:jc w:val="left"/>
    </w:pPr>
    <w:rPr>
      <w:rFonts w:ascii="Calibri" w:hAnsi="Calibri" w:eastAsia="宋体"/>
      <w:b/>
      <w:i/>
      <w:kern w:val="0"/>
      <w:sz w:val="24"/>
      <w:szCs w:val="22"/>
    </w:rPr>
  </w:style>
  <w:style w:type="paragraph" w:customStyle="1" w:styleId="23">
    <w:name w:val="TOC 标题1"/>
    <w:basedOn w:val="2"/>
    <w:next w:val="1"/>
    <w:semiHidden/>
    <w:unhideWhenUsed/>
    <w:qFormat/>
    <w:uiPriority w:val="39"/>
    <w:pPr>
      <w:outlineLvl w:val="9"/>
    </w:pPr>
    <w:rPr>
      <w:lang w:eastAsia="en-US" w:bidi="en-US"/>
    </w:rPr>
  </w:style>
  <w:style w:type="character" w:customStyle="1" w:styleId="24">
    <w:name w:val="标题 1 字符"/>
    <w:basedOn w:val="16"/>
    <w:link w:val="2"/>
    <w:qFormat/>
    <w:uiPriority w:val="9"/>
    <w:rPr>
      <w:rFonts w:ascii="Cambria" w:hAnsi="Cambria" w:eastAsia="宋体"/>
      <w:b/>
      <w:bCs/>
      <w:kern w:val="32"/>
      <w:sz w:val="32"/>
      <w:szCs w:val="32"/>
    </w:rPr>
  </w:style>
  <w:style w:type="character" w:customStyle="1" w:styleId="25">
    <w:name w:val="标题 2 字符"/>
    <w:basedOn w:val="16"/>
    <w:link w:val="3"/>
    <w:semiHidden/>
    <w:qFormat/>
    <w:uiPriority w:val="9"/>
    <w:rPr>
      <w:rFonts w:ascii="Cambria" w:hAnsi="Cambria" w:eastAsia="宋体"/>
      <w:b/>
      <w:bCs/>
      <w:i/>
      <w:iCs/>
      <w:sz w:val="28"/>
      <w:szCs w:val="28"/>
    </w:rPr>
  </w:style>
  <w:style w:type="character" w:customStyle="1" w:styleId="26">
    <w:name w:val="标题 3 字符"/>
    <w:basedOn w:val="16"/>
    <w:link w:val="4"/>
    <w:semiHidden/>
    <w:qFormat/>
    <w:uiPriority w:val="9"/>
    <w:rPr>
      <w:rFonts w:ascii="Cambria" w:hAnsi="Cambria" w:eastAsia="宋体"/>
      <w:b/>
      <w:bCs/>
      <w:sz w:val="26"/>
      <w:szCs w:val="26"/>
    </w:rPr>
  </w:style>
  <w:style w:type="character" w:customStyle="1" w:styleId="27">
    <w:name w:val="标题 4 字符"/>
    <w:basedOn w:val="16"/>
    <w:link w:val="5"/>
    <w:semiHidden/>
    <w:qFormat/>
    <w:uiPriority w:val="9"/>
    <w:rPr>
      <w:b/>
      <w:bCs/>
      <w:sz w:val="28"/>
      <w:szCs w:val="28"/>
    </w:rPr>
  </w:style>
  <w:style w:type="character" w:customStyle="1" w:styleId="28">
    <w:name w:val="标题 5 字符"/>
    <w:basedOn w:val="16"/>
    <w:link w:val="6"/>
    <w:semiHidden/>
    <w:qFormat/>
    <w:uiPriority w:val="9"/>
    <w:rPr>
      <w:b/>
      <w:bCs/>
      <w:i/>
      <w:iCs/>
      <w:sz w:val="26"/>
      <w:szCs w:val="26"/>
    </w:rPr>
  </w:style>
  <w:style w:type="character" w:customStyle="1" w:styleId="29">
    <w:name w:val="标题 6 字符"/>
    <w:basedOn w:val="16"/>
    <w:link w:val="7"/>
    <w:semiHidden/>
    <w:qFormat/>
    <w:uiPriority w:val="9"/>
    <w:rPr>
      <w:b/>
      <w:bCs/>
    </w:rPr>
  </w:style>
  <w:style w:type="character" w:customStyle="1" w:styleId="30">
    <w:name w:val="标题 7 字符"/>
    <w:basedOn w:val="16"/>
    <w:link w:val="8"/>
    <w:semiHidden/>
    <w:qFormat/>
    <w:uiPriority w:val="9"/>
    <w:rPr>
      <w:sz w:val="24"/>
      <w:szCs w:val="24"/>
    </w:rPr>
  </w:style>
  <w:style w:type="character" w:customStyle="1" w:styleId="31">
    <w:name w:val="标题 8 字符"/>
    <w:basedOn w:val="16"/>
    <w:link w:val="9"/>
    <w:semiHidden/>
    <w:qFormat/>
    <w:uiPriority w:val="9"/>
    <w:rPr>
      <w:i/>
      <w:iCs/>
      <w:sz w:val="24"/>
      <w:szCs w:val="24"/>
    </w:rPr>
  </w:style>
  <w:style w:type="character" w:customStyle="1" w:styleId="32">
    <w:name w:val="标题 9 字符"/>
    <w:basedOn w:val="16"/>
    <w:link w:val="10"/>
    <w:semiHidden/>
    <w:qFormat/>
    <w:uiPriority w:val="9"/>
    <w:rPr>
      <w:rFonts w:ascii="Cambria" w:hAnsi="Cambria" w:eastAsia="宋体"/>
    </w:rPr>
  </w:style>
  <w:style w:type="character" w:customStyle="1" w:styleId="33">
    <w:name w:val="标题 字符"/>
    <w:basedOn w:val="16"/>
    <w:link w:val="15"/>
    <w:qFormat/>
    <w:uiPriority w:val="10"/>
    <w:rPr>
      <w:rFonts w:ascii="Cambria" w:hAnsi="Cambria" w:eastAsia="宋体"/>
      <w:b/>
      <w:bCs/>
      <w:kern w:val="28"/>
      <w:sz w:val="32"/>
      <w:szCs w:val="32"/>
    </w:rPr>
  </w:style>
  <w:style w:type="character" w:customStyle="1" w:styleId="34">
    <w:name w:val="副标题 字符"/>
    <w:basedOn w:val="16"/>
    <w:link w:val="14"/>
    <w:qFormat/>
    <w:uiPriority w:val="11"/>
    <w:rPr>
      <w:rFonts w:ascii="Cambria" w:hAnsi="Cambria" w:eastAsia="宋体"/>
      <w:sz w:val="24"/>
      <w:szCs w:val="24"/>
    </w:rPr>
  </w:style>
  <w:style w:type="character" w:customStyle="1" w:styleId="35">
    <w:name w:val="引用 字符"/>
    <w:basedOn w:val="16"/>
    <w:link w:val="21"/>
    <w:qFormat/>
    <w:uiPriority w:val="29"/>
    <w:rPr>
      <w:i/>
      <w:sz w:val="24"/>
      <w:szCs w:val="24"/>
    </w:rPr>
  </w:style>
  <w:style w:type="character" w:customStyle="1" w:styleId="36">
    <w:name w:val="明显引用 字符"/>
    <w:basedOn w:val="16"/>
    <w:link w:val="22"/>
    <w:qFormat/>
    <w:uiPriority w:val="30"/>
    <w:rPr>
      <w:b/>
      <w:i/>
      <w:sz w:val="24"/>
    </w:rPr>
  </w:style>
  <w:style w:type="character" w:customStyle="1" w:styleId="37">
    <w:name w:val="不明显强调1"/>
    <w:qFormat/>
    <w:uiPriority w:val="19"/>
    <w:rPr>
      <w:i/>
      <w:color w:val="56565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Cambria" w:hAnsi="Cambria" w:eastAsia="宋体"/>
      <w:b/>
      <w:i/>
      <w:sz w:val="24"/>
      <w:szCs w:val="24"/>
    </w:rPr>
  </w:style>
  <w:style w:type="character" w:customStyle="1" w:styleId="42">
    <w:name w:val="页眉 字符"/>
    <w:basedOn w:val="16"/>
    <w:link w:val="13"/>
    <w:qFormat/>
    <w:uiPriority w:val="99"/>
    <w:rPr>
      <w:rFonts w:ascii="Calibri" w:hAnsi="Calibri" w:eastAsia="宋体"/>
      <w:kern w:val="2"/>
      <w:sz w:val="18"/>
      <w:szCs w:val="18"/>
    </w:rPr>
  </w:style>
  <w:style w:type="character" w:customStyle="1" w:styleId="43">
    <w:name w:val="页脚 字符"/>
    <w:basedOn w:val="16"/>
    <w:link w:val="12"/>
    <w:qFormat/>
    <w:uiPriority w:val="99"/>
    <w:rPr>
      <w:rFonts w:ascii="Calibri" w:hAnsi="Calibri" w:eastAsia="宋体"/>
      <w:kern w:val="2"/>
      <w:sz w:val="18"/>
      <w:szCs w:val="18"/>
    </w:rPr>
  </w:style>
  <w:style w:type="character" w:customStyle="1" w:styleId="44">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3455</Words>
  <Characters>3546</Characters>
  <Lines>5</Lines>
  <Paragraphs>1</Paragraphs>
  <TotalTime>0</TotalTime>
  <ScaleCrop>false</ScaleCrop>
  <LinksUpToDate>false</LinksUpToDate>
  <CharactersWithSpaces>0</CharactersWithSpaces>
  <Application>WPS Office 专业版_8.1.0.0_{F1E327BC-269C-435d-A152-05C5408002CA}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2025-11-06T03:21:00Z</cp:lastPrinted>
  <dcterms:modified xsi:type="dcterms:W3CDTF">2025-11-06T14:31:29Z</dcterms:modified>
  <dc:title>附件2：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2052-8.1.0.0</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