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firstLine="1041"/>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1"/>
        <w:jc w:val="center"/>
        <w:textAlignment w:val="auto"/>
        <w:rPr>
          <w:rFonts w:ascii="华文中宋" w:hAnsi="华文中宋" w:eastAsia="华文中宋" w:cs="宋体"/>
          <w:b/>
          <w:kern w:val="0"/>
          <w:sz w:val="52"/>
          <w:szCs w:val="52"/>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540" w:lineRule="exact"/>
        <w:ind w:firstLine="1041"/>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1"/>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1"/>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Fonts w:hint="eastAsia" w:ascii="方正小标宋_GBK" w:hAnsi="华文中宋" w:eastAsia="方正小标宋_GBK" w:cs="宋体"/>
          <w:b/>
          <w:kern w:val="0"/>
          <w:sz w:val="48"/>
          <w:szCs w:val="48"/>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keepNext w:val="0"/>
        <w:keepLines w:val="0"/>
        <w:pageBreakBefore w:val="0"/>
        <w:widowControl w:val="0"/>
        <w:kinsoku/>
        <w:wordWrap/>
        <w:overflowPunct/>
        <w:topLinePunct w:val="0"/>
        <w:autoSpaceDE/>
        <w:autoSpaceDN/>
        <w:bidi w:val="0"/>
        <w:adjustRightInd/>
        <w:snapToGrid/>
        <w:spacing w:line="540" w:lineRule="exact"/>
        <w:ind w:firstLine="1041"/>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Ansi="宋体" w:cs="宋体"/>
          <w:kern w:val="0"/>
          <w:sz w:val="36"/>
          <w:szCs w:val="36"/>
        </w:rPr>
      </w:pPr>
      <w:r>
        <w:rPr>
          <w:rFonts w:hint="eastAsia" w:hAnsi="宋体" w:cs="宋体"/>
          <w:kern w:val="0"/>
          <w:sz w:val="36"/>
          <w:szCs w:val="36"/>
        </w:rPr>
        <w:t xml:space="preserve">（  </w:t>
      </w:r>
      <w:r>
        <w:rPr>
          <w:rStyle w:val="21"/>
          <w:rFonts w:hint="eastAsia" w:ascii="楷体" w:hAnsi="楷体" w:eastAsia="楷体"/>
          <w:spacing w:val="-4"/>
          <w:szCs w:val="32"/>
          <w:lang w:val="en-US" w:eastAsia="zh-CN"/>
        </w:rPr>
        <w:t>2024</w:t>
      </w:r>
      <w:r>
        <w:rPr>
          <w:rFonts w:hint="eastAsia" w:hAnsi="宋体" w:cs="宋体"/>
          <w:kern w:val="0"/>
          <w:sz w:val="36"/>
          <w:szCs w:val="36"/>
        </w:rPr>
        <w:t xml:space="preserve">  年度）</w:t>
      </w:r>
    </w:p>
    <w:p>
      <w:pPr>
        <w:keepNext w:val="0"/>
        <w:keepLines w:val="0"/>
        <w:pageBreakBefore w:val="0"/>
        <w:widowControl w:val="0"/>
        <w:kinsoku/>
        <w:wordWrap/>
        <w:overflowPunct/>
        <w:topLinePunct w:val="0"/>
        <w:autoSpaceDE/>
        <w:autoSpaceDN/>
        <w:bidi w:val="0"/>
        <w:adjustRightInd/>
        <w:snapToGrid/>
        <w:spacing w:line="540" w:lineRule="exact"/>
        <w:ind w:firstLine="600"/>
        <w:jc w:val="center"/>
        <w:textAlignment w:val="auto"/>
        <w:rPr>
          <w:rFonts w:hAnsi="宋体" w:cs="宋体"/>
          <w:kern w:val="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jc w:val="center"/>
        <w:textAlignment w:val="auto"/>
        <w:rPr>
          <w:rFonts w:hAnsi="宋体" w:cs="宋体"/>
          <w:kern w:val="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jc w:val="center"/>
        <w:textAlignment w:val="auto"/>
        <w:rPr>
          <w:rFonts w:hAnsi="宋体" w:cs="宋体"/>
          <w:kern w:val="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jc w:val="center"/>
        <w:textAlignment w:val="auto"/>
        <w:rPr>
          <w:rFonts w:hAnsi="宋体" w:cs="宋体"/>
          <w:kern w:val="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jc w:val="center"/>
        <w:textAlignment w:val="auto"/>
        <w:rPr>
          <w:rFonts w:hAnsi="宋体" w:cs="宋体"/>
          <w:kern w:val="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jc w:val="center"/>
        <w:textAlignment w:val="auto"/>
        <w:rPr>
          <w:rFonts w:hAnsi="宋体" w:cs="宋体"/>
          <w:kern w:val="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Ansi="宋体" w:cs="宋体"/>
          <w:kern w:val="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720"/>
        <w:jc w:val="left"/>
        <w:textAlignment w:val="auto"/>
        <w:rPr>
          <w:rFonts w:hAnsi="宋体" w:cs="宋体"/>
          <w:kern w:val="0"/>
          <w:sz w:val="36"/>
          <w:szCs w:val="36"/>
        </w:rPr>
      </w:pPr>
      <w:r>
        <w:rPr>
          <w:rFonts w:hint="eastAsia" w:hAnsi="宋体"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720"/>
        <w:jc w:val="left"/>
        <w:textAlignment w:val="auto"/>
        <w:rPr>
          <w:rFonts w:hAnsi="宋体" w:cs="宋体"/>
          <w:kern w:val="0"/>
          <w:sz w:val="36"/>
          <w:szCs w:val="36"/>
        </w:rPr>
      </w:pPr>
      <w:r>
        <w:rPr>
          <w:rFonts w:hint="eastAsia" w:hAnsi="宋体" w:cs="宋体"/>
          <w:kern w:val="0"/>
          <w:sz w:val="36"/>
          <w:szCs w:val="36"/>
        </w:rPr>
        <w:t>项目名称：</w:t>
      </w:r>
      <w:r>
        <w:rPr>
          <w:rFonts w:hint="eastAsia" w:hAnsi="宋体" w:cs="宋体"/>
          <w:b/>
          <w:bCs/>
          <w:kern w:val="0"/>
          <w:sz w:val="32"/>
          <w:szCs w:val="32"/>
        </w:rPr>
        <w:t>党员干部教育培训工作经费</w:t>
      </w:r>
    </w:p>
    <w:p>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eastAsia="仿宋_GB2312"/>
          <w:sz w:val="32"/>
          <w:szCs w:val="28"/>
          <w:lang w:val="en-US" w:eastAsia="zh-CN"/>
        </w:rPr>
      </w:pPr>
      <w:r>
        <w:rPr>
          <w:rFonts w:hint="eastAsia" w:hAnsi="宋体" w:cs="宋体"/>
          <w:kern w:val="0"/>
          <w:sz w:val="36"/>
          <w:szCs w:val="36"/>
        </w:rPr>
        <w:t>实施单位（公章）：</w:t>
      </w:r>
      <w:bookmarkStart w:id="0" w:name="OLE_LINK1"/>
      <w:r>
        <w:rPr>
          <w:rFonts w:hint="eastAsia" w:hAnsi="宋体" w:cs="宋体"/>
          <w:b/>
          <w:bCs/>
          <w:kern w:val="0"/>
          <w:sz w:val="32"/>
          <w:szCs w:val="32"/>
          <w:lang w:val="en-US" w:eastAsia="zh-CN"/>
        </w:rPr>
        <w:t>中共哈密市伊州区委员会组织部</w:t>
      </w:r>
      <w:bookmarkEnd w:id="0"/>
    </w:p>
    <w:p>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ascii="楷体" w:hAnsi="楷体" w:eastAsia="楷体"/>
          <w:b/>
          <w:bCs/>
          <w:spacing w:val="-4"/>
          <w:sz w:val="28"/>
          <w:szCs w:val="28"/>
        </w:rPr>
      </w:pPr>
      <w:r>
        <w:rPr>
          <w:rFonts w:hint="eastAsia" w:hAnsi="宋体" w:cs="宋体"/>
          <w:kern w:val="0"/>
          <w:sz w:val="36"/>
          <w:szCs w:val="36"/>
        </w:rPr>
        <w:t>主管部门（公章）：</w:t>
      </w:r>
      <w:r>
        <w:rPr>
          <w:rFonts w:hint="eastAsia" w:hAnsi="宋体" w:cs="宋体"/>
          <w:b/>
          <w:bCs/>
          <w:kern w:val="0"/>
          <w:sz w:val="32"/>
          <w:szCs w:val="32"/>
          <w:lang w:val="en-US" w:eastAsia="zh-CN"/>
        </w:rPr>
        <w:t>中共哈密市伊州区委员会组织部</w:t>
      </w:r>
    </w:p>
    <w:p>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eastAsia" w:eastAsia="仿宋_GB2312"/>
          <w:sz w:val="36"/>
          <w:szCs w:val="32"/>
          <w:lang w:eastAsia="zh-CN"/>
        </w:rPr>
      </w:pPr>
      <w:r>
        <w:rPr>
          <w:rFonts w:hint="eastAsia" w:hAnsi="宋体" w:cs="宋体"/>
          <w:kern w:val="0"/>
          <w:sz w:val="36"/>
          <w:szCs w:val="36"/>
        </w:rPr>
        <w:t>项目负责人（签章）：</w:t>
      </w:r>
      <w:r>
        <w:rPr>
          <w:rFonts w:hint="eastAsia"/>
          <w:b/>
          <w:bCs/>
          <w:sz w:val="32"/>
          <w:szCs w:val="28"/>
          <w:lang w:val="en-US" w:eastAsia="zh-CN"/>
        </w:rPr>
        <w:t>董辉</w:t>
      </w:r>
    </w:p>
    <w:p>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eastAsia"/>
          <w:sz w:val="36"/>
          <w:szCs w:val="32"/>
        </w:rPr>
      </w:pPr>
      <w:r>
        <w:rPr>
          <w:rFonts w:hint="eastAsia" w:hAnsi="宋体" w:cs="宋体"/>
          <w:kern w:val="0"/>
          <w:sz w:val="36"/>
          <w:szCs w:val="36"/>
        </w:rPr>
        <w:t>填报时间：</w:t>
      </w:r>
      <w:r>
        <w:rPr>
          <w:rFonts w:hint="eastAsia"/>
          <w:b/>
          <w:bCs/>
          <w:sz w:val="32"/>
          <w:szCs w:val="28"/>
        </w:rPr>
        <w:t>202</w:t>
      </w:r>
      <w:r>
        <w:rPr>
          <w:rFonts w:hint="eastAsia"/>
          <w:b/>
          <w:bCs/>
          <w:sz w:val="32"/>
          <w:szCs w:val="28"/>
          <w:lang w:val="en-US" w:eastAsia="zh-CN"/>
        </w:rPr>
        <w:t>5</w:t>
      </w:r>
      <w:r>
        <w:rPr>
          <w:rFonts w:hint="eastAsia"/>
          <w:b/>
          <w:bCs/>
          <w:sz w:val="32"/>
          <w:szCs w:val="28"/>
        </w:rPr>
        <w:t>年</w:t>
      </w:r>
      <w:r>
        <w:rPr>
          <w:rFonts w:hint="eastAsia"/>
          <w:b/>
          <w:bCs/>
          <w:sz w:val="32"/>
          <w:szCs w:val="28"/>
          <w:lang w:val="en-US" w:eastAsia="zh-CN"/>
        </w:rPr>
        <w:t>5</w:t>
      </w:r>
      <w:r>
        <w:rPr>
          <w:rFonts w:hint="eastAsia"/>
          <w:b/>
          <w:bCs/>
          <w:sz w:val="32"/>
          <w:szCs w:val="28"/>
        </w:rPr>
        <w:t>月</w:t>
      </w:r>
      <w:r>
        <w:rPr>
          <w:rFonts w:hint="eastAsia"/>
          <w:b/>
          <w:bCs/>
          <w:sz w:val="32"/>
          <w:szCs w:val="28"/>
          <w:lang w:val="en-US" w:eastAsia="zh-CN"/>
        </w:rPr>
        <w:t>9</w:t>
      </w:r>
      <w:r>
        <w:rPr>
          <w:rFonts w:hint="eastAsia"/>
          <w:b/>
          <w:bCs/>
          <w:sz w:val="32"/>
          <w:szCs w:val="28"/>
        </w:rPr>
        <w:t>日</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21"/>
          <w:rFonts w:hint="eastAsia" w:ascii="黑体" w:hAnsi="黑体" w:eastAsia="黑体"/>
          <w:b w:val="0"/>
          <w:spacing w:val="-4"/>
          <w:szCs w:val="32"/>
        </w:rPr>
        <w:sectPr>
          <w:headerReference r:id="rId7" w:type="first"/>
          <w:footerReference r:id="rId10" w:type="first"/>
          <w:headerReference r:id="rId5" w:type="default"/>
          <w:footerReference r:id="rId8" w:type="default"/>
          <w:headerReference r:id="rId6" w:type="even"/>
          <w:footerReference r:id="rId9" w:type="even"/>
          <w:pgSz w:w="11906" w:h="16838"/>
          <w:pgMar w:top="2098" w:right="1531" w:bottom="1871" w:left="1531" w:header="851" w:footer="992" w:gutter="0"/>
          <w:cols w:space="0" w:num="1"/>
          <w:rtlGutter w:val="0"/>
          <w:docGrid w:type="lines" w:linePitch="415" w:charSpace="0"/>
        </w:sectPr>
      </w:pP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黑体" w:hAnsi="黑体" w:eastAsia="黑体"/>
          <w:b w:val="0"/>
          <w:spacing w:val="-4"/>
          <w:szCs w:val="32"/>
        </w:rPr>
      </w:pPr>
      <w:r>
        <w:rPr>
          <w:rStyle w:val="21"/>
          <w:rFonts w:hint="eastAsia" w:ascii="黑体" w:hAnsi="黑体" w:eastAsia="黑体"/>
          <w:b w:val="0"/>
          <w:spacing w:val="-4"/>
          <w:szCs w:val="32"/>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27"/>
        <w:textAlignment w:val="auto"/>
        <w:rPr>
          <w:rStyle w:val="21"/>
          <w:rFonts w:hint="eastAsia" w:ascii="楷体_GB2312" w:hAnsi="楷体_GB2312" w:eastAsia="楷体_GB2312" w:cs="楷体_GB2312"/>
          <w:spacing w:val="-4"/>
          <w:szCs w:val="32"/>
        </w:rPr>
      </w:pPr>
      <w:r>
        <w:rPr>
          <w:rStyle w:val="21"/>
          <w:rFonts w:hint="eastAsia" w:ascii="楷体_GB2312" w:hAnsi="楷体_GB2312" w:eastAsia="楷体_GB2312" w:cs="楷体_GB2312"/>
          <w:spacing w:val="-4"/>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1.项目背景</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cs="Times New Roman"/>
          <w:sz w:val="32"/>
          <w:szCs w:val="32"/>
          <w:lang w:eastAsia="zh-CN"/>
        </w:rPr>
      </w:pPr>
      <w:r>
        <w:rPr>
          <w:rFonts w:hint="default" w:ascii="Times New Roman" w:hAnsi="Times New Roman" w:eastAsia="仿宋_GB2312" w:cs="Times New Roman"/>
          <w:sz w:val="32"/>
          <w:szCs w:val="32"/>
        </w:rPr>
        <w:t>根据</w:t>
      </w:r>
      <w:r>
        <w:rPr>
          <w:rFonts w:hint="eastAsia" w:cs="Times New Roman"/>
          <w:sz w:val="32"/>
          <w:szCs w:val="32"/>
          <w:lang w:eastAsia="zh-CN"/>
        </w:rPr>
        <w:t>相关文件</w:t>
      </w:r>
      <w:r>
        <w:rPr>
          <w:rFonts w:hint="default" w:ascii="Times New Roman" w:hAnsi="Times New Roman" w:eastAsia="仿宋_GB2312" w:cs="Times New Roman"/>
          <w:sz w:val="32"/>
          <w:szCs w:val="32"/>
        </w:rPr>
        <w:t>要求各县（市、区）党委组织部会同社会工作部，每年至少对村（社区）党组织书记、村（居）委会主任培训1次，对村（社区）其他干部每3年轮训1次</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2.主要内容及实施情况</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cs="Times New Roman"/>
          <w:sz w:val="32"/>
          <w:szCs w:val="32"/>
          <w:lang w:eastAsia="zh-CN"/>
        </w:rPr>
        <w:t>（</w:t>
      </w:r>
      <w:r>
        <w:rPr>
          <w:rFonts w:hint="eastAsia" w:cs="Times New Roman"/>
          <w:sz w:val="32"/>
          <w:szCs w:val="32"/>
          <w:lang w:val="en-US" w:eastAsia="zh-CN"/>
        </w:rPr>
        <w:t>1</w:t>
      </w:r>
      <w:r>
        <w:rPr>
          <w:rFonts w:hint="eastAsia" w:cs="Times New Roman"/>
          <w:sz w:val="32"/>
          <w:szCs w:val="32"/>
          <w:lang w:eastAsia="zh-CN"/>
        </w:rPr>
        <w:t>）</w:t>
      </w:r>
      <w:r>
        <w:rPr>
          <w:rFonts w:hint="default" w:ascii="Times New Roman" w:hAnsi="Times New Roman" w:eastAsia="仿宋_GB2312" w:cs="Times New Roman"/>
          <w:sz w:val="32"/>
          <w:szCs w:val="32"/>
        </w:rPr>
        <w:t>干部培训：根据</w:t>
      </w:r>
      <w:r>
        <w:rPr>
          <w:rFonts w:hint="eastAsia" w:cs="Times New Roman"/>
          <w:sz w:val="32"/>
          <w:szCs w:val="32"/>
          <w:lang w:eastAsia="zh-CN"/>
        </w:rPr>
        <w:t>相关文件</w:t>
      </w:r>
      <w:r>
        <w:rPr>
          <w:rFonts w:hint="default" w:ascii="Times New Roman" w:hAnsi="Times New Roman" w:eastAsia="仿宋_GB2312" w:cs="Times New Roman"/>
          <w:sz w:val="32"/>
          <w:szCs w:val="32"/>
        </w:rPr>
        <w:t>要求：共需培训240人，分6期，每期5天，每人每天200元，预算48万元；2.中青年干部培训班1期，共培训40人，为期2个月，按照每人每天200元，预算48万元；3.年轻干部能力素质提升专题培训班1期，培训100人，为期5天，每人每天200元，预算10万元。</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cs="Times New Roman"/>
          <w:sz w:val="32"/>
          <w:szCs w:val="32"/>
          <w:lang w:eastAsia="zh-CN"/>
        </w:rPr>
        <w:t>（</w:t>
      </w:r>
      <w:r>
        <w:rPr>
          <w:rFonts w:hint="eastAsia" w:cs="Times New Roman"/>
          <w:sz w:val="32"/>
          <w:szCs w:val="32"/>
          <w:lang w:val="en-US" w:eastAsia="zh-CN"/>
        </w:rPr>
        <w:t>2</w:t>
      </w:r>
      <w:r>
        <w:rPr>
          <w:rFonts w:hint="eastAsia" w:cs="Times New Roman"/>
          <w:sz w:val="32"/>
          <w:szCs w:val="32"/>
          <w:lang w:eastAsia="zh-CN"/>
        </w:rPr>
        <w:t>）</w:t>
      </w:r>
      <w:r>
        <w:rPr>
          <w:rFonts w:hint="default" w:ascii="Times New Roman" w:hAnsi="Times New Roman" w:eastAsia="仿宋_GB2312" w:cs="Times New Roman"/>
          <w:sz w:val="32"/>
          <w:szCs w:val="32"/>
        </w:rPr>
        <w:t>村干部及后备力量培训经费87.39万元：（技工学校30元）全区现有村</w:t>
      </w:r>
      <w:r>
        <w:rPr>
          <w:rFonts w:hint="eastAsia" w:cs="Times New Roman"/>
          <w:sz w:val="32"/>
          <w:szCs w:val="32"/>
          <w:lang w:eastAsia="zh-CN"/>
        </w:rPr>
        <w:t>“</w:t>
      </w:r>
      <w:r>
        <w:rPr>
          <w:rFonts w:hint="default" w:ascii="Times New Roman" w:hAnsi="Times New Roman" w:eastAsia="仿宋_GB2312" w:cs="Times New Roman"/>
          <w:sz w:val="32"/>
          <w:szCs w:val="32"/>
        </w:rPr>
        <w:t>两委</w:t>
      </w:r>
      <w:r>
        <w:rPr>
          <w:rFonts w:hint="eastAsia" w:cs="Times New Roman"/>
          <w:sz w:val="32"/>
          <w:szCs w:val="32"/>
          <w:lang w:eastAsia="zh-CN"/>
        </w:rPr>
        <w:t>”</w:t>
      </w:r>
      <w:r>
        <w:rPr>
          <w:rFonts w:hint="default" w:ascii="Times New Roman" w:hAnsi="Times New Roman" w:eastAsia="仿宋_GB2312" w:cs="Times New Roman"/>
          <w:sz w:val="32"/>
          <w:szCs w:val="32"/>
        </w:rPr>
        <w:t>742人，后备力量571人，其中200人新进“两委”和后备力量参加2个月培训班，剩余村干部200人参加1个月集中培训班、913人参加10天培训班其中伙食补助81.39万元，授课费4万元，租车费用2万元，共计87.39万元。</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cs="Times New Roman"/>
          <w:sz w:val="32"/>
          <w:szCs w:val="32"/>
          <w:lang w:eastAsia="zh-CN"/>
        </w:rPr>
        <w:t>（</w:t>
      </w:r>
      <w:r>
        <w:rPr>
          <w:rFonts w:hint="eastAsia" w:cs="Times New Roman"/>
          <w:sz w:val="32"/>
          <w:szCs w:val="32"/>
          <w:lang w:val="en-US" w:eastAsia="zh-CN"/>
        </w:rPr>
        <w:t>3</w:t>
      </w:r>
      <w:r>
        <w:rPr>
          <w:rFonts w:hint="eastAsia" w:cs="Times New Roman"/>
          <w:sz w:val="32"/>
          <w:szCs w:val="32"/>
          <w:lang w:eastAsia="zh-CN"/>
        </w:rPr>
        <w:t>）</w:t>
      </w:r>
      <w:r>
        <w:rPr>
          <w:rFonts w:hint="default" w:ascii="Times New Roman" w:hAnsi="Times New Roman" w:eastAsia="仿宋_GB2312" w:cs="Times New Roman"/>
          <w:sz w:val="32"/>
          <w:szCs w:val="32"/>
        </w:rPr>
        <w:t>两新组织培训经费7.6万元：（技工学校）1.计划分2期对267名两新组织党组织书记开展培训，每期7天，预计产生以下费用：伙食费5.62万元、授课费0.3万元、租车费0.32元，以上小计6.24万元。2.计划分2期对100名党员骨干及党建工作指导员开展培训，每期3天，预计产生以下费用：伙食费0.9万元、授课费0.3万元、租车费0.16万元，以上共计1.36万元。</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cs="Times New Roman"/>
          <w:sz w:val="32"/>
          <w:szCs w:val="32"/>
          <w:lang w:eastAsia="zh-CN"/>
        </w:rPr>
        <w:t>（</w:t>
      </w:r>
      <w:r>
        <w:rPr>
          <w:rFonts w:hint="eastAsia" w:cs="Times New Roman"/>
          <w:sz w:val="32"/>
          <w:szCs w:val="32"/>
          <w:lang w:val="en-US" w:eastAsia="zh-CN"/>
        </w:rPr>
        <w:t>4</w:t>
      </w:r>
      <w:r>
        <w:rPr>
          <w:rFonts w:hint="eastAsia" w:cs="Times New Roman"/>
          <w:sz w:val="32"/>
          <w:szCs w:val="32"/>
          <w:lang w:eastAsia="zh-CN"/>
        </w:rPr>
        <w:t>）</w:t>
      </w:r>
      <w:r>
        <w:rPr>
          <w:rFonts w:hint="default" w:ascii="Times New Roman" w:hAnsi="Times New Roman" w:eastAsia="仿宋_GB2312" w:cs="Times New Roman"/>
          <w:sz w:val="32"/>
          <w:szCs w:val="32"/>
        </w:rPr>
        <w:t>社区干部培训经费6.25万：（技工学校）2024年计划分6期，培训现有社区干部400人，新招聘社区干部40人，预计产生以下费用：授课费3.25万元、租车费1.5万元、实操培训费1.5万元。</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cs="Times New Roman"/>
          <w:sz w:val="32"/>
          <w:szCs w:val="32"/>
          <w:lang w:eastAsia="zh-CN"/>
        </w:rPr>
        <w:t>（</w:t>
      </w:r>
      <w:r>
        <w:rPr>
          <w:rFonts w:hint="eastAsia" w:cs="Times New Roman"/>
          <w:sz w:val="32"/>
          <w:szCs w:val="32"/>
          <w:lang w:val="en-US" w:eastAsia="zh-CN"/>
        </w:rPr>
        <w:t>5</w:t>
      </w:r>
      <w:r>
        <w:rPr>
          <w:rFonts w:hint="eastAsia" w:cs="Times New Roman"/>
          <w:sz w:val="32"/>
          <w:szCs w:val="32"/>
          <w:lang w:eastAsia="zh-CN"/>
        </w:rPr>
        <w:t>）</w:t>
      </w:r>
      <w:r>
        <w:rPr>
          <w:rFonts w:hint="default" w:ascii="Times New Roman" w:hAnsi="Times New Roman" w:eastAsia="仿宋_GB2312" w:cs="Times New Roman"/>
          <w:sz w:val="32"/>
          <w:szCs w:val="32"/>
        </w:rPr>
        <w:t>引进人才培训经费45.21万（党校）：①、新招聘引进人才岗前培训，培训费5万元；红色教育现场教学租车费0.16万元；培训资料费0.05万元；小计5.21万元。②、专家人才国情研修班培训费40万元。。</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3.资金投入和使用情况</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Style w:val="21"/>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sz w:val="32"/>
          <w:szCs w:val="32"/>
          <w:lang w:val="en-US" w:eastAsia="zh-CN"/>
        </w:rPr>
        <w:t>2024年</w:t>
      </w:r>
      <w:r>
        <w:rPr>
          <w:rFonts w:hint="default" w:ascii="Times New Roman" w:hAnsi="Times New Roman" w:eastAsia="仿宋_GB2312" w:cs="Times New Roman"/>
          <w:sz w:val="32"/>
          <w:szCs w:val="32"/>
        </w:rPr>
        <w:t>计划拨付干部培训经费</w:t>
      </w:r>
      <w:r>
        <w:rPr>
          <w:rFonts w:hint="default" w:ascii="Times New Roman" w:hAnsi="Times New Roman" w:eastAsia="仿宋_GB2312" w:cs="Times New Roman"/>
          <w:sz w:val="32"/>
          <w:szCs w:val="32"/>
          <w:lang w:val="en-US" w:eastAsia="zh-CN"/>
        </w:rPr>
        <w:t>195</w:t>
      </w:r>
      <w:r>
        <w:rPr>
          <w:rFonts w:hint="default" w:ascii="Times New Roman" w:hAnsi="Times New Roman" w:eastAsia="仿宋_GB2312" w:cs="Times New Roman"/>
          <w:sz w:val="32"/>
          <w:szCs w:val="32"/>
        </w:rPr>
        <w:t>万元，项目于202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年1月28日批复预算资金</w:t>
      </w:r>
      <w:r>
        <w:rPr>
          <w:rFonts w:hint="default" w:ascii="Times New Roman" w:hAnsi="Times New Roman" w:eastAsia="仿宋_GB2312" w:cs="Times New Roman"/>
          <w:sz w:val="32"/>
          <w:szCs w:val="32"/>
          <w:lang w:val="en-US" w:eastAsia="zh-CN"/>
        </w:rPr>
        <w:t>195</w:t>
      </w:r>
      <w:r>
        <w:rPr>
          <w:rFonts w:hint="default" w:ascii="Times New Roman" w:hAnsi="Times New Roman" w:eastAsia="仿宋_GB2312" w:cs="Times New Roman"/>
          <w:sz w:val="32"/>
          <w:szCs w:val="32"/>
        </w:rPr>
        <w:t>万元，截至202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年12月31日，项目用于</w:t>
      </w:r>
      <w:r>
        <w:rPr>
          <w:rFonts w:hint="default" w:ascii="Times New Roman" w:hAnsi="Times New Roman" w:eastAsia="仿宋_GB2312" w:cs="Times New Roman"/>
          <w:sz w:val="32"/>
          <w:szCs w:val="32"/>
          <w:lang w:eastAsia="zh-CN"/>
        </w:rPr>
        <w:t>组织党员干部培训</w:t>
      </w:r>
      <w:r>
        <w:rPr>
          <w:rFonts w:hint="default" w:ascii="Times New Roman" w:hAnsi="Times New Roman" w:eastAsia="仿宋_GB2312" w:cs="Times New Roman"/>
          <w:sz w:val="32"/>
          <w:szCs w:val="32"/>
        </w:rPr>
        <w:t>，项目资金支付</w:t>
      </w:r>
      <w:r>
        <w:rPr>
          <w:rFonts w:hint="default" w:ascii="Times New Roman" w:hAnsi="Times New Roman" w:eastAsia="仿宋_GB2312" w:cs="Times New Roman"/>
          <w:sz w:val="32"/>
          <w:szCs w:val="32"/>
          <w:lang w:val="en-US" w:eastAsia="zh-CN"/>
        </w:rPr>
        <w:t>195</w:t>
      </w:r>
      <w:r>
        <w:rPr>
          <w:rFonts w:hint="default" w:ascii="Times New Roman" w:hAnsi="Times New Roman" w:eastAsia="仿宋_GB2312" w:cs="Times New Roman"/>
          <w:sz w:val="32"/>
          <w:szCs w:val="32"/>
        </w:rPr>
        <w:t>万元，资金到位率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%，预算执行率为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27"/>
        <w:textAlignment w:val="auto"/>
        <w:rPr>
          <w:rStyle w:val="21"/>
          <w:rFonts w:hint="eastAsia" w:ascii="楷体_GB2312" w:hAnsi="楷体_GB2312" w:eastAsia="楷体_GB2312" w:cs="楷体_GB2312"/>
          <w:spacing w:val="-4"/>
          <w:szCs w:val="32"/>
        </w:rPr>
      </w:pPr>
      <w:r>
        <w:rPr>
          <w:rStyle w:val="21"/>
          <w:rFonts w:hint="eastAsia" w:ascii="楷体_GB2312" w:hAnsi="楷体_GB2312" w:eastAsia="楷体_GB2312" w:cs="楷体_GB2312"/>
          <w:spacing w:val="-4"/>
          <w:szCs w:val="32"/>
        </w:rPr>
        <w:t>（二）项目绩效目标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本项目总体目标为：通过组织开展领导干部、 村干部及后备力量、两新组织、社区干部和引进人才培训，提高党员干部政治素质和履职能力，增强做好工作的能力本领。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根据《自治区财政支出绩效评价管理暂行办法》（新财预〔2018〕189号）等文件精神，结合项目相关信息，将年度目标细化分解，最终确定该项目阶段性目标如下：</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1.产出指标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rPr>
        <w:t>数量指标：干部教育培训人数不</w:t>
      </w:r>
      <w:r>
        <w:rPr>
          <w:rFonts w:hint="eastAsia" w:ascii="Times New Roman" w:hAnsi="Times New Roman" w:eastAsia="仿宋_GB2312" w:cs="Times New Roman"/>
          <w:sz w:val="32"/>
          <w:szCs w:val="32"/>
          <w:lang w:eastAsia="zh-CN"/>
        </w:rPr>
        <w:t>少</w:t>
      </w: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240人</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培训班次不少于6期；</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r>
        <w:rPr>
          <w:rFonts w:hint="eastAsia" w:ascii="Times New Roman" w:hAnsi="Times New Roman" w:eastAsia="仿宋_GB2312" w:cs="Times New Roman"/>
          <w:sz w:val="32"/>
          <w:szCs w:val="32"/>
          <w:lang w:val="en-US" w:eastAsia="zh-CN"/>
        </w:rPr>
        <w:t>培训人员出勤</w:t>
      </w:r>
      <w:r>
        <w:rPr>
          <w:rFonts w:hint="eastAsia" w:ascii="Times New Roman" w:hAnsi="Times New Roman" w:eastAsia="仿宋_GB2312" w:cs="Times New Roman"/>
          <w:sz w:val="32"/>
          <w:szCs w:val="32"/>
        </w:rPr>
        <w:t>率达到</w:t>
      </w:r>
      <w:r>
        <w:rPr>
          <w:rFonts w:hint="eastAsia" w:cs="Times New Roman"/>
          <w:sz w:val="32"/>
          <w:szCs w:val="32"/>
          <w:lang w:val="en-US" w:eastAsia="zh-CN"/>
        </w:rPr>
        <w:t>90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时效指标：培训开展及时率达到</w:t>
      </w:r>
      <w:r>
        <w:rPr>
          <w:rFonts w:hint="eastAsia" w:cs="Times New Roman"/>
          <w:sz w:val="32"/>
          <w:szCs w:val="32"/>
          <w:lang w:val="en-US" w:eastAsia="zh-CN"/>
        </w:rPr>
        <w:t>95</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2.成本指标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经济成本指标：全年所需培训经费不高于</w:t>
      </w:r>
      <w:r>
        <w:rPr>
          <w:rFonts w:hint="eastAsia" w:cs="Times New Roman"/>
          <w:sz w:val="32"/>
          <w:szCs w:val="32"/>
          <w:lang w:val="en-US" w:eastAsia="zh-CN"/>
        </w:rPr>
        <w:t>200</w:t>
      </w:r>
      <w:r>
        <w:rPr>
          <w:rFonts w:hint="eastAsia" w:ascii="Times New Roman" w:hAnsi="Times New Roman" w:eastAsia="仿宋_GB2312"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3.效益指标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社会效益指标：干部能力水平显著提升。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4.满意度指标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满意度指标：培训对象满意度</w:t>
      </w:r>
      <w:r>
        <w:rPr>
          <w:rFonts w:hint="eastAsia" w:cs="Times New Roman"/>
          <w:sz w:val="32"/>
          <w:szCs w:val="32"/>
          <w:lang w:eastAsia="zh-CN"/>
        </w:rPr>
        <w:t>不低于</w:t>
      </w:r>
      <w:r>
        <w:rPr>
          <w:rFonts w:hint="eastAsia" w:cs="Times New Roman"/>
          <w:sz w:val="32"/>
          <w:szCs w:val="32"/>
          <w:lang w:val="en-US" w:eastAsia="zh-CN"/>
        </w:rPr>
        <w:t>95%</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我单位根据</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自治区财政支出绩效评价管理暂行办法</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新财预〔2018〕189号</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文件</w:t>
      </w:r>
      <w:r>
        <w:rPr>
          <w:rFonts w:hint="eastAsia" w:ascii="Times New Roman" w:hAnsi="Times New Roman" w:eastAsia="仿宋_GB2312" w:cs="Times New Roman"/>
          <w:sz w:val="32"/>
          <w:szCs w:val="32"/>
        </w:rPr>
        <w:t>精神，对</w:t>
      </w:r>
      <w:r>
        <w:rPr>
          <w:rFonts w:hint="eastAsia" w:ascii="Times New Roman" w:hAnsi="Times New Roman" w:eastAsia="仿宋_GB2312" w:cs="Times New Roman"/>
          <w:sz w:val="32"/>
          <w:szCs w:val="32"/>
          <w:lang w:eastAsia="zh-CN"/>
        </w:rPr>
        <w:t>党员干部教育培训工作经费</w:t>
      </w:r>
      <w:r>
        <w:rPr>
          <w:rFonts w:hint="eastAsia" w:ascii="Times New Roman" w:hAnsi="Times New Roman" w:eastAsia="仿宋_GB2312" w:cs="Times New Roman"/>
          <w:sz w:val="32"/>
          <w:szCs w:val="32"/>
        </w:rPr>
        <w:t>项目绩效目标实现情况进行自评。</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通过</w:t>
      </w:r>
      <w:r>
        <w:rPr>
          <w:rFonts w:hint="eastAsia" w:ascii="Times New Roman" w:hAnsi="Times New Roman" w:eastAsia="仿宋_GB2312" w:cs="Times New Roman"/>
          <w:sz w:val="32"/>
          <w:szCs w:val="32"/>
          <w:lang w:eastAsia="zh-CN"/>
        </w:rPr>
        <w:t>对本项目</w:t>
      </w:r>
      <w:r>
        <w:rPr>
          <w:rFonts w:hint="eastAsia" w:ascii="Times New Roman" w:hAnsi="Times New Roman" w:eastAsia="仿宋_GB2312" w:cs="Times New Roman"/>
          <w:sz w:val="32"/>
          <w:szCs w:val="32"/>
        </w:rPr>
        <w:t>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keepNext w:val="0"/>
        <w:keepLines w:val="0"/>
        <w:pageBreakBefore w:val="0"/>
        <w:widowControl w:val="0"/>
        <w:kinsoku/>
        <w:wordWrap/>
        <w:overflowPunct/>
        <w:topLinePunct w:val="0"/>
        <w:autoSpaceDE/>
        <w:autoSpaceDN/>
        <w:bidi w:val="0"/>
        <w:adjustRightInd/>
        <w:snapToGrid/>
        <w:spacing w:line="540" w:lineRule="exact"/>
        <w:ind w:firstLine="627"/>
        <w:textAlignment w:val="auto"/>
        <w:rPr>
          <w:rStyle w:val="21"/>
          <w:rFonts w:hint="eastAsia" w:ascii="楷体_GB2312" w:hAnsi="楷体_GB2312" w:eastAsia="楷体_GB2312" w:cs="楷体_GB2312"/>
          <w:b/>
          <w:bCs/>
          <w:spacing w:val="-6"/>
          <w:w w:val="95"/>
          <w:szCs w:val="32"/>
        </w:rPr>
      </w:pPr>
      <w:r>
        <w:rPr>
          <w:rStyle w:val="21"/>
          <w:rFonts w:hint="eastAsia" w:ascii="楷体_GB2312" w:hAnsi="楷体_GB2312" w:eastAsia="楷体_GB2312" w:cs="楷体_GB2312"/>
          <w:b/>
          <w:bCs/>
          <w:spacing w:val="-6"/>
          <w:w w:val="95"/>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pPr>
      <w:r>
        <w:rPr>
          <w:rFonts w:hint="default" w:ascii="Times New Roman" w:hAnsi="Times New Roman" w:eastAsia="仿宋_GB2312" w:cs="Times New Roman"/>
          <w:sz w:val="32"/>
          <w:szCs w:val="32"/>
        </w:rPr>
        <w:t>本项目评价指标体系采用项目绩效自评表与决策、过程自定指标相结合方式，其中项目决策17分，项目过程23分，项目产出22分，项目效益30分，项目满意度8分，详细情况见附件2：</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（1）项目决策</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项目立项：立项依据充分性，权重4分。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绩效目标：绩效目标明确性，权重4分；绩效目标合理性，权重4分。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预算编制：测算标准合理性，权重3分；测算过程细化度，权重2分。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（2）项目过程</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w w:val="95"/>
          <w:sz w:val="32"/>
          <w:szCs w:val="32"/>
        </w:rPr>
      </w:pPr>
      <w:r>
        <w:rPr>
          <w:rFonts w:hint="default" w:ascii="Times New Roman" w:hAnsi="Times New Roman" w:eastAsia="仿宋_GB2312" w:cs="Times New Roman"/>
          <w:sz w:val="32"/>
          <w:szCs w:val="32"/>
        </w:rPr>
        <w:t>资</w:t>
      </w:r>
      <w:r>
        <w:rPr>
          <w:rFonts w:hint="default" w:ascii="Times New Roman" w:hAnsi="Times New Roman" w:eastAsia="仿宋_GB2312" w:cs="Times New Roman"/>
          <w:w w:val="95"/>
          <w:sz w:val="32"/>
          <w:szCs w:val="32"/>
        </w:rPr>
        <w:t>金管理：资金到位率，权重6分；预算执行率，权重6分。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组织实施：管理制度健全性，权重5分，制度执行有效性，权重6分。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（3）项目产出</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数量指标：干部教育培训人数、培训班次数量，权重6分；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质量指标：培训人员出勤率，权重5分；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时效指标：培训开展及时率，权重5分。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成本指标：全年所需培训经费拨付</w:t>
      </w:r>
      <w:r>
        <w:rPr>
          <w:rFonts w:hint="default" w:ascii="Times New Roman" w:hAnsi="Times New Roman" w:eastAsia="仿宋_GB2312" w:cs="Times New Roman"/>
          <w:sz w:val="32"/>
          <w:szCs w:val="32"/>
          <w:lang w:eastAsia="zh-CN"/>
        </w:rPr>
        <w:t>情况</w:t>
      </w:r>
      <w:r>
        <w:rPr>
          <w:rFonts w:hint="default" w:ascii="Times New Roman" w:hAnsi="Times New Roman" w:eastAsia="仿宋_GB2312" w:cs="Times New Roman"/>
          <w:sz w:val="32"/>
          <w:szCs w:val="32"/>
        </w:rPr>
        <w:t>，权重</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eastAsia" w:cs="Times New Roman"/>
          <w:sz w:val="32"/>
          <w:szCs w:val="32"/>
          <w:lang w:val="en-US" w:eastAsia="zh-CN"/>
        </w:rPr>
        <w:t>4</w:t>
      </w:r>
      <w:r>
        <w:rPr>
          <w:rFonts w:hint="default" w:ascii="Times New Roman" w:hAnsi="Times New Roman" w:eastAsia="仿宋_GB2312" w:cs="Times New Roman"/>
          <w:sz w:val="32"/>
          <w:szCs w:val="32"/>
        </w:rPr>
        <w:t>）效益指标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社会</w:t>
      </w:r>
      <w:r>
        <w:rPr>
          <w:rFonts w:hint="default" w:ascii="Times New Roman" w:hAnsi="Times New Roman" w:eastAsia="仿宋_GB2312" w:cs="Times New Roman"/>
          <w:sz w:val="32"/>
          <w:szCs w:val="32"/>
        </w:rPr>
        <w:t>效益指标：干部教育培训效果，权重</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分</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eastAsia" w:cs="Times New Roman"/>
          <w:sz w:val="32"/>
          <w:szCs w:val="32"/>
          <w:lang w:val="en-US" w:eastAsia="zh-CN"/>
        </w:rPr>
        <w:t>5</w:t>
      </w:r>
      <w:r>
        <w:rPr>
          <w:rFonts w:hint="default" w:ascii="Times New Roman" w:hAnsi="Times New Roman" w:eastAsia="仿宋_GB2312" w:cs="Times New Roman"/>
          <w:sz w:val="32"/>
          <w:szCs w:val="32"/>
        </w:rPr>
        <w:t>）满意度指标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服务对象满意度指标：干部培训情况满意度，权重8分。</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3.评价方法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党员干部教育培训工作经费项目绩效评价主要通过项目单位自评、主管部门监督、财政部门参评的方式开展绩效评价工作。</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绩效评价的方法主要包括：成本效益分析法、比较法、因素分析法、最低成本法、公众评判法、核实法等。根据评价指标的具体情况，可采用一种或多种方法。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（1）成本效益分析法。是指将投入与产出、效益进行关联性分析的方法。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Style w:val="21"/>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（6）核实法。是收集包括书面资料及以外的信息以证实书面资料及其所反映经济活动的真实，合法，合理，有效和正确的方法。</w:t>
      </w:r>
    </w:p>
    <w:p>
      <w:pPr>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Style w:val="21"/>
          <w:rFonts w:hint="eastAsia" w:ascii="仿宋_GB2312" w:hAnsi="仿宋_GB2312" w:eastAsia="仿宋_GB2312" w:cs="仿宋_GB2312"/>
        </w:rPr>
      </w:pPr>
      <w:r>
        <w:rPr>
          <w:rStyle w:val="21"/>
          <w:rFonts w:hint="eastAsia" w:ascii="仿宋_GB2312" w:hAnsi="仿宋_GB2312" w:eastAsia="仿宋_GB2312" w:cs="仿宋_GB2312"/>
        </w:rPr>
        <w:t>4.评价标准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绩效评价标准通常包括计划标准、行业标准、历史标准等，用于对绩效指标完成情况进行比较。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21"/>
          <w:rFonts w:hint="eastAsia" w:ascii="楷体_GB2312" w:hAnsi="楷体_GB2312" w:eastAsia="楷体_GB2312" w:cs="楷体_GB2312"/>
          <w:spacing w:val="-4"/>
          <w:szCs w:val="32"/>
        </w:rPr>
      </w:pPr>
      <w:r>
        <w:rPr>
          <w:rStyle w:val="21"/>
          <w:rFonts w:hint="eastAsia" w:ascii="楷体_GB2312" w:hAnsi="楷体_GB2312" w:eastAsia="楷体_GB2312" w:cs="楷体_GB2312"/>
          <w:spacing w:val="-4"/>
          <w:szCs w:val="32"/>
        </w:rPr>
        <w:t>（三）绩效评价工作过程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1</w:t>
      </w:r>
      <w:r>
        <w:rPr>
          <w:rFonts w:hint="eastAsia" w:ascii="仿宋_GB2312" w:hAnsi="仿宋_GB2312" w:eastAsia="仿宋_GB2312" w:cs="仿宋_GB2312"/>
          <w:b/>
          <w:bCs/>
          <w:lang w:eastAsia="zh-Hans"/>
        </w:rPr>
        <w:t>.</w:t>
      </w:r>
      <w:r>
        <w:rPr>
          <w:rFonts w:hint="eastAsia" w:ascii="仿宋_GB2312" w:hAnsi="仿宋_GB2312" w:eastAsia="仿宋_GB2312" w:cs="仿宋_GB2312"/>
          <w:b/>
          <w:bCs/>
        </w:rPr>
        <w:t>前期准备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（2）采取“年初绩效目标预定与实施效果比较法”进行评价，评价指标体系以绩效目标申报指标为依据。</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Hans"/>
        </w:rPr>
        <w:t>.</w:t>
      </w:r>
      <w:r>
        <w:rPr>
          <w:rFonts w:hint="eastAsia" w:ascii="仿宋_GB2312" w:hAnsi="仿宋_GB2312" w:eastAsia="仿宋_GB2312" w:cs="仿宋_GB2312"/>
          <w:b/>
          <w:bCs/>
          <w:sz w:val="32"/>
          <w:szCs w:val="32"/>
        </w:rPr>
        <w:t>组织过程</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（1）项目全过程资料档案复核</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（2）检查内容和过程</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发放调查问卷开展</w:t>
      </w:r>
      <w:r>
        <w:rPr>
          <w:rFonts w:hint="default" w:ascii="Times New Roman" w:hAnsi="Times New Roman" w:eastAsia="仿宋_GB2312" w:cs="Times New Roman"/>
          <w:sz w:val="32"/>
          <w:szCs w:val="32"/>
          <w:lang w:eastAsia="zh-CN"/>
        </w:rPr>
        <w:t>干部培训</w:t>
      </w:r>
      <w:r>
        <w:rPr>
          <w:rFonts w:hint="default" w:ascii="Times New Roman" w:hAnsi="Times New Roman" w:eastAsia="仿宋_GB2312" w:cs="Times New Roman"/>
          <w:sz w:val="32"/>
          <w:szCs w:val="32"/>
        </w:rPr>
        <w:t>满意度调查工作。</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（3）撰写报告情况</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Style w:val="21"/>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sz w:val="32"/>
          <w:szCs w:val="32"/>
        </w:rPr>
        <w:t>根据所搜集的印证材料，按绩效评价原理和指标体系进行分析、评价和汇总，撰写绩效自评报告，并在规定时间上报。</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黑体" w:hAnsi="黑体" w:eastAsia="黑体"/>
          <w:b w:val="0"/>
          <w:spacing w:val="-4"/>
          <w:szCs w:val="32"/>
        </w:rPr>
      </w:pPr>
      <w:r>
        <w:rPr>
          <w:rStyle w:val="21"/>
          <w:rFonts w:hint="eastAsia" w:ascii="黑体" w:hAnsi="黑体" w:eastAsia="黑体"/>
          <w:b w:val="0"/>
          <w:spacing w:val="-4"/>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本次项目自评满分100分，自评得分</w:t>
      </w:r>
      <w:r>
        <w:rPr>
          <w:rFonts w:hint="default"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rPr>
        <w:t>分，自评结果为“优”，其中项目决策得分</w:t>
      </w:r>
      <w:r>
        <w:rPr>
          <w:rFonts w:hint="default"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rPr>
        <w:t>分，项目过程得分</w:t>
      </w:r>
      <w:r>
        <w:rPr>
          <w:rFonts w:hint="default"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rPr>
        <w:t>分，项目产出得分</w:t>
      </w: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分，项目效益得分</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分，项目满意度得分</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pPr>
      <w:r>
        <w:rPr>
          <w:rFonts w:hint="default" w:ascii="Times New Roman" w:hAnsi="Times New Roman" w:eastAsia="仿宋_GB2312" w:cs="Times New Roman"/>
          <w:sz w:val="32"/>
          <w:szCs w:val="32"/>
        </w:rPr>
        <w:t>综合评价结论：项目决策方面，</w:t>
      </w:r>
      <w:r>
        <w:rPr>
          <w:rFonts w:hint="default" w:ascii="Times New Roman" w:hAnsi="Times New Roman" w:eastAsia="仿宋_GB2312" w:cs="Times New Roman"/>
          <w:sz w:val="32"/>
          <w:szCs w:val="32"/>
          <w:lang w:val="en-US" w:eastAsia="zh-CN"/>
        </w:rPr>
        <w:t>根据相关政策，履行好工作职能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项目过程方面，</w:t>
      </w:r>
      <w:r>
        <w:rPr>
          <w:rFonts w:hint="default" w:ascii="Times New Roman" w:hAnsi="Times New Roman" w:eastAsia="仿宋_GB2312" w:cs="Times New Roman"/>
          <w:sz w:val="32"/>
          <w:szCs w:val="32"/>
          <w:lang w:val="en-US" w:eastAsia="zh-CN"/>
        </w:rPr>
        <w:t>严格按照资金管理要求，确保资金按时到位，合规合法确保项目实施过程落实到位</w:t>
      </w:r>
      <w:r>
        <w:rPr>
          <w:rFonts w:hint="default" w:ascii="Times New Roman" w:hAnsi="Times New Roman" w:eastAsia="仿宋_GB2312" w:cs="Times New Roman"/>
          <w:sz w:val="32"/>
          <w:szCs w:val="32"/>
        </w:rPr>
        <w:t>；项目产出方面，</w:t>
      </w:r>
      <w:r>
        <w:rPr>
          <w:rFonts w:hint="default" w:ascii="Times New Roman" w:hAnsi="Times New Roman" w:eastAsia="仿宋_GB2312" w:cs="Times New Roman"/>
          <w:sz w:val="32"/>
          <w:szCs w:val="32"/>
          <w:lang w:val="en-US" w:eastAsia="zh-CN"/>
        </w:rPr>
        <w:t>通过统计人数，细化项目措施，组织人员、按时开展培训班次等，确保项目精准到位</w:t>
      </w:r>
      <w:r>
        <w:rPr>
          <w:rFonts w:hint="default" w:ascii="Times New Roman" w:hAnsi="Times New Roman" w:eastAsia="仿宋_GB2312" w:cs="Times New Roman"/>
          <w:sz w:val="32"/>
          <w:szCs w:val="32"/>
        </w:rPr>
        <w:t>；项目效益方面，</w:t>
      </w:r>
      <w:r>
        <w:rPr>
          <w:rFonts w:hint="default" w:ascii="Times New Roman" w:hAnsi="Times New Roman" w:eastAsia="仿宋_GB2312" w:cs="Times New Roman"/>
          <w:sz w:val="32"/>
          <w:szCs w:val="32"/>
          <w:lang w:eastAsia="zh-CN"/>
        </w:rPr>
        <w:t>该项目实施以来，不断提高</w:t>
      </w:r>
      <w:r>
        <w:rPr>
          <w:rFonts w:hint="default" w:ascii="Times New Roman" w:hAnsi="Times New Roman" w:eastAsia="仿宋_GB2312" w:cs="Times New Roman"/>
          <w:sz w:val="32"/>
          <w:szCs w:val="32"/>
          <w:lang w:val="en-US" w:eastAsia="zh-CN"/>
        </w:rPr>
        <w:t>党员领导干部及新任职干部履职能力和业务水平</w:t>
      </w:r>
      <w:r>
        <w:rPr>
          <w:rFonts w:hint="default" w:ascii="Times New Roman" w:hAnsi="Times New Roman" w:eastAsia="仿宋_GB2312" w:cs="Times New Roman"/>
          <w:sz w:val="32"/>
          <w:szCs w:val="32"/>
        </w:rPr>
        <w:t>；项目满意度方面，</w:t>
      </w:r>
      <w:r>
        <w:rPr>
          <w:rFonts w:hint="default" w:ascii="Times New Roman" w:hAnsi="Times New Roman" w:eastAsia="仿宋_GB2312" w:cs="Times New Roman"/>
          <w:sz w:val="32"/>
          <w:szCs w:val="32"/>
          <w:lang w:eastAsia="zh-CN"/>
        </w:rPr>
        <w:t>该项目实施以来，覆盖面广，培训内容丰富多样，获得较高的满意度。</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黑体" w:hAnsi="黑体" w:eastAsia="黑体"/>
        </w:rPr>
      </w:pPr>
      <w:r>
        <w:rPr>
          <w:rStyle w:val="21"/>
          <w:rFonts w:hint="eastAsia" w:ascii="黑体" w:hAnsi="黑体" w:eastAsia="黑体"/>
          <w:b w:val="0"/>
          <w:spacing w:val="-4"/>
          <w:szCs w:val="32"/>
        </w:rPr>
        <w:t>四、绩效评价指标分析</w:t>
      </w:r>
      <w:r>
        <w:rPr>
          <w:rStyle w:val="21"/>
          <w:rFonts w:hint="eastAsia" w:ascii="黑体" w:hAnsi="黑体" w:eastAsia="黑体"/>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w:t>
      </w:r>
      <w:r>
        <w:rPr>
          <w:rStyle w:val="21"/>
          <w:rFonts w:hint="eastAsia" w:ascii="楷体_GB2312" w:hAnsi="楷体_GB2312" w:eastAsia="楷体_GB2312" w:cs="楷体_GB2312"/>
          <w:spacing w:val="-4"/>
          <w:szCs w:val="32"/>
        </w:rPr>
        <w:t>项目决策情况</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Fonts w:hint="eastAsia" w:ascii="仿宋_GB2312" w:hAnsi="仿宋_GB2312" w:eastAsia="仿宋_GB2312" w:cs="仿宋_GB2312"/>
          <w:b/>
          <w:bCs/>
        </w:rPr>
      </w:pPr>
      <w:r>
        <w:rPr>
          <w:rFonts w:hint="eastAsia" w:ascii="仿宋_GB2312" w:hAnsi="仿宋_GB2312" w:eastAsia="仿宋_GB2312" w:cs="仿宋_GB2312"/>
          <w:b/>
          <w:bCs/>
        </w:rPr>
        <w:t>1.项目立项</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立项依据充分性</w:t>
      </w:r>
      <w:r>
        <w:rPr>
          <w:rFonts w:hint="eastAsia" w:ascii="Times New Roman" w:hAnsi="Times New Roman" w:eastAsia="仿宋_GB2312" w:cs="Times New Roman"/>
          <w:sz w:val="32"/>
          <w:szCs w:val="32"/>
        </w:rPr>
        <w:t>，满分4分，得分</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通过组织开展领导干部、 村干部及后备力量、两新组织、社区干部和引进人才培训，提高党员干部政治素质和履职能力，增强做好工作的能力本领项目立项符合法律法规等相关政策要求，属工作履职所需。</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2.绩效目标</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（1）绩效目标明确性，满分4分，得分</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（2）绩效目标合理性，满分4分，得分</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项目启动阶段，根据通过梳理人员情况，合理设定了实施计划目标，该项目绩效目标与项目目标任务数相对应，项目预期产出的效益和效果符合项目完成后产生的正常业绩水平。项目所设定的绩效目标依据充分，符合客观实际，设置科学、合理、可实现。</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3.预算编制</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（1）测算标准合理性，满分3分，得分</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项目预算测算项目支出标准符合相关政策制度或行业、领域规定。。</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（2）测算过程细化度，满分2分，得分</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本项目细化工作措施，制定相应工作要求，加强对伊州区党员干部培训工作经费管理。</w:t>
      </w:r>
    </w:p>
    <w:p>
      <w:pPr>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Style w:val="21"/>
        </w:rPr>
      </w:pPr>
      <w:r>
        <w:rPr>
          <w:rStyle w:val="21"/>
          <w:rFonts w:hint="eastAsia"/>
        </w:rPr>
        <w:t>（二）项目过程情况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1.资金管理</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（1）资金到位率，满分6分，得分</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坚持“专款专用”的原则，依据“先预算审批，再支出审批”的原则，严格执行既保障了项目的顺利执行，确保资金到位，项目有序开展。</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（2）预算执行率，满分6分，得分</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项目预算资金根据项目情况按时执行。</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2.组织实施</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（1）管理制度健全性，满分5分，得分</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为保障项目的顺利实施，加强对资金使用情况的监管，分工协作，确保项目高质量地完成。。</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（2）制度执行有效性，满分6分，得分</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安排分管领导加强对资金的监管，确保项目资金的拨付和资金专款专用。</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（三）</w:t>
      </w:r>
      <w:r>
        <w:rPr>
          <w:rStyle w:val="21"/>
          <w:rFonts w:hint="eastAsia" w:ascii="楷体_GB2312" w:hAnsi="楷体_GB2312" w:eastAsia="楷体_GB2312" w:cs="楷体_GB2312"/>
          <w:spacing w:val="-4"/>
          <w:szCs w:val="32"/>
        </w:rPr>
        <w:t>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1.产出数量</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干部教育培训人数、培训班次，满分</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分，得分</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83.3</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该项目根据2024年实际人员进行数据统计，按照实际数据，组织相关人员进行培训。</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2.产出质量</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培训人员出勤率，满分</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分，得分</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该项目根据年初工作安排，开会研究提出要求，严格落实新任职领导干部、在职党员领导干部参训工作。</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3.产出时效</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培训开展及时率，满分</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分，得分</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60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班次均能按时开办，人员也能按时参加。</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rPr>
        <w:t>4.产出成本</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全年所需培训经费拨付情况，满分</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分，得分</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50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为开办各类培训班提供资金支持</w:t>
      </w:r>
      <w:r>
        <w:rPr>
          <w:rFonts w:hint="eastAsia" w:ascii="Times New Roman" w:hAnsi="Times New Roman" w:eastAsia="仿宋_GB2312" w:cs="Times New Roman"/>
          <w:sz w:val="32"/>
          <w:szCs w:val="32"/>
          <w:lang w:eastAsia="zh-CN"/>
        </w:rPr>
        <w:t>，但后期付款手续延误，导致资金拨付进度不理想</w:t>
      </w:r>
      <w:r>
        <w:rPr>
          <w:rFonts w:hint="eastAsia" w:ascii="Times New Roman" w:hAnsi="Times New Roman" w:eastAsia="仿宋_GB2312" w:cs="Times New Roman"/>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313" w:firstLineChars="100"/>
        <w:textAlignment w:val="auto"/>
        <w:rPr>
          <w:rStyle w:val="21"/>
          <w:rFonts w:hint="eastAsia" w:ascii="楷体_GB2312" w:hAnsi="楷体_GB2312" w:eastAsia="楷体_GB2312" w:cs="楷体_GB2312"/>
          <w:spacing w:val="-4"/>
          <w:szCs w:val="32"/>
        </w:rPr>
      </w:pPr>
      <w:r>
        <w:rPr>
          <w:rStyle w:val="21"/>
          <w:rFonts w:hint="eastAsia" w:ascii="楷体_GB2312" w:hAnsi="楷体_GB2312" w:eastAsia="楷体_GB2312" w:cs="楷体_GB2312"/>
          <w:spacing w:val="-4"/>
          <w:szCs w:val="32"/>
          <w:lang w:eastAsia="zh-CN"/>
        </w:rPr>
        <w:t>（</w:t>
      </w:r>
      <w:r>
        <w:rPr>
          <w:rStyle w:val="21"/>
          <w:rFonts w:hint="eastAsia" w:ascii="楷体_GB2312" w:hAnsi="楷体_GB2312" w:eastAsia="楷体_GB2312" w:cs="楷体_GB2312"/>
          <w:spacing w:val="-4"/>
          <w:szCs w:val="32"/>
          <w:lang w:val="en-US" w:eastAsia="zh-CN"/>
        </w:rPr>
        <w:t>四</w:t>
      </w:r>
      <w:r>
        <w:rPr>
          <w:rStyle w:val="21"/>
          <w:rFonts w:hint="eastAsia" w:ascii="楷体_GB2312" w:hAnsi="楷体_GB2312" w:eastAsia="楷体_GB2312" w:cs="楷体_GB2312"/>
          <w:spacing w:val="-4"/>
          <w:szCs w:val="32"/>
          <w:lang w:eastAsia="zh-CN"/>
        </w:rPr>
        <w:t>）</w:t>
      </w:r>
      <w:r>
        <w:rPr>
          <w:rStyle w:val="21"/>
          <w:rFonts w:hint="eastAsia" w:ascii="楷体_GB2312" w:hAnsi="楷体_GB2312" w:eastAsia="楷体_GB2312" w:cs="楷体_GB2312"/>
          <w:spacing w:val="-4"/>
          <w:szCs w:val="32"/>
        </w:rPr>
        <w:t>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1.</w:t>
      </w:r>
      <w:r>
        <w:rPr>
          <w:rFonts w:hint="eastAsia" w:ascii="仿宋_GB2312" w:hAnsi="仿宋_GB2312" w:eastAsia="仿宋_GB2312" w:cs="仿宋_GB2312"/>
          <w:b/>
          <w:bCs/>
          <w:lang w:eastAsia="zh-CN"/>
        </w:rPr>
        <w:t>社会</w:t>
      </w:r>
      <w:r>
        <w:rPr>
          <w:rFonts w:hint="eastAsia" w:ascii="仿宋_GB2312" w:hAnsi="仿宋_GB2312" w:eastAsia="仿宋_GB2312" w:cs="仿宋_GB2312"/>
          <w:b/>
          <w:bCs/>
        </w:rPr>
        <w:t>效益</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干部教育培训效果，满分</w:t>
      </w:r>
      <w:r>
        <w:rPr>
          <w:rFonts w:hint="eastAsia" w:ascii="Times New Roman" w:hAnsi="Times New Roman" w:eastAsia="仿宋_GB2312" w:cs="Times New Roman"/>
          <w:sz w:val="32"/>
          <w:szCs w:val="32"/>
          <w:lang w:val="en-US" w:eastAsia="zh-CN"/>
        </w:rPr>
        <w:t>30</w:t>
      </w:r>
      <w:r>
        <w:rPr>
          <w:rFonts w:hint="eastAsia" w:ascii="Times New Roman" w:hAnsi="Times New Roman" w:eastAsia="仿宋_GB2312" w:cs="Times New Roman"/>
          <w:sz w:val="32"/>
          <w:szCs w:val="32"/>
        </w:rPr>
        <w:t>分，得分</w:t>
      </w:r>
      <w:r>
        <w:rPr>
          <w:rFonts w:hint="eastAsia" w:ascii="Times New Roman" w:hAnsi="Times New Roman" w:eastAsia="仿宋_GB2312" w:cs="Times New Roman"/>
          <w:sz w:val="32"/>
          <w:szCs w:val="32"/>
          <w:lang w:val="en-US" w:eastAsia="zh-CN"/>
        </w:rPr>
        <w:t>26</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86.7</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通过组织党员干部培训，干部能力水平得到显著提升。</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21"/>
          <w:rFonts w:hint="eastAsia" w:ascii="楷体_GB2312" w:hAnsi="楷体_GB2312" w:eastAsia="楷体_GB2312" w:cs="楷体_GB2312"/>
          <w:b w:val="0"/>
          <w:bCs w:val="0"/>
          <w:spacing w:val="-4"/>
          <w:szCs w:val="32"/>
        </w:rPr>
      </w:pPr>
      <w:r>
        <w:rPr>
          <w:rFonts w:hint="eastAsia" w:ascii="楷体_GB2312" w:hAnsi="楷体_GB2312" w:eastAsia="楷体_GB2312" w:cs="楷体_GB2312"/>
          <w:b/>
          <w:spacing w:val="-4"/>
          <w:sz w:val="32"/>
          <w:szCs w:val="32"/>
        </w:rPr>
        <w:t>（五）满意度</w:t>
      </w:r>
      <w:r>
        <w:rPr>
          <w:rStyle w:val="21"/>
          <w:rFonts w:hint="eastAsia" w:ascii="楷体_GB2312" w:hAnsi="楷体_GB2312" w:eastAsia="楷体_GB2312" w:cs="楷体_GB2312"/>
          <w:spacing w:val="-4"/>
          <w:szCs w:val="32"/>
        </w:rPr>
        <w:t>情况</w:t>
      </w:r>
    </w:p>
    <w:p>
      <w:pPr>
        <w:keepNext w:val="0"/>
        <w:keepLines w:val="0"/>
        <w:pageBreakBefore w:val="0"/>
        <w:widowControl w:val="0"/>
        <w:kinsoku/>
        <w:wordWrap/>
        <w:overflowPunct/>
        <w:topLinePunct w:val="0"/>
        <w:autoSpaceDE/>
        <w:autoSpaceDN/>
        <w:bidi w:val="0"/>
        <w:adjustRightInd/>
        <w:snapToGrid/>
        <w:spacing w:line="540" w:lineRule="exact"/>
        <w:ind w:firstLine="602"/>
        <w:textAlignment w:val="auto"/>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1.</w:t>
      </w:r>
      <w:r>
        <w:rPr>
          <w:rFonts w:hint="eastAsia" w:ascii="仿宋_GB2312" w:hAnsi="仿宋_GB2312" w:eastAsia="仿宋_GB2312" w:cs="仿宋_GB2312"/>
          <w:b/>
          <w:bCs/>
        </w:rPr>
        <w:t>服务对象满意度</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干部培训情况满意度，满分</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分，得分</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分，得分率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通过前期调研走访，参训后总结改善，能有效提升干部培训质量，提高干部对党员培训工作的满意度。</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黑体" w:hAnsi="黑体" w:eastAsia="黑体"/>
          <w:b w:val="0"/>
          <w:spacing w:val="-4"/>
          <w:szCs w:val="32"/>
        </w:rPr>
      </w:pPr>
      <w:r>
        <w:rPr>
          <w:rStyle w:val="21"/>
          <w:rFonts w:hint="eastAsia" w:ascii="黑体" w:hAnsi="黑体" w:eastAsia="黑体"/>
          <w:b w:val="0"/>
          <w:spacing w:val="-4"/>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Style w:val="21"/>
        </w:rPr>
      </w:pPr>
      <w:r>
        <w:rPr>
          <w:rStyle w:val="21"/>
          <w:rFonts w:hint="eastAsia"/>
        </w:rPr>
        <w:t>（一）主要经验及做法</w:t>
      </w:r>
    </w:p>
    <w:p>
      <w:pPr>
        <w:pStyle w:val="54"/>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54"/>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为有效推进</w:t>
      </w:r>
      <w:r>
        <w:rPr>
          <w:rFonts w:hint="eastAsia" w:ascii="仿宋_GB2312" w:hAnsi="仿宋_GB2312" w:cs="仿宋_GB2312"/>
          <w:color w:val="auto"/>
          <w:sz w:val="32"/>
          <w:szCs w:val="32"/>
          <w:lang w:eastAsia="zh-CN"/>
        </w:rPr>
        <w:t>干部培训</w:t>
      </w:r>
      <w:r>
        <w:rPr>
          <w:rFonts w:hint="eastAsia" w:ascii="仿宋_GB2312" w:hAnsi="仿宋_GB2312" w:cs="仿宋_GB2312"/>
          <w:color w:val="auto"/>
          <w:sz w:val="32"/>
          <w:szCs w:val="32"/>
        </w:rPr>
        <w:t>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54"/>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54"/>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54"/>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ascii="仿宋_GB2312" w:hAnsi="仿宋_GB2312" w:cs="仿宋_GB2312"/>
          <w:b/>
          <w:bCs/>
          <w:color w:val="auto"/>
          <w:sz w:val="32"/>
          <w:szCs w:val="32"/>
        </w:rPr>
      </w:pPr>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54"/>
        <w:keepNext w:val="0"/>
        <w:keepLines w:val="0"/>
        <w:pageBreakBefore w:val="0"/>
        <w:widowControl w:val="0"/>
        <w:kinsoku/>
        <w:wordWrap/>
        <w:overflowPunct/>
        <w:topLinePunct w:val="0"/>
        <w:autoSpaceDE/>
        <w:autoSpaceDN/>
        <w:bidi w:val="0"/>
        <w:adjustRightInd/>
        <w:snapToGrid/>
        <w:spacing w:line="540" w:lineRule="exact"/>
        <w:ind w:firstLine="640"/>
        <w:textAlignment w:val="auto"/>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Style w:val="21"/>
        </w:rPr>
      </w:pPr>
      <w:r>
        <w:rPr>
          <w:rStyle w:val="21"/>
          <w:rFonts w:hint="eastAsia"/>
        </w:rPr>
        <w:t>（二）存在问题及原因分析</w:t>
      </w:r>
    </w:p>
    <w:p>
      <w:pPr>
        <w:pStyle w:val="54"/>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54"/>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54"/>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rPr>
        <w:t>.项目支出绩效评价存在</w:t>
      </w:r>
      <w:r>
        <w:rPr>
          <w:rFonts w:hint="default" w:ascii="仿宋_GB2312" w:hAnsi="仿宋_GB2312" w:cs="仿宋_GB2312"/>
          <w:b/>
          <w:bCs/>
          <w:color w:val="auto"/>
          <w:sz w:val="32"/>
          <w:szCs w:val="32"/>
        </w:rPr>
        <w:t>单位</w:t>
      </w:r>
      <w:r>
        <w:rPr>
          <w:rFonts w:hint="eastAsia" w:ascii="仿宋_GB2312" w:hAnsi="仿宋_GB2312" w:cs="仿宋_GB2312"/>
          <w:b/>
          <w:bCs/>
          <w:color w:val="auto"/>
          <w:sz w:val="32"/>
          <w:szCs w:val="32"/>
        </w:rPr>
        <w:t>限</w:t>
      </w:r>
      <w:r>
        <w:rPr>
          <w:rFonts w:hint="eastAsia" w:ascii="仿宋_GB2312" w:hAnsi="仿宋_GB2312" w:cs="仿宋_GB2312"/>
          <w:b/>
          <w:bCs/>
          <w:color w:val="auto"/>
          <w:sz w:val="32"/>
          <w:szCs w:val="32"/>
          <w:lang w:eastAsia="zh-CN"/>
        </w:rPr>
        <w:t>制</w:t>
      </w:r>
      <w:r>
        <w:rPr>
          <w:rFonts w:hint="eastAsia" w:ascii="仿宋_GB2312" w:hAnsi="仿宋_GB2312" w:cs="仿宋_GB2312"/>
          <w:b/>
          <w:bCs/>
          <w:color w:val="auto"/>
          <w:sz w:val="32"/>
          <w:szCs w:val="32"/>
        </w:rPr>
        <w:t>，客观性有待加强</w:t>
      </w:r>
    </w:p>
    <w:p>
      <w:pPr>
        <w:pStyle w:val="2"/>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w:t>
      </w:r>
      <w:r>
        <w:rPr>
          <w:rFonts w:hint="default" w:ascii="仿宋_GB2312" w:hAnsi="仿宋_GB2312" w:cs="仿宋_GB2312"/>
          <w:color w:val="auto"/>
          <w:kern w:val="0"/>
          <w:sz w:val="32"/>
          <w:szCs w:val="32"/>
        </w:rPr>
        <w:t>单位</w:t>
      </w:r>
      <w:r>
        <w:rPr>
          <w:rFonts w:hint="eastAsia" w:ascii="仿宋_GB2312" w:hAnsi="仿宋_GB2312" w:cs="仿宋_GB2312"/>
          <w:color w:val="auto"/>
          <w:kern w:val="0"/>
          <w:sz w:val="32"/>
          <w:szCs w:val="32"/>
        </w:rPr>
        <w:t>限性，项目支出绩效工作有较大弹性，评价报告多</w:t>
      </w:r>
      <w:r>
        <w:rPr>
          <w:rFonts w:hint="default" w:ascii="仿宋_GB2312" w:hAnsi="仿宋_GB2312" w:cs="仿宋_GB2312"/>
          <w:color w:val="auto"/>
          <w:kern w:val="0"/>
          <w:sz w:val="32"/>
          <w:szCs w:val="32"/>
        </w:rPr>
        <w:t>单位</w:t>
      </w:r>
      <w:r>
        <w:rPr>
          <w:rFonts w:hint="eastAsia" w:ascii="仿宋_GB2312" w:hAnsi="仿宋_GB2312" w:cs="仿宋_GB2312"/>
          <w:color w:val="auto"/>
          <w:kern w:val="0"/>
          <w:sz w:val="32"/>
          <w:szCs w:val="32"/>
        </w:rPr>
        <w:t>限于描述项目实施情况，对问题避重就轻，对项目的打分松紧不一，会影响评价质量，在客观性和公正性上说服力不强。</w:t>
      </w:r>
    </w:p>
    <w:p>
      <w:pPr>
        <w:pStyle w:val="54"/>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ascii="仿宋_GB2312" w:hAnsi="仿宋_GB2312" w:cs="仿宋_GB2312"/>
          <w:b/>
          <w:bCs/>
          <w:color w:val="auto"/>
          <w:sz w:val="32"/>
          <w:szCs w:val="32"/>
          <w:lang w:eastAsia="zh-Hans"/>
        </w:rPr>
      </w:pPr>
      <w:r>
        <w:rPr>
          <w:rFonts w:hint="eastAsia" w:ascii="仿宋_GB2312" w:hAnsi="仿宋_GB2312" w:cs="仿宋_GB2312"/>
          <w:b/>
          <w:bCs/>
          <w:color w:val="auto"/>
          <w:sz w:val="32"/>
          <w:szCs w:val="32"/>
          <w:lang w:val="en-US" w:eastAsia="zh-CN"/>
        </w:rPr>
        <w:t>3</w:t>
      </w:r>
      <w:r>
        <w:rPr>
          <w:rFonts w:hint="eastAsia" w:ascii="仿宋_GB2312" w:hAnsi="仿宋_GB2312" w:cs="仿宋_GB2312"/>
          <w:b/>
          <w:bCs/>
          <w:color w:val="auto"/>
          <w:sz w:val="32"/>
          <w:szCs w:val="32"/>
          <w:lang w:eastAsia="zh-Hans"/>
        </w:rPr>
        <w:t>.</w:t>
      </w:r>
      <w:r>
        <w:rPr>
          <w:rFonts w:hint="eastAsia" w:ascii="仿宋_GB2312" w:hAnsi="仿宋_GB2312" w:cs="仿宋_GB2312"/>
          <w:b/>
          <w:bCs/>
          <w:color w:val="auto"/>
          <w:sz w:val="32"/>
          <w:szCs w:val="32"/>
          <w:lang w:eastAsia="zh-CN"/>
        </w:rPr>
        <w:t>资金拨付</w:t>
      </w:r>
      <w:r>
        <w:rPr>
          <w:rFonts w:hint="eastAsia" w:ascii="仿宋_GB2312" w:hAnsi="仿宋_GB2312" w:cs="仿宋_GB2312"/>
          <w:b/>
          <w:bCs/>
          <w:color w:val="auto"/>
          <w:sz w:val="32"/>
          <w:szCs w:val="32"/>
          <w:lang w:eastAsia="zh-Hans"/>
        </w:rPr>
        <w:t>进度滞后</w:t>
      </w:r>
    </w:p>
    <w:p>
      <w:pPr>
        <w:keepNext w:val="0"/>
        <w:keepLines w:val="0"/>
        <w:pageBreakBefore w:val="0"/>
        <w:widowControl w:val="0"/>
        <w:kinsoku/>
        <w:wordWrap/>
        <w:overflowPunct/>
        <w:topLinePunct w:val="0"/>
        <w:autoSpaceDE/>
        <w:autoSpaceDN/>
        <w:bidi w:val="0"/>
        <w:adjustRightInd/>
        <w:snapToGrid/>
        <w:spacing w:line="540" w:lineRule="exact"/>
        <w:ind w:firstLine="600"/>
        <w:textAlignment w:val="auto"/>
        <w:rPr>
          <w:color w:val="auto"/>
        </w:rPr>
      </w:pPr>
      <w:r>
        <w:rPr>
          <w:rFonts w:hint="eastAsia"/>
          <w:color w:val="auto"/>
          <w:sz w:val="32"/>
          <w:szCs w:val="32"/>
          <w:lang w:eastAsia="zh-CN"/>
        </w:rPr>
        <w:t>培训结束后，要及时与相关单位对接培训款拨付工作，及时梳理材料报财务审核，发现的问题或缺少项要及时补充，切实跟踪资金拨付进展</w:t>
      </w:r>
      <w:r>
        <w:rPr>
          <w:rFonts w:hint="eastAsia"/>
          <w:color w:val="auto"/>
        </w:rPr>
        <w:t>。</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黑体" w:hAnsi="黑体" w:eastAsia="黑体"/>
          <w:b w:val="0"/>
          <w:spacing w:val="-4"/>
          <w:szCs w:val="32"/>
        </w:rPr>
      </w:pPr>
      <w:r>
        <w:rPr>
          <w:rStyle w:val="21"/>
          <w:rFonts w:hint="eastAsia" w:ascii="黑体" w:hAnsi="黑体" w:eastAsia="黑体"/>
          <w:b w:val="0"/>
          <w:spacing w:val="-4"/>
          <w:szCs w:val="32"/>
          <w:lang w:val="en-US" w:eastAsia="zh-CN"/>
        </w:rPr>
        <w:t>六</w:t>
      </w:r>
      <w:r>
        <w:rPr>
          <w:rStyle w:val="21"/>
          <w:rFonts w:hint="eastAsia" w:ascii="黑体" w:hAnsi="黑体" w:eastAsia="黑体"/>
          <w:b w:val="0"/>
          <w:spacing w:val="-4"/>
          <w:szCs w:val="32"/>
        </w:rPr>
        <w:t>、有关建议</w:t>
      </w:r>
    </w:p>
    <w:p>
      <w:pPr>
        <w:pStyle w:val="54"/>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hint="eastAsia" w:ascii="仿宋_GB2312" w:eastAsia="仿宋_GB2312"/>
          <w:b/>
          <w:bCs/>
          <w:sz w:val="32"/>
          <w:szCs w:val="32"/>
          <w:lang w:eastAsia="zh-CN"/>
        </w:rPr>
      </w:pPr>
      <w:r>
        <w:rPr>
          <w:rFonts w:hint="eastAsia" w:ascii="仿宋_GB2312"/>
          <w:b/>
          <w:bCs/>
          <w:sz w:val="32"/>
          <w:szCs w:val="32"/>
          <w:lang w:eastAsia="zh-CN"/>
        </w:rPr>
        <w:t>提高思想认识</w:t>
      </w:r>
      <w:r>
        <w:rPr>
          <w:rFonts w:hint="eastAsia" w:ascii="仿宋_GB2312"/>
          <w:b/>
          <w:bCs/>
          <w:sz w:val="32"/>
          <w:szCs w:val="32"/>
        </w:rPr>
        <w:t>，加强</w:t>
      </w:r>
      <w:r>
        <w:rPr>
          <w:rFonts w:hint="eastAsia" w:ascii="仿宋_GB2312"/>
          <w:b/>
          <w:bCs/>
          <w:sz w:val="32"/>
          <w:szCs w:val="32"/>
          <w:lang w:eastAsia="zh-CN"/>
        </w:rPr>
        <w:t>对绩效评价工作的重视程度</w:t>
      </w:r>
    </w:p>
    <w:p>
      <w:pPr>
        <w:pStyle w:val="54"/>
        <w:keepNext w:val="0"/>
        <w:keepLines w:val="0"/>
        <w:pageBreakBefore w:val="0"/>
        <w:widowControl w:val="0"/>
        <w:kinsoku/>
        <w:wordWrap/>
        <w:overflowPunct/>
        <w:topLinePunct w:val="0"/>
        <w:autoSpaceDE/>
        <w:autoSpaceDN/>
        <w:bidi w:val="0"/>
        <w:adjustRightInd/>
        <w:snapToGrid/>
        <w:spacing w:line="540" w:lineRule="exact"/>
        <w:ind w:firstLine="640"/>
        <w:textAlignment w:val="auto"/>
      </w:pPr>
      <w:r>
        <w:rPr>
          <w:rFonts w:hint="eastAsia" w:ascii="仿宋_GB2312"/>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hint="eastAsia" w:ascii="黑体" w:hAnsi="黑体" w:eastAsia="黑体"/>
          <w:b w:val="0"/>
          <w:spacing w:val="-4"/>
          <w:szCs w:val="32"/>
        </w:rPr>
      </w:pPr>
      <w:r>
        <w:rPr>
          <w:rStyle w:val="21"/>
          <w:rFonts w:hint="eastAsia" w:ascii="黑体" w:hAnsi="黑体" w:eastAsia="黑体"/>
          <w:b w:val="0"/>
          <w:spacing w:val="-4"/>
          <w:szCs w:val="32"/>
        </w:rPr>
        <w:t>七、其他需要说明的问题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Fonts w:ascii="仿宋_GB2312"/>
          <w:sz w:val="32"/>
          <w:szCs w:val="32"/>
        </w:rPr>
      </w:pPr>
      <w:r>
        <w:rPr>
          <w:rFonts w:hint="eastAsia"/>
          <w:spacing w:val="-4"/>
          <w:sz w:val="32"/>
          <w:szCs w:val="32"/>
        </w:rPr>
        <w:t>无其他说明内容。</w:t>
      </w: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仿宋" w:hAnsi="仿宋" w:eastAsia="仿宋"/>
          <w:b w:val="0"/>
          <w:spacing w:val="-4"/>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仿宋" w:hAnsi="仿宋" w:eastAsia="仿宋"/>
          <w:b w:val="0"/>
          <w:spacing w:val="-4"/>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textAlignment w:val="auto"/>
        <w:rPr>
          <w:rStyle w:val="21"/>
          <w:rFonts w:ascii="仿宋" w:hAnsi="仿宋" w:eastAsia="仿宋"/>
          <w:b w:val="0"/>
          <w:spacing w:val="-4"/>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21"/>
          <w:rFonts w:ascii="仿宋" w:hAnsi="仿宋" w:eastAsia="仿宋"/>
          <w:b w:val="0"/>
          <w:spacing w:val="-4"/>
          <w:szCs w:val="32"/>
        </w:rPr>
      </w:pPr>
    </w:p>
    <w:sectPr>
      <w:footerReference r:id="rId11" w:type="default"/>
      <w:pgSz w:w="11906" w:h="16838"/>
      <w:pgMar w:top="1440" w:right="1558" w:bottom="1440" w:left="175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Helvetica">
    <w:altName w:val="Arial"/>
    <w:panose1 w:val="020B0604020202020204"/>
    <w:charset w:val="00"/>
    <w:family w:val="auto"/>
    <w:pitch w:val="default"/>
    <w:sig w:usb0="00000000" w:usb1="00000000" w:usb2="00000000" w:usb3="00000000" w:csb0="2000019F" w:csb1="4F01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p>
    <w:pPr>
      <w:pStyle w:val="14"/>
      <w:tabs>
        <w:tab w:val="clear" w:pos="4153"/>
      </w:tabs>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208"/>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05920"/>
    <w:rsid w:val="00855E3A"/>
    <w:rsid w:val="0091457F"/>
    <w:rsid w:val="00922CB9"/>
    <w:rsid w:val="00965386"/>
    <w:rsid w:val="009E5CD9"/>
    <w:rsid w:val="00A26421"/>
    <w:rsid w:val="00A34588"/>
    <w:rsid w:val="00A41F94"/>
    <w:rsid w:val="00A4293B"/>
    <w:rsid w:val="00A67D50"/>
    <w:rsid w:val="00A8691A"/>
    <w:rsid w:val="00AC1946"/>
    <w:rsid w:val="00AD6A7A"/>
    <w:rsid w:val="00B40063"/>
    <w:rsid w:val="00B41F61"/>
    <w:rsid w:val="00B74A77"/>
    <w:rsid w:val="00BA46E6"/>
    <w:rsid w:val="00C522A6"/>
    <w:rsid w:val="00C56C72"/>
    <w:rsid w:val="00CA6457"/>
    <w:rsid w:val="00CE2FD9"/>
    <w:rsid w:val="00D17F2E"/>
    <w:rsid w:val="00D30354"/>
    <w:rsid w:val="00DD34D9"/>
    <w:rsid w:val="00DF42A0"/>
    <w:rsid w:val="00E30E91"/>
    <w:rsid w:val="00E769FE"/>
    <w:rsid w:val="00EA2CBE"/>
    <w:rsid w:val="00ED3435"/>
    <w:rsid w:val="00ED448E"/>
    <w:rsid w:val="00F32FEE"/>
    <w:rsid w:val="00F424DC"/>
    <w:rsid w:val="00FB10BB"/>
    <w:rsid w:val="0856517C"/>
    <w:rsid w:val="0BFB189F"/>
    <w:rsid w:val="11BD75F7"/>
    <w:rsid w:val="133B2B99"/>
    <w:rsid w:val="13BE561A"/>
    <w:rsid w:val="15392994"/>
    <w:rsid w:val="15520B1A"/>
    <w:rsid w:val="18FE139B"/>
    <w:rsid w:val="1CF93A7F"/>
    <w:rsid w:val="26EE7DF0"/>
    <w:rsid w:val="3029612C"/>
    <w:rsid w:val="31C330A5"/>
    <w:rsid w:val="32A221C5"/>
    <w:rsid w:val="33F20F2A"/>
    <w:rsid w:val="34C44675"/>
    <w:rsid w:val="3562703B"/>
    <w:rsid w:val="36776F7C"/>
    <w:rsid w:val="36B82B23"/>
    <w:rsid w:val="3B5B5607"/>
    <w:rsid w:val="3CE21B3C"/>
    <w:rsid w:val="4C924674"/>
    <w:rsid w:val="4D2606A1"/>
    <w:rsid w:val="4F2F1596"/>
    <w:rsid w:val="4F8A611E"/>
    <w:rsid w:val="51830480"/>
    <w:rsid w:val="51EB6428"/>
    <w:rsid w:val="53A616BE"/>
    <w:rsid w:val="54662BFB"/>
    <w:rsid w:val="57DF0F14"/>
    <w:rsid w:val="588D2DA2"/>
    <w:rsid w:val="5EAB6CC4"/>
    <w:rsid w:val="5F8045C9"/>
    <w:rsid w:val="62051CA5"/>
    <w:rsid w:val="637436E1"/>
    <w:rsid w:val="67D65A96"/>
    <w:rsid w:val="6C33576A"/>
    <w:rsid w:val="6C3A69EF"/>
    <w:rsid w:val="6E413C07"/>
    <w:rsid w:val="79F933C6"/>
    <w:rsid w:val="7C5C1488"/>
    <w:rsid w:val="7DB12889"/>
    <w:rsid w:val="7FFF7DCC"/>
    <w:rsid w:val="EFEF4CE9"/>
    <w:rsid w:val="FFEFB267"/>
    <w:rsid w:val="FFFE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640" w:firstLineChars="20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_Style 1"/>
    <w:basedOn w:val="1"/>
    <w:qFormat/>
    <w:uiPriority w:val="34"/>
    <w:pPr>
      <w:ind w:firstLine="420"/>
    </w:p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semiHidden/>
    <w:unhideWhenUsed/>
    <w:qFormat/>
    <w:uiPriority w:val="99"/>
    <w:rPr>
      <w:sz w:val="24"/>
    </w:rPr>
  </w:style>
  <w:style w:type="paragraph" w:styleId="18">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qFormat/>
    <w:uiPriority w:val="0"/>
    <w:rPr>
      <w:rFonts w:ascii="Times New Roman Bold" w:hAnsi="Times New Roman Bold" w:eastAsia="楷体_GB2312"/>
      <w:b/>
      <w:bCs/>
      <w:sz w:val="32"/>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18"/>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 w:type="paragraph" w:customStyle="1" w:styleId="49">
    <w:name w:val="正文首行缩进1"/>
    <w:basedOn w:val="12"/>
    <w:qFormat/>
    <w:uiPriority w:val="0"/>
    <w:pPr>
      <w:spacing w:before="100" w:beforeAutospacing="1" w:after="0"/>
      <w:ind w:firstLine="420" w:firstLineChars="100"/>
    </w:pPr>
    <w:rPr>
      <w:rFonts w:ascii="Calibri" w:hAnsi="Calibri"/>
    </w:rPr>
  </w:style>
  <w:style w:type="paragraph" w:customStyle="1" w:styleId="50">
    <w:name w:val="p1"/>
    <w:basedOn w:val="1"/>
    <w:qFormat/>
    <w:uiPriority w:val="0"/>
    <w:pPr>
      <w:jc w:val="left"/>
    </w:pPr>
    <w:rPr>
      <w:rFonts w:ascii="Helvetica" w:hAnsi="Helvetica" w:eastAsia="Helvetica"/>
      <w:kern w:val="0"/>
      <w:sz w:val="24"/>
    </w:rPr>
  </w:style>
  <w:style w:type="paragraph" w:customStyle="1" w:styleId="51">
    <w:name w:val="衔接资金正文"/>
    <w:basedOn w:val="1"/>
    <w:qFormat/>
    <w:uiPriority w:val="0"/>
    <w:rPr>
      <w:rFonts w:hint="eastAsia"/>
      <w:sz w:val="32"/>
      <w:szCs w:val="30"/>
      <w:lang w:eastAsia="zh-Hans"/>
    </w:rPr>
  </w:style>
  <w:style w:type="paragraph" w:customStyle="1" w:styleId="52">
    <w:name w:val="衔接资金三级标题"/>
    <w:basedOn w:val="1"/>
    <w:qFormat/>
    <w:uiPriority w:val="0"/>
    <w:pPr>
      <w:outlineLvl w:val="2"/>
    </w:pPr>
    <w:rPr>
      <w:rFonts w:hint="eastAsia" w:ascii="Times New Roman Bold" w:hAnsi="Times New Roman Bold" w:cs="仿宋_GB2312"/>
      <w:b/>
      <w:bCs/>
      <w:sz w:val="32"/>
      <w:szCs w:val="32"/>
    </w:rPr>
  </w:style>
  <w:style w:type="paragraph" w:customStyle="1" w:styleId="53">
    <w:name w:val="市局绩效-正文"/>
    <w:basedOn w:val="1"/>
    <w:qFormat/>
    <w:uiPriority w:val="0"/>
    <w:pPr>
      <w:ind w:firstLine="200"/>
    </w:pPr>
    <w:rPr>
      <w:sz w:val="32"/>
      <w:szCs w:val="21"/>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Pages>
  <Words>496</Words>
  <Characters>2832</Characters>
  <Lines>23</Lines>
  <Paragraphs>6</Paragraphs>
  <TotalTime>3</TotalTime>
  <ScaleCrop>false</ScaleCrop>
  <LinksUpToDate>false</LinksUpToDate>
  <CharactersWithSpaces>3322</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Administrator</cp:lastModifiedBy>
  <cp:lastPrinted>2025-11-07T02:01:00Z</cp:lastPrinted>
  <dcterms:modified xsi:type="dcterms:W3CDTF">2025-12-16T04:00:35Z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ies>
</file>