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馆藏档案数字化服务外包项目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中共哈密市伊州区委员会办公室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中共哈密市伊州区委员会办公室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吴梦云</w:t>
      </w:r>
    </w:p>
    <w:p>
      <w:pPr>
        <w:spacing w:line="540" w:lineRule="exact"/>
        <w:ind w:left="273"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2025年05月19日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（一）项目概况</w:t>
      </w:r>
    </w:p>
    <w:p>
      <w:pPr>
        <w:spacing w:line="540" w:lineRule="exact"/>
        <w:ind w:left="312" w:hanging="312" w:hanging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1.项目背景</w:t>
      </w:r>
    </w:p>
    <w:p>
      <w:pPr>
        <w:spacing w:line="540" w:lineRule="exact"/>
        <w:ind w:left="313" w:leftChars="149" w:firstLine="312" w:firstLine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在信息技术日新月异的当下，档案管理的数字化转型已成为行政事业单位发展的关键趋势。传统的馆藏档案以纸质、实物等形式存在，面临诸多挑战。</w:t>
      </w:r>
    </w:p>
    <w:p>
      <w:pPr>
        <w:widowControl w:val="0"/>
        <w:wordWrap/>
        <w:adjustRightInd/>
        <w:snapToGrid/>
        <w:spacing w:line="540" w:lineRule="exact"/>
        <w:ind w:left="313" w:leftChars="149" w:firstLine="312" w:firstLineChars="100"/>
        <w:textAlignment w:val="auto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从管理效率上看，纸质档案检索极为不便。比如查询一份过去的政策文件，工作人员往往需要在庞大的档案库房中逐卷翻阅，耗费大量时间与精力，严重影响工作效率 。同时，存储空间紧张也是一大难题，随着时间推移，档案数量不断增加，有限的库房空间难以承载，不得不频繁租赁额外场地，增加管理成本。而且，纸质档案易受温湿度、虫害等自然因素影响，面临纸张泛黄、字迹褪色、破损等风险，若遇到火灾、水灾等突发灾害，更是可能遭受毁灭性损失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从服务能力角度而言，公众对档案信息的需求日益多元化、即时化。在如今信息高速流通的时代，企业、群众期望能快速获取所需档案信息，用于商务决策、个人事务办理等。但行政事业单位传统的档案服务模式，难以满足这种高效、便捷的需求，不利于服务型政府建设与公共服务水平提升 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在此背景下，将馆藏档案数字化服务外包成为必然选择。专业的档案数字化服务机构具备丰富经验、先进技术与专业人才，能够高效、高质量地完成档案数字化工作，帮助行政事业单位突破自身技术与人力瓶颈，快速实现档案管理的数字化升级，让档案资源得到更充分、高效的利用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2.主要内容及实施情况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1.档案预处理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对馆藏纸质档案进行系统整理，拆除金属装订物，修复破损严重的纸张，为后续数字化加工做好准备。同时，按照档案分类规则重新排列档案顺序，编制准确的案卷目录和文件级目录，确保档案管理的规范性和条理性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2.数字化加工</w:t>
      </w:r>
    </w:p>
    <w:p>
      <w:pPr>
        <w:widowControl w:val="0"/>
        <w:wordWrap/>
        <w:adjustRightInd/>
        <w:snapToGrid/>
        <w:spacing w:line="540" w:lineRule="exact"/>
        <w:ind w:left="313" w:leftChars="149"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采用专业的扫描设备对纸质档案进行高清扫描，根据档案类型和利用需求，选择合适的分辨率和存储格式。扫描完成后，对图像进行纠偏、去污、去黑边等处理，确保图像清晰、完整、规范。对于照片档案和音像档案，分别进行数字化采集和格式转换，保证档案信息的完整性和可读性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3.数据录入与挂接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将整理好的档案目录信息准确录入档案管理系统，建立详细的档案索引。同时，将数字化后的档案图像或数据与对应的目录信息进行精准挂接，实现档案目录与原文的快速关联，方便用户通过目录检索直接调取所需档案内容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4.质量检查与验收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建立严格的质量检查机制，对数字化加工的各个环节进行全面检查。包括图像质量、目录准确性、数据完整性等方面。对检查中发现的问题及时进行整改，确保数字化成果符合国家和行业相关标准。项目完成后，组织专业人员进行最终验收，验收合格后交付数字化档案成果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5.数据存储与安全管理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将数字化后的档案数据存储在安全可靠的存储设备中，建立定期的数据备份机制，防止数据丢失。同时，采取严格的安全防护措施，如设置访问权限、数据加密、防火墙等，确保档案数据的安全性和保密性，防止信息泄露和非法访问。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二、项目实施情况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1.前期准备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行政事业单位通过公开招标或竞争性磋商等方式，选择具备专业资质和丰富经验的档案数字化服务外包公司。双方签订详细的服务合同，明确项目目标、服务内容、质量标准、工期、费用支付方式等关键条款。同时，服务外包公司组建专业的项目团队，配备必要的设备和软件，为项目实施做好充分准备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2.项目启动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项目团队进驻行政事业单位，对馆藏档案进行全面清点和评估，制定详细的数字化加工方案和进度计划。同时，对项目团队成员进行技术培训和安全保密教育，确保项目规范、安全开展。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3.实施阶段</w:t>
      </w:r>
    </w:p>
    <w:p>
      <w:pPr>
        <w:widowControl w:val="0"/>
        <w:wordWrap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按照既定方案和进度计划，有序推进档案数字化加工工作。在实施过程中，严格执行质量检查制度，对每个环节的工作成果进行及时检查和反馈，发现问题立即整改。行政事业单位安排专人负责项目监督，定期与服务外包公司沟通协调，及时解决项目实施过程中出现的问题，确保项目按计划顺利推进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4.中期评估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在项目实施中期，组织相关人员对项目进展情况、工作质量和安全管理等方面进行全面评估。根据评估结果，对项目计划和工作方法进行适当调整和优化，确保项目目标的实现。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5.后期收尾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完成后，服务外包公司对数字化成果进行全面自查和整理，提交验收申请。行政事业单位组织专业人员按照合同约定和相关标准进行验收，对验收中发现的问题要求服务外包公司限期整改。验收合格后，双方办理项目交接手续，服务外包公司将数字化档案数据、相关文档资料和存储设备等交付行政事业单位，并提供必要的技术支持和培训服务，确保行政事业单位能够正常使用数字化档案资源。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3.资金投入和使用情况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馆藏档案数字化服务外包项目计划拨付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98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万元，项目于2024年1月28日批复预算资金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98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万元，截至2024年12月31日，项目用于馆藏档案数字化服务外包，项目资金支付93.5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万元，资金到位率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95.4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%，预算执行率为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95.4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%。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624" w:firstLineChars="2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项目总体目标为：实现档案资源数字化转型：借助专业外包服务，将行政事业单位馆藏的纸质档案、照片档案、音像档案等全部转化为数字化格式，建立规范、完整的数字档案资源库，全面替代传统实体档案管理模式，为档案管理现代化奠定基础 。通过数字化手段，解决传统档案检索慢、调阅难、存储空间紧张等问题。实现档案信息的快速检索与高效调阅，将档案查找时间从平均几十分钟缩短至数分钟，大幅提高档案管理工作效率与响应速度。构建便捷的数字化档案利用平台，支持工作人员和公众在授权范围内在线查询、下载档案资料，打破时间和空间限制，满足社会对档案信息日益增长的多元化需求，推动档案资源的开放共享与高效利用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在外包服务过程中，运用数据加密、访问控制、备份恢复等技术手段和严格的安全管理制度，全方位保障档案数据在采集、存储、传输和使用过程中的安全性，杜绝信息泄露、篡改、丢失风险，维护档案数据的完整性和真实性。？推动档案管理标准化：严格遵循国家和行业档案数字化相关标准规范开展工作，统一档案分类、著录、存储等操作流程，促进档案管理工作标准化、规范化发展，提升行政事业单位档案管理的整体水平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根据《自治区财政支出绩效评价管理暂行办法》（新财预〔2018〕189号）等文件精神，结合项目相关信息，将年度目标细化分解，最终确定该项目阶段性目标如下：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1.产出指标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数量指标：馆藏档案数字化加工数量不低于100万页；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质量指标：数字化加工完成值质量率达到100%；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时效指标：项目完成率达到100%。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2.成本指标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经济成本指标：数字化加工服务成本不高于1万元每页。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3.效益指标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社会效益指标：档案利用率达到100%。延长档案原件保存时间达到100%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4.满意度指标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满意度指标：使用人员满意度不低于98%。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我单位根据《自治区财政支出绩效评价管理暂行办法》（新财预〔2018〕189号）文件精神，对馆藏档案数字化加工服务项目绩效目标实现情况进行自评。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通过对本项目开展绩效自评，全面分析该项目资金使用、管理和项目实施等情况，规范项目申报、公示、审批、实施、监管、验收及资金发放等程序，对项目主管单位和实施单位的资金分配、管理等制度进行自查，加强项目实施管理，强化财政支出绩效理念，提高资金使用效益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我单位根据《自治区财政支出绩效评价管理暂行办法》（新财预〔2018〕189号）文件精神，对馆藏档案数字化加工服务项目绩效目标实现情况进行自评。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通过对本项目开展绩效自评，全面分析该项目资金使用、管理和项目实施等情况，规范项目申报、公示、审批、实施、监管、验收及资金发放等程序，对项目主管单位和实施单位的资金分配、管理等制度进行自查，加强项目实施管理，强化财政支出绩效理念，提高资金使用效益。</w:t>
      </w:r>
    </w:p>
    <w:p>
      <w:pPr>
        <w:numPr>
          <w:ilvl w:val="0"/>
          <w:numId w:val="1"/>
        </w:numPr>
        <w:spacing w:line="540" w:lineRule="exact"/>
        <w:ind w:left="627" w:hanging="627" w:hangingChars="200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绩效评价工作过程</w:t>
      </w:r>
    </w:p>
    <w:p>
      <w:pPr>
        <w:numPr>
          <w:ilvl w:val="0"/>
          <w:numId w:val="2"/>
        </w:numPr>
        <w:spacing w:line="540" w:lineRule="exact"/>
        <w:ind w:left="220" w:leftChars="105" w:firstLine="0" w:firstLineChars="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前期准备</w:t>
      </w:r>
    </w:p>
    <w:p>
      <w:pPr>
        <w:numPr>
          <w:numId w:val="0"/>
        </w:num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整理项目全过程资料建档：资金及项目批复文件、绩效目标申报表、可行性研究报告或实施方案、（招标文件）绩效目标过程监控表、验收报告（或决算）、资金支付或会计凭证、满意度调查问卷。作为评价基础资料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（2）采取“年初绩效目标预定与实施效果比较法”进行评价，评价指标体系以绩效目标申报指标为依据。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2.组织过程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（1）项目全过程资料档案复核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（2）检查内容和过程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发放调查问卷开展馆藏档案数字化外包服务项目满意度调查工作。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（3）撰写报告情况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根据所搜集的印证材料，按绩效评价原理和指标体系进行分析、评价和汇总，撰写绩效自评报告，并在规定时间上报。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624" w:firstLineChars="2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本次项目自评满分100分，自评得分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99.54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分，自评结果为“良”，其中项目决策得分20分，项目过程得分20分，项目产出得分17分，项目效益得分20分，项目满意度得分10分。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综合评价结论：项目决策方面，立项依据充分性：本项目是由中共哈密市伊州区委员会办公室单位提出申报，于2024年1月批复设立，。项目立项符合国家法律法规、自治区和地区行业发展规划和政策要求，属于本部门履职所需。绩效目标合理性：本项目制定了</w:t>
      </w:r>
      <w:bookmarkStart w:id="0" w:name="_GoBack"/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</w:t>
      </w:r>
      <w:bookmarkEnd w:id="0"/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目支出绩效目标，明确了项目总体思路及总目标、并对项目任务进行了详细分解，对目标进行了细化。但对后期可能出现问题估计不足，个别绩效目标设置不合理根据评分标准。测算标准性：项目预算测算项目支出标准符合相关政策制度或行业、领域规定测算过程细度化：该项目测算过程细化清晰。项目产出方面：本项目资金分配依据充分，资金分配额度合理，与项目地方实际相适应。根据评分标准。预算执行率，该项目预算执行率9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5.4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%,管理制度健全性我单位制定了馆藏档案数字化相关项目管理办法，同时对财政专项资金进行严格管理，基本做到了专款专用，根据评分标准。制度执行有效性：由部门提出经费预算支出可行性方案，经过与市政府分管领导沟通后，报党委会议研究执行，财务对资金的使用合法合规性进行监督，年底对资金使用效果进行自评。项目效益方面，“延长档案原件的保存时间”指标，预期指标值为“延长”，根据本单位年度考核情况可知，实际完成值为“好”；项目满意度方面，“使用人员满意度”指标，预期指标值为“≥98%”，根据对馆藏档案数字化项目经费使用调查可知，满意度达100%，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四、绩效评价指标分析</w:t>
      </w:r>
      <w:r>
        <w:rPr>
          <w:rStyle w:val="17"/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</w:t>
      </w: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项目决策情况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ab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1.项目立项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立项依据充分性，满分4分，得分4分，得分率100%。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项目立项依据是申请报告，项目立项符合国家法律法规、自治区和地区行业发展规划和政策要求，属于本部门履职所需。根据评分标准，该指标4分，得4分。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2.绩效目标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（1）绩效目标明确性，满分4分，得分4分，得分率100%。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本项目已将项目绩效目标细化分解为具体的绩效指标，并通过清晰、可衡量的指标值予以体现，个别指标前期设置不合理。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（2）绩效目标合理性，满分4分，得分2分，得分率50%。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本项目制定了项目支出绩效目标，明确了项目总体思路及总目标、并对项目任务进行了详细分解，对目标进行了细化。但对项目后期发生的文体估计不足指标设置不合理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3.预算编制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（1）测算标准合理性，满分3分，得分2分，得分率75%。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预算编制经过科学论证，内容与项目内容匹配，项目投资额与工作任务不相匹配，成本指标设置不合理。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（2）测算过程细化度，满分2分，得分1分，得分率75%。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本项目预算编制较为详细，预算资金98万元，实际执行93.5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万元，预算执行率为9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5.4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%.预算成本指标高于实际支付金额，主要原因为按照单位数字化加工服务要求，通过竞争性磋商方式，最终选择符合要求价格低廉的单位。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left="313" w:hanging="313" w:hanging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）</w:t>
      </w: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项目过程情况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1.资金管理</w:t>
      </w:r>
    </w:p>
    <w:p>
      <w:pPr>
        <w:spacing w:line="540" w:lineRule="exact"/>
        <w:ind w:left="313" w:leftChars="149" w:firstLine="312" w:firstLine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（1）资金到位率，满分6分，得分6分，得分率100%。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该项目按照进展程度资金已全部拨付到位。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（2）预算执行率，满分6分，得分4分，得分率66%。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本项目预算编制较为详细，预算资金98万元，实际执行93.5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万元，预算执行率为9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5.4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%.预算成本指标高于实际支付金额，主要原因为按照单位数字化加工服务要求，通过竞争性磋商方式，最终选择符合要求价格低廉的单位。导致最终资金支付低于前期预算资金，预算执行率未达到100%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2.组织实施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（1）管理制度健全性，满分5分，得分4分，得分率75%。项目管理制度健全，但在实施过程中与前期估计出入较大，导致目标设置不充分合理。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（2）制度执行有效性，满分6分，得分6分，得分率100%。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部门提出经费预算支出可行性方案，经过与区财经领导小组沟通后，报部务会会议研究执行，财务对资金的使用合法合规性进行监督，年底对资金使用效果进行自评。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）</w:t>
      </w: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项目产出情况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1.产出数量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馆藏档案数字化加工数量，满分20分，得分20分，得分率100%。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“馆藏档案数字化加工数量标”，预期指标值为“≥100万页”，根据实际完成情况，超出预期目标10万页。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2.产出质量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产出质量指标，满分10分，得分10分，得分率100%。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“数字加工完成质量率”指标，预期指标值为“100%”，根据现场验收完成质量率达100%，与预期目标一致。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3.产出时效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产出时效指标，满分10分，得分10分，得分率100%。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“项目完成时间”指标，预期指标值为“2024年12月31日”，根据完成情况截止2024年12月31日完成率达100%，与预期目标一致。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4.产出成本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产出成本指标，满分6分，得分4分，得分率66%。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“数字化加工服务成本”指标，预期指标值为“=1万元/页”，根据项目合同和资金支付凭证显示，经费支出能够控制在绩效目标范围内。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四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）项目效益情况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社会效益指标，满分20分，得分20分，得分率100%。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“档案利用率”指标，预期指标值为“≧98%”，根据档案提供利用次数，利用率达到100%。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“延长档案原件的保存时间”指标，预期指标值为“延长”，根据本单位年度情况可知，实际完成值为“延长”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  <w:lang w:eastAsia="zh-CN"/>
        </w:rPr>
        <w:t>满意度</w:t>
      </w:r>
      <w:r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  <w:t>情况</w:t>
      </w:r>
    </w:p>
    <w:p>
      <w:pPr>
        <w:spacing w:line="540" w:lineRule="exact"/>
        <w:ind w:left="312" w:hanging="312" w:hanging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服务对象满意度</w:t>
      </w:r>
    </w:p>
    <w:p>
      <w:pPr>
        <w:spacing w:line="540" w:lineRule="exact"/>
        <w:ind w:left="313" w:leftChars="149" w:firstLine="312" w:firstLine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服务对象满意度，满分10分，得分10分，得分率100%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“使用人员满意度”指标，预期指标值为“≥98%”，根据对馆藏档案数字化技工服务项目经费使用调查可知，满意度达100%。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、主要经验及做法、存在的问题及原因分析</w:t>
      </w:r>
    </w:p>
    <w:p>
      <w:pPr>
        <w:spacing w:line="540" w:lineRule="exact"/>
        <w:ind w:left="312" w:hanging="312" w:hanging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（一）主要经验及做法</w:t>
      </w:r>
    </w:p>
    <w:p>
      <w:pPr>
        <w:spacing w:line="540" w:lineRule="exact"/>
        <w:ind w:left="313" w:leftChars="149" w:firstLine="312" w:firstLineChars="1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采用公开招标、竞争性磋商等方式引入服务商，制定多维评估标准。重点审查服务商资质，要求具备档案数字化加工资质、信息安全管理体系认证等相关证书；深入考察过往项目案例，优先选择有同类行政事业单位档案数字化经验的团队；通过现场答辩、技术演示等环节，评估其技术能力与项目管理水平。同时，对服务商的数据安全防护能力、保密管理制度进行严格审核，如要求服务商提供数据加密技术方案、员工保密培训记录等，确保合作方专业可靠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建立全流程操作规范：依据国家《档案数字化工作规范》等标准，结合单位实际，细化档案整理、扫描、图像处理、目录录入、数据挂接等环节的操作细则。 实施多重质量检查制度：服务商内部实行“三检一验”（自检、互检、专检、总体验收）流程，对每一份数字化档案进行严格核查；行政事业单位组建由档案管理专家、技术人员构成的质量监督小组，定期抽检成果，抽检比例不低于10%，对不合格项及时要求返工整改，确保数字化成果完整、准确、清晰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强化制度约束：与服务商签订详细保密协议，明确数据保密责任与违约后果，要求服务商对所有参与人员进行岗前保密培训并签署保密承诺书，建立保密责任追溯机制。技术防护与物理隔离：在数字化加工场地安装监控设备，实行封闭式管理，禁止外部存储设备随意接入；数据传输采用加密通道，存储时使用加密硬盘或专用存储服务器，定期进行异地备份；对不同密级档案设置分级访问权限，通过身份认证、数字证书等技术手段防止信息泄露。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构建多方联动沟通机制，由行政事业单位项目负责人、服务商项目经理、监理方代表组成专项工作小组，通过每日工作汇报、每周例会、月度总结会等形式，及时协调解决项目进度、技术难点、质量争议等问题。利用项目管理软件实时共享任务进度、质量检查结果等信息，确保各方对项目动态清晰掌握，形成高效协同的工作氛围，保障项目按计划推进。</w:t>
      </w:r>
    </w:p>
    <w:p>
      <w:pPr>
        <w:spacing w:line="540" w:lineRule="exact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存在问题及原因分析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（一）存在问题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1.档案分类和著录规则在执行过程中出现偏差，不同批次数字化成果格式不一致，影响档案数据的统一性和兼容性。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2.对国家和行业相关标准规范的理解存在分歧，导致数字化操作流程不规范。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3.行政事业单位、外包服务商、监理单位之间沟通不畅，信息传递存在滞后和误差，导致问题处理效率低下。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4.对项目变更、需求调整等事项的协商机制不完善，容易引发纠纷。</w:t>
      </w:r>
    </w:p>
    <w:p>
      <w:pPr>
        <w:numPr>
          <w:ilvl w:val="0"/>
          <w:numId w:val="3"/>
        </w:numPr>
        <w:spacing w:line="540" w:lineRule="exact"/>
        <w:ind w:left="624" w:hanging="624" w:hangingChars="200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原因分析</w:t>
      </w:r>
    </w:p>
    <w:p>
      <w:pPr>
        <w:numPr>
          <w:numId w:val="0"/>
        </w:numPr>
        <w:spacing w:line="540" w:lineRule="exact"/>
        <w:ind w:leftChars="-200" w:firstLine="624" w:firstLineChars="200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1.单位与外包服务商在项目前期对标准规范的沟通不充分，未就具体执行细节达成共识；缺乏专业的标准解读和指导，双方在操作过程中各自为政。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2.项目监管人员对标准规范掌握不全面，无法有效监督外包服务商的执行情况；外包服务商为追求效率，简化操作流程，忽视标准要求。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3.缺乏统一的沟通平台和明确的沟通流程，各方信息共享不及时；沟通渠道单一，主要依赖口头传达，重要信息未形成书面记录。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4.项目各方职责划分不清晰，遇到问题时相互推诿；对项目变更的评估和决策机制不健全，未能及时达成一致意见</w:t>
      </w:r>
    </w:p>
    <w:p>
      <w:pPr>
        <w:spacing w:line="540" w:lineRule="exact"/>
        <w:ind w:left="624" w:hanging="624" w:hangingChars="200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4" w:firstLineChars="200"/>
        <w:rPr>
          <w:rStyle w:val="17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明确需求与目标：行政事业单位要详细梳理馆藏档案的类型、数量、年代等信息，结合自身管理和利用需求，明确数字化的具体目标，如实现档案快速检索、远程查阅等。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制定预算与计划：根据项目规模和需求，科学合理地制定预算，包括设备采购、服务费用、后期维护等各项费用。同时，制定详细的项目实施计划，明确各阶段的任务和时间节点。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严格资质审查：除审查基本资质外，重点考察服务商在档案数字化领域的专业经验、技术实力，如是否具备先进的扫描设备、数据处理软件等。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加强质量监控：建立严格的质量检查制度，定期对数字化成果进行抽检，如检查扫描图像的清晰度、完整性，目录著录的准确性等。发现问题及时要求服务商整改，确保数字化质量符合标准。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 保障数据安全：与服务商签订详细的保密协议，明确数据安全责任。要求服务商采取数据加密、访问控制、备份恢复等技术措施，保障档案数据在加工、传输和存储过程中的安全。同时，对加工场地进行安全管理，限制人员进出，安装监控设备等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规范验收流程：项目完成后，按照合同约定的验收标准和流程进行严格验收。验收内容包括数字化成果的质量、数据的完整性、系统的功能等。验收合格后，方可支付尾款。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br/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建立长效机制：项目结束后，行政事业单位要建立数字化档案管理的长效机制，加强对数字化档案的维护和利用。同时，与服务商保持沟通，在遇到技术问题或需要升级时，能够及时获得支持和服务。</w:t>
      </w:r>
    </w:p>
    <w:p>
      <w:pPr>
        <w:spacing w:line="540" w:lineRule="exact"/>
        <w:ind w:firstLine="640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4" w:type="default"/>
      <w:footerReference r:id="rId5" w:type="default"/>
      <w:pgSz w:w="11906" w:h="16838"/>
      <w:pgMar w:top="1440" w:right="1558" w:bottom="1440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567227896">
    <w:nsid w:val="9904C9F8"/>
    <w:multiLevelType w:val="singleLevel"/>
    <w:tmpl w:val="9904C9F8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52509072">
    <w:nsid w:val="DFAABE90"/>
    <w:multiLevelType w:val="singleLevel"/>
    <w:tmpl w:val="DFAABE90"/>
    <w:lvl w:ilvl="0" w:tentative="1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364198840">
    <w:nsid w:val="8CEACFB8"/>
    <w:multiLevelType w:val="singleLevel"/>
    <w:tmpl w:val="8CEACFB8"/>
    <w:lvl w:ilvl="0" w:tentative="1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364198840"/>
  </w:num>
  <w:num w:numId="2">
    <w:abstractNumId w:val="2567227896"/>
  </w:num>
  <w:num w:numId="3">
    <w:abstractNumId w:val="37525090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qFormat="1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="Calibri" w:hAnsi="Calibri" w:eastAsia="宋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="Calibri" w:hAnsi="Calibri" w:eastAsia="宋体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="Calibri" w:hAnsi="Calibri" w:eastAsia="宋体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="Calibri" w:hAnsi="Calibri" w:eastAsia="宋体"/>
      <w:kern w:val="0"/>
      <w:sz w:val="24"/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="Calibri" w:hAnsi="Calibri" w:eastAsia="宋体"/>
      <w:i/>
      <w:iCs/>
      <w:kern w:val="0"/>
      <w:sz w:val="24"/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 w:eastAsia="宋体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paragraph" w:styleId="11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4"/>
    <w:qFormat/>
    <w:uiPriority w:val="11"/>
    <w:pPr>
      <w:widowControl/>
      <w:spacing w:after="60"/>
      <w:jc w:val="center"/>
      <w:outlineLvl w:val="1"/>
    </w:pPr>
    <w:rPr>
      <w:rFonts w:ascii="Cambria" w:hAnsi="Cambria" w:eastAsia="宋体"/>
      <w:kern w:val="0"/>
      <w:sz w:val="24"/>
    </w:rPr>
  </w:style>
  <w:style w:type="paragraph" w:styleId="15">
    <w:name w:val="Title"/>
    <w:basedOn w:val="1"/>
    <w:next w:val="1"/>
    <w:link w:val="33"/>
    <w:qFormat/>
    <w:uiPriority w:val="10"/>
    <w:pPr>
      <w:widowControl/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="Calibri" w:hAnsi="Calibri"/>
      <w:b/>
      <w:i/>
      <w:iCs/>
    </w:rPr>
  </w:style>
  <w:style w:type="paragraph" w:customStyle="1" w:styleId="19">
    <w:name w:val="No Spacing"/>
    <w:basedOn w:val="1"/>
    <w:qFormat/>
    <w:uiPriority w:val="1"/>
    <w:pPr>
      <w:widowControl/>
      <w:jc w:val="left"/>
    </w:pPr>
    <w:rPr>
      <w:rFonts w:ascii="Calibri" w:hAnsi="Calibri" w:eastAsia="宋体" w:cs="Times New Roman"/>
      <w:kern w:val="0"/>
      <w:sz w:val="24"/>
      <w:szCs w:val="32"/>
      <w:lang w:eastAsia="en-US" w:bidi="en-US"/>
    </w:rPr>
  </w:style>
  <w:style w:type="paragraph" w:customStyle="1" w:styleId="2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="Calibri" w:hAnsi="Calibri" w:eastAsia="宋体"/>
      <w:kern w:val="0"/>
      <w:sz w:val="24"/>
      <w:lang w:eastAsia="en-US" w:bidi="en-US"/>
    </w:rPr>
  </w:style>
  <w:style w:type="paragraph" w:customStyle="1" w:styleId="21">
    <w:name w:val="Quote"/>
    <w:basedOn w:val="1"/>
    <w:next w:val="1"/>
    <w:link w:val="35"/>
    <w:qFormat/>
    <w:uiPriority w:val="29"/>
    <w:pPr>
      <w:widowControl/>
      <w:jc w:val="left"/>
    </w:pPr>
    <w:rPr>
      <w:rFonts w:ascii="Calibri" w:hAnsi="Calibri" w:eastAsia="宋体"/>
      <w:i/>
      <w:kern w:val="0"/>
      <w:sz w:val="24"/>
    </w:rPr>
  </w:style>
  <w:style w:type="paragraph" w:customStyle="1" w:styleId="22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="Calibri" w:hAnsi="Calibri" w:eastAsia="宋体"/>
      <w:b/>
      <w:i/>
      <w:kern w:val="0"/>
      <w:sz w:val="24"/>
      <w:szCs w:val="22"/>
    </w:rPr>
  </w:style>
  <w:style w:type="paragraph" w:customStyle="1" w:styleId="2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24">
    <w:name w:val="标题 1 字符"/>
    <w:basedOn w:val="16"/>
    <w:link w:val="2"/>
    <w:qFormat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5">
    <w:name w:val="标题 2 字符"/>
    <w:basedOn w:val="16"/>
    <w:link w:val="3"/>
    <w:semiHidden/>
    <w:qFormat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6">
    <w:name w:val="标题 3 字符"/>
    <w:basedOn w:val="16"/>
    <w:link w:val="4"/>
    <w:semiHidden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7">
    <w:name w:val="标题 4 字符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8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9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30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31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32">
    <w:name w:val="标题 9 字符"/>
    <w:basedOn w:val="16"/>
    <w:link w:val="10"/>
    <w:semiHidden/>
    <w:qFormat/>
    <w:uiPriority w:val="9"/>
    <w:rPr>
      <w:rFonts w:ascii="Cambria" w:hAnsi="Cambria" w:eastAsia="宋体"/>
    </w:rPr>
  </w:style>
  <w:style w:type="character" w:customStyle="1" w:styleId="33">
    <w:name w:val="标题 字符"/>
    <w:basedOn w:val="16"/>
    <w:link w:val="15"/>
    <w:qFormat/>
    <w:uiPriority w:val="1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4">
    <w:name w:val="副标题 字符"/>
    <w:basedOn w:val="16"/>
    <w:link w:val="14"/>
    <w:qFormat/>
    <w:uiPriority w:val="11"/>
    <w:rPr>
      <w:rFonts w:ascii="Cambria" w:hAnsi="Cambria" w:eastAsia="宋体"/>
      <w:sz w:val="24"/>
      <w:szCs w:val="24"/>
    </w:rPr>
  </w:style>
  <w:style w:type="character" w:customStyle="1" w:styleId="35">
    <w:name w:val="引用 字符"/>
    <w:basedOn w:val="16"/>
    <w:link w:val="21"/>
    <w:qFormat/>
    <w:uiPriority w:val="29"/>
    <w:rPr>
      <w:i/>
      <w:sz w:val="24"/>
      <w:szCs w:val="24"/>
    </w:rPr>
  </w:style>
  <w:style w:type="character" w:customStyle="1" w:styleId="36">
    <w:name w:val="明显引用 字符"/>
    <w:basedOn w:val="16"/>
    <w:link w:val="22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6565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="Cambria" w:hAnsi="Cambria" w:eastAsia="宋体"/>
      <w:b/>
      <w:i/>
      <w:sz w:val="24"/>
      <w:szCs w:val="24"/>
    </w:rPr>
  </w:style>
  <w:style w:type="character" w:customStyle="1" w:styleId="42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3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7563</Words>
  <Characters>7789</Characters>
  <Lines>5</Lines>
  <Paragraphs>1</Paragraphs>
  <TotalTime>0</TotalTime>
  <ScaleCrop>false</ScaleCrop>
  <LinksUpToDate>false</LinksUpToDate>
  <CharactersWithSpaces>0</CharactersWithSpaces>
  <Application>WPS Office 专业版_8.1.0.0_{F1E327BC-269C-435d-A152-05C5408002CA}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2025-11-06T14:37:22Z</dcterms:modified>
  <dc:title>附件2：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2052-8.1.0.0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eyJoZGlkIjoiYjAwZDY0MzljNDE2MjBkZjY5ZjY0ODNhMGVjMWM0N2EiLCJ1c2VySWQiOiIxMDA1MzM3ODU4In0=</vt:lpwstr>
  </property>
</Properties>
</file>